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D47D6" w14:textId="77C72D75" w:rsidR="005A6A65" w:rsidRPr="0094169A" w:rsidRDefault="00413396" w:rsidP="005A6A65">
      <w:pPr>
        <w:pStyle w:val="Annexe"/>
      </w:pPr>
      <w:bookmarkStart w:id="0" w:name="_GoBack"/>
      <w:bookmarkEnd w:id="0"/>
      <w:r>
        <w:t>R</w:t>
      </w:r>
      <w:r w:rsidR="005A6A65" w:rsidRPr="0094169A">
        <w:t xml:space="preserve">ésumé </w:t>
      </w:r>
      <w:r>
        <w:t xml:space="preserve">exécutif : </w:t>
      </w:r>
      <w:r w:rsidR="005A6A65" w:rsidRPr="0094169A">
        <w:t>marlin noir</w:t>
      </w:r>
    </w:p>
    <w:p w14:paraId="6669DDFE" w14:textId="77777777" w:rsidR="005A6A65" w:rsidRPr="0094169A" w:rsidRDefault="005A6A65" w:rsidP="005A6A65">
      <w:pPr>
        <w:jc w:val="center"/>
      </w:pPr>
      <w:r w:rsidRPr="0094169A">
        <w:rPr>
          <w:b/>
          <w:noProof/>
          <w:lang w:val="en-GB" w:eastAsia="en-GB"/>
        </w:rPr>
        <w:drawing>
          <wp:inline distT="0" distB="0" distL="0" distR="0" wp14:anchorId="59091F3E" wp14:editId="4E00602B">
            <wp:extent cx="3600000" cy="809625"/>
            <wp:effectExtent l="0" t="0" r="0" b="0"/>
            <wp:docPr id="17475"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5799" r="60643" b="44173"/>
                    <a:stretch/>
                  </pic:blipFill>
                  <pic:spPr bwMode="auto">
                    <a:xfrm>
                      <a:off x="0" y="0"/>
                      <a:ext cx="3686560" cy="82909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sidRPr="0094169A">
        <w:rPr>
          <w:noProof/>
          <w:lang w:val="en-GB" w:eastAsia="en-GB"/>
        </w:rPr>
        <w:drawing>
          <wp:inline distT="0" distB="0" distL="0" distR="0" wp14:anchorId="7F7638DE" wp14:editId="7570A863">
            <wp:extent cx="2042795" cy="817245"/>
            <wp:effectExtent l="0" t="0" r="0" b="1905"/>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795" cy="817245"/>
                    </a:xfrm>
                    <a:prstGeom prst="rect">
                      <a:avLst/>
                    </a:prstGeom>
                    <a:noFill/>
                    <a:ln>
                      <a:noFill/>
                    </a:ln>
                  </pic:spPr>
                </pic:pic>
              </a:graphicData>
            </a:graphic>
          </wp:inline>
        </w:drawing>
      </w:r>
    </w:p>
    <w:p w14:paraId="06763FC7" w14:textId="77777777" w:rsidR="005A6A65" w:rsidRPr="0094169A" w:rsidRDefault="005A6A65" w:rsidP="005A6A65"/>
    <w:p w14:paraId="01797B5B" w14:textId="77777777" w:rsidR="005A6A65" w:rsidRPr="0094169A" w:rsidRDefault="005A6A65" w:rsidP="005A6A65">
      <w:pPr>
        <w:pStyle w:val="ResolutionsAnnex"/>
        <w:rPr>
          <w:rFonts w:ascii="Times New Roman" w:hAnsi="Times New Roman"/>
          <w:noProof w:val="0"/>
          <w:sz w:val="28"/>
          <w:szCs w:val="28"/>
          <w:lang w:val="fr-FR"/>
        </w:rPr>
      </w:pPr>
      <w:r w:rsidRPr="0094169A">
        <w:rPr>
          <w:rFonts w:ascii="Times New Roman" w:hAnsi="Times New Roman"/>
          <w:bCs/>
          <w:noProof w:val="0"/>
          <w:sz w:val="28"/>
          <w:szCs w:val="28"/>
          <w:lang w:val="fr-FR"/>
        </w:rPr>
        <w:t>État de la</w:t>
      </w:r>
      <w:r w:rsidRPr="0094169A">
        <w:rPr>
          <w:rFonts w:ascii="Times New Roman" w:hAnsi="Times New Roman"/>
          <w:noProof w:val="0"/>
          <w:sz w:val="28"/>
          <w:szCs w:val="28"/>
          <w:lang w:val="fr-FR"/>
        </w:rPr>
        <w:t xml:space="preserve"> ressource de marlin noir (BLM : </w:t>
      </w:r>
      <w:r w:rsidRPr="0094169A">
        <w:rPr>
          <w:rFonts w:ascii="Times New Roman" w:hAnsi="Times New Roman"/>
          <w:i/>
          <w:smallCaps w:val="0"/>
          <w:noProof w:val="0"/>
          <w:sz w:val="28"/>
          <w:szCs w:val="28"/>
          <w:lang w:val="fr-FR"/>
        </w:rPr>
        <w:t>Makaira indica</w:t>
      </w:r>
      <w:r w:rsidRPr="0094169A">
        <w:rPr>
          <w:rFonts w:ascii="Times New Roman" w:hAnsi="Times New Roman"/>
          <w:noProof w:val="0"/>
          <w:sz w:val="28"/>
          <w:szCs w:val="28"/>
          <w:lang w:val="fr-FR"/>
        </w:rPr>
        <w:t>)</w:t>
      </w:r>
      <w:r w:rsidRPr="0094169A">
        <w:rPr>
          <w:rFonts w:ascii="Times New Roman" w:hAnsi="Times New Roman"/>
          <w:i/>
          <w:noProof w:val="0"/>
          <w:sz w:val="28"/>
          <w:szCs w:val="28"/>
          <w:lang w:val="fr-FR"/>
        </w:rPr>
        <w:t xml:space="preserve"> </w:t>
      </w:r>
      <w:r w:rsidRPr="0094169A">
        <w:rPr>
          <w:rFonts w:ascii="Times New Roman" w:hAnsi="Times New Roman"/>
          <w:noProof w:val="0"/>
          <w:sz w:val="28"/>
          <w:szCs w:val="28"/>
          <w:lang w:val="fr-FR"/>
        </w:rPr>
        <w:t>de l’océan Indien</w:t>
      </w:r>
    </w:p>
    <w:p w14:paraId="2C7DFF2B" w14:textId="77777777" w:rsidR="005A6A65" w:rsidRPr="0094169A" w:rsidRDefault="005A6A65" w:rsidP="005A6A65">
      <w:pPr>
        <w:pStyle w:val="ResolutionsAnnex"/>
        <w:rPr>
          <w:rFonts w:ascii="Times New Roman" w:hAnsi="Times New Roman"/>
          <w:noProof w:val="0"/>
          <w:kern w:val="32"/>
          <w:sz w:val="28"/>
          <w:szCs w:val="28"/>
          <w:lang w:val="fr-FR"/>
        </w:rPr>
      </w:pPr>
    </w:p>
    <w:p w14:paraId="78B2D56F" w14:textId="77777777" w:rsidR="005A6A65" w:rsidRPr="0094169A" w:rsidRDefault="005A6A65" w:rsidP="005A6A65">
      <w:pPr>
        <w:pStyle w:val="ResolutionsAnnex"/>
        <w:rPr>
          <w:rFonts w:ascii="Times New Roman" w:hAnsi="Times New Roman"/>
          <w:noProof w:val="0"/>
          <w:kern w:val="32"/>
          <w:sz w:val="28"/>
          <w:szCs w:val="28"/>
          <w:lang w:val="fr-FR"/>
        </w:rPr>
      </w:pPr>
    </w:p>
    <w:p w14:paraId="7FB2ED3B" w14:textId="77777777" w:rsidR="005A6A65" w:rsidRPr="0094169A" w:rsidRDefault="005A6A65" w:rsidP="005A6A65">
      <w:pPr>
        <w:rPr>
          <w:color w:val="000000"/>
          <w:sz w:val="20"/>
        </w:rPr>
      </w:pPr>
      <w:r w:rsidRPr="0094169A">
        <w:rPr>
          <w:b/>
          <w:color w:val="000000"/>
          <w:sz w:val="20"/>
        </w:rPr>
        <w:t>Tableau 1</w:t>
      </w:r>
      <w:r w:rsidRPr="0094169A">
        <w:rPr>
          <w:color w:val="000000"/>
          <w:sz w:val="20"/>
        </w:rPr>
        <w:t>. Marlin noir : état du marlin noir (</w:t>
      </w:r>
      <w:r w:rsidRPr="0094169A">
        <w:rPr>
          <w:i/>
          <w:color w:val="000000"/>
          <w:sz w:val="20"/>
        </w:rPr>
        <w:t xml:space="preserve">Makaira </w:t>
      </w:r>
      <w:r w:rsidRPr="0094169A">
        <w:rPr>
          <w:i/>
          <w:sz w:val="20"/>
        </w:rPr>
        <w:t>indicans</w:t>
      </w:r>
      <w:r w:rsidRPr="0094169A">
        <w:rPr>
          <w:color w:val="000000"/>
          <w:sz w:val="20"/>
        </w:rPr>
        <w:t xml:space="preserve">) dans l’océan Indien. </w:t>
      </w:r>
    </w:p>
    <w:tbl>
      <w:tblPr>
        <w:tblW w:w="9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0"/>
        <w:gridCol w:w="2974"/>
        <w:gridCol w:w="2410"/>
        <w:gridCol w:w="1469"/>
      </w:tblGrid>
      <w:tr w:rsidR="005A6A65" w:rsidRPr="0094169A" w14:paraId="4047CAA1" w14:textId="77777777" w:rsidTr="00561F0E">
        <w:trPr>
          <w:trHeight w:val="891"/>
          <w:jc w:val="center"/>
        </w:trPr>
        <w:tc>
          <w:tcPr>
            <w:tcW w:w="2370" w:type="dxa"/>
            <w:shd w:val="clear" w:color="auto" w:fill="auto"/>
            <w:vAlign w:val="center"/>
          </w:tcPr>
          <w:p w14:paraId="0E43FA3B" w14:textId="77777777" w:rsidR="005A6A65" w:rsidRPr="0094169A" w:rsidRDefault="005A6A65" w:rsidP="00561F0E">
            <w:pPr>
              <w:jc w:val="center"/>
              <w:rPr>
                <w:b/>
                <w:sz w:val="20"/>
                <w:lang w:eastAsia="en-US"/>
              </w:rPr>
            </w:pPr>
            <w:r w:rsidRPr="0094169A">
              <w:rPr>
                <w:b/>
                <w:sz w:val="20"/>
                <w:lang w:eastAsia="en-US"/>
              </w:rPr>
              <w:t>Zone</w:t>
            </w:r>
            <w:r w:rsidRPr="0094169A">
              <w:rPr>
                <w:b/>
                <w:sz w:val="20"/>
                <w:vertAlign w:val="superscript"/>
                <w:lang w:eastAsia="en-US"/>
              </w:rPr>
              <w:t>1</w:t>
            </w:r>
          </w:p>
        </w:tc>
        <w:tc>
          <w:tcPr>
            <w:tcW w:w="5384" w:type="dxa"/>
            <w:gridSpan w:val="2"/>
            <w:shd w:val="clear" w:color="auto" w:fill="auto"/>
            <w:vAlign w:val="center"/>
          </w:tcPr>
          <w:p w14:paraId="60E35E68" w14:textId="77777777" w:rsidR="005A6A65" w:rsidRPr="0094169A" w:rsidRDefault="005A6A65" w:rsidP="00561F0E">
            <w:pPr>
              <w:autoSpaceDE w:val="0"/>
              <w:jc w:val="center"/>
              <w:rPr>
                <w:b/>
                <w:sz w:val="20"/>
                <w:lang w:eastAsia="en-US"/>
              </w:rPr>
            </w:pPr>
            <w:r w:rsidRPr="0094169A">
              <w:rPr>
                <w:b/>
                <w:sz w:val="20"/>
                <w:lang w:eastAsia="en-US"/>
              </w:rPr>
              <w:t>Indicateurs</w:t>
            </w:r>
          </w:p>
        </w:tc>
        <w:tc>
          <w:tcPr>
            <w:tcW w:w="1469" w:type="dxa"/>
            <w:tcBorders>
              <w:bottom w:val="single" w:sz="4" w:space="0" w:color="000000"/>
            </w:tcBorders>
            <w:shd w:val="clear" w:color="auto" w:fill="auto"/>
            <w:vAlign w:val="center"/>
          </w:tcPr>
          <w:p w14:paraId="0DA9A5BC" w14:textId="77777777" w:rsidR="005A6A65" w:rsidRPr="0094169A" w:rsidRDefault="005A6A65" w:rsidP="00561F0E">
            <w:pPr>
              <w:autoSpaceDE w:val="0"/>
              <w:jc w:val="center"/>
              <w:rPr>
                <w:b/>
                <w:sz w:val="20"/>
                <w:lang w:eastAsia="en-GB"/>
              </w:rPr>
            </w:pPr>
            <w:r w:rsidRPr="0094169A">
              <w:rPr>
                <w:b/>
                <w:sz w:val="20"/>
                <w:lang w:eastAsia="en-GB"/>
              </w:rPr>
              <w:t>Détermination de l’état du stock 2016</w:t>
            </w:r>
          </w:p>
        </w:tc>
      </w:tr>
      <w:tr w:rsidR="005A6A65" w:rsidRPr="0094169A" w14:paraId="34CC0CD7" w14:textId="77777777" w:rsidTr="00561F0E">
        <w:trPr>
          <w:trHeight w:val="1716"/>
          <w:jc w:val="center"/>
        </w:trPr>
        <w:tc>
          <w:tcPr>
            <w:tcW w:w="2370" w:type="dxa"/>
            <w:shd w:val="clear" w:color="auto" w:fill="auto"/>
            <w:vAlign w:val="center"/>
          </w:tcPr>
          <w:p w14:paraId="1D355835" w14:textId="77777777" w:rsidR="005A6A65" w:rsidRPr="0094169A" w:rsidRDefault="005A6A65" w:rsidP="00561F0E">
            <w:pPr>
              <w:jc w:val="center"/>
              <w:rPr>
                <w:sz w:val="20"/>
                <w:lang w:eastAsia="en-US"/>
              </w:rPr>
            </w:pPr>
            <w:r w:rsidRPr="0094169A">
              <w:rPr>
                <w:sz w:val="20"/>
                <w:lang w:eastAsia="en-US"/>
              </w:rPr>
              <w:t>océan Indien</w:t>
            </w:r>
          </w:p>
        </w:tc>
        <w:tc>
          <w:tcPr>
            <w:tcW w:w="2974" w:type="dxa"/>
            <w:shd w:val="clear" w:color="auto" w:fill="auto"/>
          </w:tcPr>
          <w:p w14:paraId="2285BB4D" w14:textId="559483B6" w:rsidR="005A6A65" w:rsidRPr="0094169A" w:rsidRDefault="005A6A65" w:rsidP="00561F0E">
            <w:pPr>
              <w:tabs>
                <w:tab w:val="right" w:pos="932"/>
                <w:tab w:val="left" w:pos="1168"/>
              </w:tabs>
              <w:spacing w:before="60"/>
              <w:jc w:val="right"/>
              <w:rPr>
                <w:color w:val="000000"/>
                <w:sz w:val="18"/>
                <w:szCs w:val="18"/>
                <w:lang w:eastAsia="en-GB"/>
              </w:rPr>
            </w:pPr>
            <w:r w:rsidRPr="0094169A">
              <w:rPr>
                <w:color w:val="000000"/>
                <w:sz w:val="18"/>
                <w:szCs w:val="18"/>
                <w:lang w:eastAsia="en-GB"/>
              </w:rPr>
              <w:t>Captures 201</w:t>
            </w:r>
            <w:r w:rsidR="00E52204">
              <w:rPr>
                <w:color w:val="000000"/>
                <w:sz w:val="18"/>
                <w:szCs w:val="18"/>
                <w:lang w:eastAsia="en-GB"/>
              </w:rPr>
              <w:t>6</w:t>
            </w:r>
            <w:r w:rsidRPr="0094169A">
              <w:rPr>
                <w:color w:val="000000"/>
                <w:sz w:val="18"/>
                <w:szCs w:val="18"/>
                <w:vertAlign w:val="superscript"/>
                <w:lang w:eastAsia="en-GB"/>
              </w:rPr>
              <w:t>2</w:t>
            </w:r>
            <w:r w:rsidRPr="0094169A">
              <w:rPr>
                <w:color w:val="000000"/>
                <w:sz w:val="18"/>
                <w:szCs w:val="18"/>
                <w:lang w:eastAsia="en-GB"/>
              </w:rPr>
              <w:t> :</w:t>
            </w:r>
          </w:p>
          <w:p w14:paraId="7F6F4ED6" w14:textId="16A1AF1C" w:rsidR="005A6A65" w:rsidRPr="0094169A" w:rsidRDefault="005A6A65" w:rsidP="00561F0E">
            <w:pPr>
              <w:jc w:val="right"/>
              <w:rPr>
                <w:color w:val="000000"/>
                <w:sz w:val="20"/>
                <w:lang w:eastAsia="en-US"/>
              </w:rPr>
            </w:pPr>
            <w:r w:rsidRPr="0094169A">
              <w:rPr>
                <w:color w:val="000000"/>
                <w:sz w:val="18"/>
                <w:szCs w:val="18"/>
                <w:lang w:eastAsia="en-GB"/>
              </w:rPr>
              <w:t>Captures moyennes 2001</w:t>
            </w:r>
            <w:r w:rsidR="00E52204">
              <w:rPr>
                <w:color w:val="000000"/>
                <w:sz w:val="18"/>
                <w:szCs w:val="18"/>
                <w:lang w:eastAsia="en-GB"/>
              </w:rPr>
              <w:t>2</w:t>
            </w:r>
            <w:r w:rsidRPr="0094169A">
              <w:rPr>
                <w:color w:val="000000" w:themeColor="text1"/>
                <w:sz w:val="18"/>
                <w:szCs w:val="18"/>
                <w:lang w:eastAsia="en-GB"/>
              </w:rPr>
              <w:t>–</w:t>
            </w:r>
            <w:r w:rsidR="00E52204">
              <w:rPr>
                <w:color w:val="000000"/>
                <w:sz w:val="18"/>
                <w:szCs w:val="18"/>
                <w:lang w:eastAsia="en-GB"/>
              </w:rPr>
              <w:t>2016</w:t>
            </w:r>
            <w:r w:rsidRPr="0094169A">
              <w:rPr>
                <w:color w:val="000000"/>
                <w:sz w:val="18"/>
                <w:szCs w:val="18"/>
                <w:lang w:eastAsia="en-GB"/>
              </w:rPr>
              <w:t> :</w:t>
            </w:r>
          </w:p>
          <w:p w14:paraId="6C306E16" w14:textId="77777777" w:rsidR="005A6A65" w:rsidRPr="0094169A" w:rsidRDefault="005A6A65" w:rsidP="00561F0E">
            <w:pPr>
              <w:tabs>
                <w:tab w:val="right" w:pos="932"/>
                <w:tab w:val="left" w:pos="1168"/>
              </w:tabs>
              <w:jc w:val="right"/>
              <w:rPr>
                <w:color w:val="000000"/>
                <w:sz w:val="18"/>
                <w:szCs w:val="18"/>
                <w:lang w:eastAsia="en-GB"/>
              </w:rPr>
            </w:pPr>
            <w:r w:rsidRPr="0094169A">
              <w:rPr>
                <w:color w:val="000000"/>
                <w:sz w:val="18"/>
                <w:szCs w:val="18"/>
                <w:lang w:eastAsia="en-GB"/>
              </w:rPr>
              <w:t>PME (1000 t) (80% IC) :</w:t>
            </w:r>
          </w:p>
          <w:p w14:paraId="18FC360F" w14:textId="77777777" w:rsidR="005A6A65" w:rsidRPr="0094169A" w:rsidRDefault="005A6A65" w:rsidP="00561F0E">
            <w:pPr>
              <w:tabs>
                <w:tab w:val="right" w:pos="932"/>
                <w:tab w:val="left" w:pos="1168"/>
              </w:tabs>
              <w:jc w:val="right"/>
              <w:rPr>
                <w:color w:val="000000" w:themeColor="text1"/>
                <w:sz w:val="18"/>
                <w:szCs w:val="18"/>
                <w:lang w:eastAsia="en-GB"/>
              </w:rPr>
            </w:pPr>
            <w:r w:rsidRPr="0094169A">
              <w:rPr>
                <w:color w:val="000000" w:themeColor="text1"/>
                <w:sz w:val="18"/>
                <w:szCs w:val="18"/>
                <w:lang w:eastAsia="en-GB"/>
              </w:rPr>
              <w:t>F</w:t>
            </w:r>
            <w:r w:rsidRPr="0094169A">
              <w:rPr>
                <w:color w:val="000000" w:themeColor="text1"/>
                <w:sz w:val="18"/>
                <w:szCs w:val="18"/>
                <w:vertAlign w:val="subscript"/>
                <w:lang w:eastAsia="en-GB"/>
              </w:rPr>
              <w:t>PME</w:t>
            </w:r>
            <w:r w:rsidRPr="0094169A">
              <w:rPr>
                <w:color w:val="000000" w:themeColor="text1"/>
                <w:sz w:val="18"/>
                <w:szCs w:val="18"/>
                <w:lang w:eastAsia="en-GB"/>
              </w:rPr>
              <w:t xml:space="preserve"> (80% IC) :</w:t>
            </w:r>
          </w:p>
          <w:p w14:paraId="1EB29EDD" w14:textId="77777777" w:rsidR="005A6A65" w:rsidRPr="0094169A" w:rsidRDefault="005A6A65" w:rsidP="00561F0E">
            <w:pPr>
              <w:tabs>
                <w:tab w:val="right" w:pos="932"/>
                <w:tab w:val="left" w:pos="1168"/>
              </w:tabs>
              <w:jc w:val="right"/>
              <w:rPr>
                <w:color w:val="000000" w:themeColor="text1"/>
                <w:sz w:val="18"/>
                <w:szCs w:val="18"/>
                <w:lang w:eastAsia="en-GB"/>
              </w:rPr>
            </w:pPr>
            <w:r w:rsidRPr="0094169A">
              <w:rPr>
                <w:color w:val="000000" w:themeColor="text1"/>
                <w:sz w:val="18"/>
                <w:szCs w:val="18"/>
                <w:lang w:eastAsia="en-GB"/>
              </w:rPr>
              <w:t>B</w:t>
            </w:r>
            <w:r w:rsidRPr="0094169A">
              <w:rPr>
                <w:color w:val="000000" w:themeColor="text1"/>
                <w:sz w:val="18"/>
                <w:szCs w:val="18"/>
                <w:vertAlign w:val="subscript"/>
                <w:lang w:eastAsia="en-GB"/>
              </w:rPr>
              <w:t>PME</w:t>
            </w:r>
            <w:r w:rsidRPr="0094169A">
              <w:rPr>
                <w:color w:val="000000" w:themeColor="text1"/>
                <w:sz w:val="18"/>
                <w:szCs w:val="18"/>
                <w:lang w:eastAsia="en-GB"/>
              </w:rPr>
              <w:t xml:space="preserve"> (1000 t) (80% IC) :</w:t>
            </w:r>
          </w:p>
          <w:p w14:paraId="45854DB7" w14:textId="77777777" w:rsidR="005A6A65" w:rsidRPr="0094169A" w:rsidRDefault="005A6A65" w:rsidP="00561F0E">
            <w:pPr>
              <w:tabs>
                <w:tab w:val="right" w:pos="932"/>
                <w:tab w:val="left" w:pos="1168"/>
              </w:tabs>
              <w:jc w:val="right"/>
              <w:rPr>
                <w:color w:val="000000" w:themeColor="text1"/>
                <w:sz w:val="18"/>
                <w:szCs w:val="18"/>
                <w:lang w:eastAsia="en-GB"/>
              </w:rPr>
            </w:pPr>
            <w:r w:rsidRPr="0094169A">
              <w:rPr>
                <w:color w:val="000000" w:themeColor="text1"/>
                <w:sz w:val="18"/>
                <w:szCs w:val="18"/>
                <w:lang w:eastAsia="en-GB"/>
              </w:rPr>
              <w:t>F</w:t>
            </w:r>
            <w:r w:rsidRPr="0094169A">
              <w:rPr>
                <w:color w:val="000000" w:themeColor="text1"/>
                <w:sz w:val="18"/>
                <w:szCs w:val="18"/>
                <w:vertAlign w:val="subscript"/>
                <w:lang w:eastAsia="en-GB"/>
              </w:rPr>
              <w:t>2015/</w:t>
            </w:r>
            <w:r w:rsidRPr="0094169A">
              <w:rPr>
                <w:color w:val="000000" w:themeColor="text1"/>
                <w:sz w:val="18"/>
                <w:szCs w:val="18"/>
                <w:lang w:eastAsia="en-GB"/>
              </w:rPr>
              <w:t>F</w:t>
            </w:r>
            <w:r w:rsidRPr="0094169A">
              <w:rPr>
                <w:color w:val="000000" w:themeColor="text1"/>
                <w:sz w:val="18"/>
                <w:szCs w:val="18"/>
                <w:vertAlign w:val="subscript"/>
                <w:lang w:eastAsia="en-GB"/>
              </w:rPr>
              <w:t xml:space="preserve">PME </w:t>
            </w:r>
            <w:r w:rsidRPr="0094169A">
              <w:rPr>
                <w:color w:val="000000" w:themeColor="text1"/>
                <w:sz w:val="18"/>
                <w:szCs w:val="18"/>
                <w:lang w:eastAsia="en-GB"/>
              </w:rPr>
              <w:t>(80% IC) :</w:t>
            </w:r>
          </w:p>
          <w:p w14:paraId="26033F9F" w14:textId="77777777" w:rsidR="005A6A65" w:rsidRPr="0094169A" w:rsidRDefault="005A6A65" w:rsidP="00561F0E">
            <w:pPr>
              <w:tabs>
                <w:tab w:val="right" w:pos="932"/>
                <w:tab w:val="left" w:pos="1168"/>
              </w:tabs>
              <w:jc w:val="right"/>
              <w:rPr>
                <w:color w:val="000000" w:themeColor="text1"/>
                <w:sz w:val="18"/>
                <w:szCs w:val="18"/>
                <w:lang w:eastAsia="en-GB"/>
              </w:rPr>
            </w:pPr>
            <w:r w:rsidRPr="0094169A">
              <w:rPr>
                <w:color w:val="000000" w:themeColor="text1"/>
                <w:sz w:val="18"/>
                <w:szCs w:val="18"/>
                <w:lang w:eastAsia="en-GB"/>
              </w:rPr>
              <w:t>B</w:t>
            </w:r>
            <w:r w:rsidRPr="0094169A">
              <w:rPr>
                <w:color w:val="000000" w:themeColor="text1"/>
                <w:sz w:val="18"/>
                <w:szCs w:val="18"/>
                <w:vertAlign w:val="subscript"/>
                <w:lang w:eastAsia="en-GB"/>
              </w:rPr>
              <w:t>2015/</w:t>
            </w:r>
            <w:r w:rsidRPr="0094169A">
              <w:rPr>
                <w:color w:val="000000" w:themeColor="text1"/>
                <w:sz w:val="18"/>
                <w:szCs w:val="18"/>
                <w:lang w:eastAsia="en-GB"/>
              </w:rPr>
              <w:t>B</w:t>
            </w:r>
            <w:r w:rsidRPr="0094169A">
              <w:rPr>
                <w:color w:val="000000" w:themeColor="text1"/>
                <w:sz w:val="18"/>
                <w:szCs w:val="18"/>
                <w:vertAlign w:val="subscript"/>
                <w:lang w:eastAsia="en-GB"/>
              </w:rPr>
              <w:t xml:space="preserve">PME </w:t>
            </w:r>
            <w:r w:rsidRPr="0094169A">
              <w:rPr>
                <w:color w:val="000000" w:themeColor="text1"/>
                <w:sz w:val="18"/>
                <w:szCs w:val="18"/>
                <w:lang w:eastAsia="en-GB"/>
              </w:rPr>
              <w:t>(80% IC) :</w:t>
            </w:r>
          </w:p>
          <w:p w14:paraId="65AC7DF1" w14:textId="77777777" w:rsidR="005A6A65" w:rsidRPr="0094169A" w:rsidRDefault="005A6A65" w:rsidP="00561F0E">
            <w:pPr>
              <w:tabs>
                <w:tab w:val="right" w:pos="932"/>
                <w:tab w:val="left" w:pos="1168"/>
              </w:tabs>
              <w:jc w:val="right"/>
              <w:rPr>
                <w:color w:val="000000"/>
                <w:sz w:val="20"/>
                <w:lang w:eastAsia="en-US"/>
              </w:rPr>
            </w:pPr>
            <w:r w:rsidRPr="0094169A">
              <w:rPr>
                <w:color w:val="000000" w:themeColor="text1"/>
                <w:sz w:val="18"/>
                <w:szCs w:val="18"/>
              </w:rPr>
              <w:t>B</w:t>
            </w:r>
            <w:r w:rsidRPr="0094169A">
              <w:rPr>
                <w:color w:val="000000" w:themeColor="text1"/>
                <w:sz w:val="18"/>
                <w:szCs w:val="18"/>
                <w:vertAlign w:val="subscript"/>
              </w:rPr>
              <w:t>2015</w:t>
            </w:r>
            <w:r w:rsidRPr="0094169A">
              <w:rPr>
                <w:color w:val="000000" w:themeColor="text1"/>
                <w:sz w:val="18"/>
                <w:szCs w:val="18"/>
              </w:rPr>
              <w:t>/B</w:t>
            </w:r>
            <w:r w:rsidRPr="0094169A">
              <w:rPr>
                <w:color w:val="000000" w:themeColor="text1"/>
                <w:sz w:val="18"/>
                <w:szCs w:val="18"/>
                <w:vertAlign w:val="subscript"/>
              </w:rPr>
              <w:t xml:space="preserve">1800 </w:t>
            </w:r>
            <w:r w:rsidRPr="0094169A">
              <w:rPr>
                <w:color w:val="000000" w:themeColor="text1"/>
                <w:sz w:val="18"/>
                <w:szCs w:val="18"/>
                <w:lang w:eastAsia="en-GB"/>
              </w:rPr>
              <w:t>(80% IC</w:t>
            </w:r>
            <w:r w:rsidRPr="0094169A">
              <w:rPr>
                <w:color w:val="000000"/>
                <w:sz w:val="18"/>
                <w:szCs w:val="18"/>
                <w:lang w:eastAsia="en-GB"/>
              </w:rPr>
              <w:t>) :</w:t>
            </w:r>
          </w:p>
        </w:tc>
        <w:tc>
          <w:tcPr>
            <w:tcW w:w="2410" w:type="dxa"/>
            <w:shd w:val="clear" w:color="auto" w:fill="auto"/>
            <w:vAlign w:val="center"/>
          </w:tcPr>
          <w:p w14:paraId="256875D2" w14:textId="2656BAF3" w:rsidR="005A6A65" w:rsidRPr="0094169A" w:rsidRDefault="00E52204" w:rsidP="00561F0E">
            <w:pPr>
              <w:rPr>
                <w:sz w:val="18"/>
                <w:szCs w:val="18"/>
                <w:lang w:eastAsia="en-GB"/>
              </w:rPr>
            </w:pPr>
            <w:r>
              <w:rPr>
                <w:sz w:val="18"/>
                <w:szCs w:val="18"/>
                <w:lang w:eastAsia="en-GB"/>
              </w:rPr>
              <w:t>17 829</w:t>
            </w:r>
            <w:r w:rsidR="005A6A65" w:rsidRPr="0094169A">
              <w:rPr>
                <w:sz w:val="18"/>
                <w:szCs w:val="18"/>
                <w:lang w:eastAsia="en-GB"/>
              </w:rPr>
              <w:t xml:space="preserve"> t</w:t>
            </w:r>
          </w:p>
          <w:p w14:paraId="337CC904" w14:textId="2F6B5D42" w:rsidR="005A6A65" w:rsidRPr="0094169A" w:rsidRDefault="00E52204" w:rsidP="00561F0E">
            <w:pPr>
              <w:rPr>
                <w:color w:val="000000"/>
                <w:sz w:val="18"/>
                <w:szCs w:val="18"/>
                <w:lang w:eastAsia="en-US"/>
              </w:rPr>
            </w:pPr>
            <w:r>
              <w:rPr>
                <w:sz w:val="18"/>
                <w:szCs w:val="18"/>
                <w:lang w:eastAsia="en-GB"/>
              </w:rPr>
              <w:t>26 638</w:t>
            </w:r>
            <w:r w:rsidR="005A6A65" w:rsidRPr="0094169A">
              <w:rPr>
                <w:sz w:val="18"/>
                <w:szCs w:val="18"/>
                <w:lang w:eastAsia="en-GB"/>
              </w:rPr>
              <w:t xml:space="preserve"> t</w:t>
            </w:r>
          </w:p>
          <w:p w14:paraId="55385C1E" w14:textId="77777777" w:rsidR="005A6A65" w:rsidRPr="0094169A" w:rsidRDefault="005A6A65" w:rsidP="00561F0E">
            <w:pPr>
              <w:rPr>
                <w:sz w:val="18"/>
                <w:szCs w:val="18"/>
              </w:rPr>
            </w:pPr>
            <w:r w:rsidRPr="0094169A">
              <w:rPr>
                <w:sz w:val="18"/>
                <w:szCs w:val="18"/>
              </w:rPr>
              <w:t>9,932 (6,963-12,153)</w:t>
            </w:r>
          </w:p>
          <w:p w14:paraId="6E32D78B" w14:textId="77777777" w:rsidR="005A6A65" w:rsidRPr="0094169A" w:rsidRDefault="005A6A65" w:rsidP="00561F0E">
            <w:pPr>
              <w:rPr>
                <w:sz w:val="18"/>
                <w:szCs w:val="18"/>
              </w:rPr>
            </w:pPr>
            <w:r w:rsidRPr="0094169A">
              <w:rPr>
                <w:sz w:val="18"/>
                <w:szCs w:val="18"/>
              </w:rPr>
              <w:t>0,211 (0,089-0,430)</w:t>
            </w:r>
          </w:p>
          <w:p w14:paraId="2F83D7DF" w14:textId="77777777" w:rsidR="005A6A65" w:rsidRPr="0094169A" w:rsidRDefault="005A6A65" w:rsidP="00561F0E">
            <w:pPr>
              <w:rPr>
                <w:sz w:val="18"/>
                <w:szCs w:val="18"/>
              </w:rPr>
            </w:pPr>
            <w:r w:rsidRPr="0094169A">
              <w:rPr>
                <w:sz w:val="18"/>
                <w:szCs w:val="18"/>
              </w:rPr>
              <w:t>47,430 (27,435-100,109)</w:t>
            </w:r>
          </w:p>
          <w:p w14:paraId="6FFD60E6" w14:textId="77777777" w:rsidR="005A6A65" w:rsidRPr="0094169A" w:rsidRDefault="005A6A65" w:rsidP="00561F0E">
            <w:pPr>
              <w:rPr>
                <w:sz w:val="18"/>
                <w:szCs w:val="18"/>
              </w:rPr>
            </w:pPr>
            <w:r w:rsidRPr="0094169A">
              <w:rPr>
                <w:sz w:val="18"/>
                <w:szCs w:val="18"/>
              </w:rPr>
              <w:t>2,42 (1,52-4,06)</w:t>
            </w:r>
          </w:p>
          <w:p w14:paraId="667B3E0E" w14:textId="77777777" w:rsidR="005A6A65" w:rsidRPr="0094169A" w:rsidRDefault="005A6A65" w:rsidP="00561F0E">
            <w:pPr>
              <w:rPr>
                <w:sz w:val="18"/>
                <w:szCs w:val="18"/>
              </w:rPr>
            </w:pPr>
            <w:r w:rsidRPr="0094169A">
              <w:rPr>
                <w:sz w:val="18"/>
                <w:szCs w:val="18"/>
              </w:rPr>
              <w:t>0,81 (0,55-1,10)</w:t>
            </w:r>
          </w:p>
          <w:p w14:paraId="21088B82" w14:textId="77777777" w:rsidR="005A6A65" w:rsidRPr="0094169A" w:rsidRDefault="005A6A65" w:rsidP="00561F0E">
            <w:pPr>
              <w:rPr>
                <w:color w:val="000000"/>
                <w:sz w:val="18"/>
                <w:szCs w:val="18"/>
                <w:lang w:eastAsia="en-US"/>
              </w:rPr>
            </w:pPr>
            <w:r w:rsidRPr="0094169A">
              <w:rPr>
                <w:sz w:val="18"/>
                <w:szCs w:val="18"/>
              </w:rPr>
              <w:t>0,30 (0,20-0,41)</w:t>
            </w:r>
          </w:p>
        </w:tc>
        <w:tc>
          <w:tcPr>
            <w:tcW w:w="1469" w:type="dxa"/>
            <w:tcBorders>
              <w:bottom w:val="single" w:sz="4" w:space="0" w:color="auto"/>
            </w:tcBorders>
            <w:shd w:val="clear" w:color="auto" w:fill="FF0000"/>
            <w:vAlign w:val="center"/>
          </w:tcPr>
          <w:p w14:paraId="5FDCCDB2" w14:textId="77777777" w:rsidR="005A6A65" w:rsidRPr="0094169A" w:rsidRDefault="005A6A65" w:rsidP="00561F0E">
            <w:pPr>
              <w:keepNext/>
              <w:keepLines/>
              <w:widowControl w:val="0"/>
              <w:jc w:val="center"/>
              <w:outlineLvl w:val="0"/>
              <w:rPr>
                <w:b/>
                <w:bCs/>
                <w:smallCaps/>
                <w:kern w:val="32"/>
                <w:sz w:val="20"/>
              </w:rPr>
            </w:pPr>
            <w:r w:rsidRPr="0094169A">
              <w:rPr>
                <w:b/>
                <w:bCs/>
                <w:smallCaps/>
                <w:kern w:val="32"/>
                <w:sz w:val="20"/>
              </w:rPr>
              <w:t>80%*</w:t>
            </w:r>
          </w:p>
        </w:tc>
      </w:tr>
    </w:tbl>
    <w:p w14:paraId="13157285" w14:textId="77777777" w:rsidR="005A6A65" w:rsidRPr="0094169A" w:rsidRDefault="005A6A65" w:rsidP="005A6A65">
      <w:pPr>
        <w:keepNext/>
        <w:keepLines/>
        <w:widowControl w:val="0"/>
        <w:ind w:firstLine="720"/>
        <w:outlineLvl w:val="0"/>
        <w:rPr>
          <w:color w:val="000000"/>
          <w:sz w:val="18"/>
          <w:szCs w:val="18"/>
        </w:rPr>
      </w:pPr>
      <w:r w:rsidRPr="0094169A">
        <w:rPr>
          <w:color w:val="000000"/>
          <w:sz w:val="18"/>
          <w:szCs w:val="18"/>
          <w:vertAlign w:val="superscript"/>
        </w:rPr>
        <w:t>1</w:t>
      </w:r>
      <w:r w:rsidRPr="0094169A">
        <w:rPr>
          <w:color w:val="000000"/>
          <w:sz w:val="18"/>
          <w:szCs w:val="18"/>
        </w:rPr>
        <w:t>Limites pour l’océan Indien = zone de compétence de la CTOI.</w:t>
      </w:r>
    </w:p>
    <w:p w14:paraId="38D706B3" w14:textId="17D777C5" w:rsidR="005A6A65" w:rsidRPr="0094169A" w:rsidRDefault="005A6A65" w:rsidP="005A6A65">
      <w:pPr>
        <w:keepNext/>
        <w:keepLines/>
        <w:widowControl w:val="0"/>
        <w:ind w:firstLine="720"/>
        <w:outlineLvl w:val="0"/>
        <w:rPr>
          <w:color w:val="000000"/>
          <w:sz w:val="18"/>
          <w:szCs w:val="18"/>
        </w:rPr>
      </w:pPr>
      <w:r w:rsidRPr="0094169A">
        <w:rPr>
          <w:color w:val="000000"/>
          <w:sz w:val="18"/>
          <w:szCs w:val="18"/>
          <w:vertAlign w:val="superscript"/>
        </w:rPr>
        <w:t>2</w:t>
      </w:r>
      <w:r w:rsidRPr="0094169A">
        <w:rPr>
          <w:color w:val="000000"/>
          <w:sz w:val="18"/>
          <w:szCs w:val="18"/>
        </w:rPr>
        <w:t>Proportion des captures estimées ou partiellement estimées par le Secrétariat</w:t>
      </w:r>
      <w:r w:rsidR="00281A1A">
        <w:rPr>
          <w:color w:val="000000"/>
          <w:sz w:val="18"/>
          <w:szCs w:val="18"/>
        </w:rPr>
        <w:t xml:space="preserve"> de la CTOI en 2016 : 4</w:t>
      </w:r>
      <w:r w:rsidRPr="0094169A">
        <w:rPr>
          <w:color w:val="000000"/>
          <w:sz w:val="18"/>
          <w:szCs w:val="18"/>
        </w:rPr>
        <w:t>2%</w:t>
      </w:r>
    </w:p>
    <w:p w14:paraId="2C28C537" w14:textId="77777777" w:rsidR="005A6A65" w:rsidRPr="0094169A" w:rsidRDefault="005A6A65" w:rsidP="005A6A65">
      <w:pPr>
        <w:keepNext/>
        <w:keepLines/>
        <w:widowControl w:val="0"/>
        <w:ind w:left="709"/>
        <w:outlineLvl w:val="0"/>
        <w:rPr>
          <w:color w:val="000000"/>
          <w:sz w:val="18"/>
          <w:szCs w:val="18"/>
        </w:rPr>
      </w:pPr>
      <w:r w:rsidRPr="0094169A">
        <w:rPr>
          <w:color w:val="000000"/>
          <w:sz w:val="18"/>
          <w:szCs w:val="18"/>
        </w:rPr>
        <w:t>*Probabilité estimée que le stock se trouve dans le cadrant correspondant du graphe de Kobe (plus bas), dérivée des intervalles de confiance associés à l’état actuel du stock</w:t>
      </w:r>
    </w:p>
    <w:p w14:paraId="33228DB2" w14:textId="77777777" w:rsidR="005A6A65" w:rsidRPr="0094169A" w:rsidRDefault="005A6A65" w:rsidP="005A6A65">
      <w:pPr>
        <w:keepNext/>
        <w:keepLines/>
        <w:widowControl w:val="0"/>
        <w:ind w:firstLine="720"/>
        <w:outlineLvl w:val="0"/>
        <w:rPr>
          <w:b/>
          <w:bCs/>
          <w:smallCaps/>
          <w:kern w:val="32"/>
          <w:sz w:val="18"/>
          <w:szCs w:val="18"/>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886"/>
        <w:gridCol w:w="2977"/>
        <w:gridCol w:w="3169"/>
      </w:tblGrid>
      <w:tr w:rsidR="005A6A65" w:rsidRPr="0094169A" w14:paraId="255C1492" w14:textId="77777777" w:rsidTr="00561F0E">
        <w:trPr>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4FA2C0C7" w14:textId="77777777" w:rsidR="005A6A65" w:rsidRPr="0094169A" w:rsidRDefault="005A6A65" w:rsidP="00561F0E">
            <w:pPr>
              <w:keepNext/>
              <w:keepLines/>
              <w:jc w:val="center"/>
              <w:rPr>
                <w:b/>
                <w:sz w:val="18"/>
                <w:szCs w:val="18"/>
                <w:lang w:eastAsia="en-GB"/>
              </w:rPr>
            </w:pPr>
            <w:r w:rsidRPr="0094169A">
              <w:rPr>
                <w:b/>
                <w:sz w:val="18"/>
                <w:szCs w:val="18"/>
                <w:lang w:eastAsia="en-GB"/>
              </w:rPr>
              <w:t>Légende du code couleur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CA6756" w14:textId="77777777" w:rsidR="005A6A65" w:rsidRPr="0094169A" w:rsidRDefault="005A6A65" w:rsidP="00561F0E">
            <w:pPr>
              <w:keepNext/>
              <w:keepLines/>
              <w:jc w:val="center"/>
              <w:rPr>
                <w:sz w:val="18"/>
                <w:szCs w:val="18"/>
                <w:lang w:eastAsia="en-GB"/>
              </w:rPr>
            </w:pPr>
            <w:r w:rsidRPr="0094169A">
              <w:rPr>
                <w:sz w:val="18"/>
                <w:szCs w:val="18"/>
                <w:lang w:eastAsia="en-GB"/>
              </w:rPr>
              <w:t>Stock surexploité (SB</w:t>
            </w:r>
            <w:r w:rsidRPr="0094169A">
              <w:rPr>
                <w:sz w:val="18"/>
                <w:szCs w:val="18"/>
                <w:vertAlign w:val="subscript"/>
                <w:lang w:eastAsia="en-GB"/>
              </w:rPr>
              <w:t>année</w:t>
            </w:r>
            <w:r w:rsidRPr="0094169A">
              <w:rPr>
                <w:sz w:val="18"/>
                <w:szCs w:val="18"/>
                <w:lang w:eastAsia="en-GB"/>
              </w:rPr>
              <w:t>/SB</w:t>
            </w:r>
            <w:r w:rsidRPr="0094169A">
              <w:rPr>
                <w:sz w:val="18"/>
                <w:szCs w:val="18"/>
                <w:vertAlign w:val="subscript"/>
                <w:lang w:eastAsia="en-GB"/>
              </w:rPr>
              <w:t>PME</w:t>
            </w:r>
            <w:r w:rsidRPr="0094169A">
              <w:rPr>
                <w:sz w:val="18"/>
                <w:szCs w:val="18"/>
                <w:lang w:eastAsia="en-GB"/>
              </w:rPr>
              <w:t>&lt; 1)</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tcPr>
          <w:p w14:paraId="3CEB2E4D" w14:textId="77777777" w:rsidR="005A6A65" w:rsidRPr="0094169A" w:rsidRDefault="005A6A65" w:rsidP="00561F0E">
            <w:pPr>
              <w:keepNext/>
              <w:keepLines/>
              <w:jc w:val="center"/>
              <w:rPr>
                <w:sz w:val="18"/>
                <w:szCs w:val="18"/>
                <w:lang w:eastAsia="en-GB"/>
              </w:rPr>
            </w:pPr>
            <w:r w:rsidRPr="0094169A">
              <w:rPr>
                <w:sz w:val="18"/>
                <w:szCs w:val="18"/>
                <w:lang w:eastAsia="en-GB"/>
              </w:rPr>
              <w:t>Stock non surexploité (SB</w:t>
            </w:r>
            <w:r w:rsidRPr="0094169A">
              <w:rPr>
                <w:sz w:val="18"/>
                <w:szCs w:val="18"/>
                <w:vertAlign w:val="subscript"/>
                <w:lang w:eastAsia="en-GB"/>
              </w:rPr>
              <w:t>année</w:t>
            </w:r>
            <w:r w:rsidRPr="0094169A">
              <w:rPr>
                <w:sz w:val="18"/>
                <w:szCs w:val="18"/>
                <w:lang w:eastAsia="en-GB"/>
              </w:rPr>
              <w:t>/SB</w:t>
            </w:r>
            <w:r w:rsidRPr="0094169A">
              <w:rPr>
                <w:sz w:val="18"/>
                <w:szCs w:val="18"/>
                <w:vertAlign w:val="subscript"/>
                <w:lang w:eastAsia="en-GB"/>
              </w:rPr>
              <w:t>PME</w:t>
            </w:r>
            <w:r w:rsidRPr="0094169A">
              <w:rPr>
                <w:sz w:val="18"/>
                <w:szCs w:val="18"/>
                <w:lang w:eastAsia="en-GB"/>
              </w:rPr>
              <w:t>≥1)</w:t>
            </w:r>
          </w:p>
        </w:tc>
      </w:tr>
      <w:tr w:rsidR="005A6A65" w:rsidRPr="0094169A" w14:paraId="00ED2DAF" w14:textId="77777777" w:rsidTr="00561F0E">
        <w:trPr>
          <w:trHeight w:val="224"/>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588DDB49" w14:textId="77777777" w:rsidR="005A6A65" w:rsidRPr="0094169A" w:rsidRDefault="005A6A65" w:rsidP="00561F0E">
            <w:pPr>
              <w:keepNext/>
              <w:keepLines/>
              <w:jc w:val="center"/>
              <w:rPr>
                <w:sz w:val="18"/>
                <w:szCs w:val="18"/>
                <w:lang w:eastAsia="en-GB"/>
              </w:rPr>
            </w:pPr>
            <w:r w:rsidRPr="0094169A">
              <w:rPr>
                <w:sz w:val="18"/>
                <w:szCs w:val="18"/>
                <w:lang w:eastAsia="en-GB"/>
              </w:rPr>
              <w:t>Stock sujet à la surpêche (F</w:t>
            </w:r>
            <w:r w:rsidRPr="0094169A">
              <w:rPr>
                <w:sz w:val="18"/>
                <w:szCs w:val="18"/>
                <w:vertAlign w:val="subscript"/>
                <w:lang w:eastAsia="en-GB"/>
              </w:rPr>
              <w:t>année</w:t>
            </w:r>
            <w:r w:rsidRPr="0094169A">
              <w:rPr>
                <w:sz w:val="18"/>
                <w:szCs w:val="18"/>
                <w:lang w:eastAsia="en-GB"/>
              </w:rPr>
              <w:t>/F</w:t>
            </w:r>
            <w:r w:rsidRPr="0094169A">
              <w:rPr>
                <w:sz w:val="18"/>
                <w:szCs w:val="18"/>
                <w:vertAlign w:val="subscript"/>
                <w:lang w:eastAsia="en-GB"/>
              </w:rPr>
              <w:t>PME</w:t>
            </w:r>
            <w:r w:rsidRPr="0094169A">
              <w:rPr>
                <w:sz w:val="18"/>
                <w:szCs w:val="18"/>
                <w:lang w:eastAsia="en-GB"/>
              </w:rPr>
              <w:t>&gt;1)</w:t>
            </w:r>
          </w:p>
        </w:tc>
        <w:tc>
          <w:tcPr>
            <w:tcW w:w="2977" w:type="dxa"/>
            <w:tcBorders>
              <w:top w:val="single" w:sz="4" w:space="0" w:color="auto"/>
              <w:left w:val="single" w:sz="4" w:space="0" w:color="auto"/>
              <w:bottom w:val="single" w:sz="4" w:space="0" w:color="auto"/>
              <w:right w:val="single" w:sz="4" w:space="0" w:color="auto"/>
            </w:tcBorders>
            <w:shd w:val="clear" w:color="auto" w:fill="FF0000"/>
            <w:vAlign w:val="center"/>
          </w:tcPr>
          <w:p w14:paraId="55226CD7" w14:textId="77777777" w:rsidR="005A6A65" w:rsidRPr="0094169A" w:rsidRDefault="005A6A65" w:rsidP="00561F0E">
            <w:pPr>
              <w:keepNext/>
              <w:keepLines/>
              <w:jc w:val="center"/>
              <w:rPr>
                <w:sz w:val="18"/>
                <w:szCs w:val="18"/>
                <w:lang w:eastAsia="en-GB"/>
              </w:rPr>
            </w:pPr>
            <w:r w:rsidRPr="0094169A">
              <w:rPr>
                <w:sz w:val="18"/>
                <w:szCs w:val="18"/>
                <w:lang w:eastAsia="en-GB"/>
              </w:rPr>
              <w:t>80%</w:t>
            </w:r>
          </w:p>
        </w:tc>
        <w:tc>
          <w:tcPr>
            <w:tcW w:w="3169" w:type="dxa"/>
            <w:tcBorders>
              <w:top w:val="single" w:sz="4" w:space="0" w:color="auto"/>
              <w:left w:val="single" w:sz="4" w:space="0" w:color="auto"/>
              <w:bottom w:val="single" w:sz="4" w:space="0" w:color="auto"/>
              <w:right w:val="single" w:sz="4" w:space="0" w:color="auto"/>
            </w:tcBorders>
            <w:shd w:val="clear" w:color="auto" w:fill="FF9900"/>
            <w:vAlign w:val="center"/>
          </w:tcPr>
          <w:p w14:paraId="24B64E79" w14:textId="77777777" w:rsidR="005A6A65" w:rsidRPr="0094169A" w:rsidRDefault="005A6A65" w:rsidP="00561F0E">
            <w:pPr>
              <w:keepNext/>
              <w:keepLines/>
              <w:jc w:val="center"/>
              <w:rPr>
                <w:sz w:val="18"/>
                <w:szCs w:val="18"/>
                <w:lang w:eastAsia="en-GB"/>
              </w:rPr>
            </w:pPr>
            <w:r w:rsidRPr="0094169A">
              <w:rPr>
                <w:sz w:val="18"/>
                <w:szCs w:val="18"/>
                <w:lang w:eastAsia="en-GB"/>
              </w:rPr>
              <w:t>19%</w:t>
            </w:r>
          </w:p>
        </w:tc>
      </w:tr>
      <w:tr w:rsidR="005A6A65" w:rsidRPr="0094169A" w14:paraId="2460E68A" w14:textId="77777777" w:rsidTr="00561F0E">
        <w:trPr>
          <w:trHeight w:val="260"/>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25FE4F1E" w14:textId="77777777" w:rsidR="005A6A65" w:rsidRPr="0094169A" w:rsidRDefault="005A6A65" w:rsidP="00561F0E">
            <w:pPr>
              <w:keepNext/>
              <w:keepLines/>
              <w:jc w:val="center"/>
              <w:rPr>
                <w:sz w:val="18"/>
                <w:szCs w:val="18"/>
                <w:lang w:eastAsia="en-GB"/>
              </w:rPr>
            </w:pPr>
            <w:r w:rsidRPr="0094169A">
              <w:rPr>
                <w:sz w:val="18"/>
                <w:szCs w:val="18"/>
                <w:lang w:eastAsia="en-GB"/>
              </w:rPr>
              <w:t>Stock non sujet à la surpêche (F</w:t>
            </w:r>
            <w:r w:rsidRPr="0094169A">
              <w:rPr>
                <w:sz w:val="18"/>
                <w:szCs w:val="18"/>
                <w:vertAlign w:val="subscript"/>
                <w:lang w:eastAsia="en-GB"/>
              </w:rPr>
              <w:t>année</w:t>
            </w:r>
            <w:r w:rsidRPr="0094169A">
              <w:rPr>
                <w:sz w:val="18"/>
                <w:szCs w:val="18"/>
                <w:lang w:eastAsia="en-GB"/>
              </w:rPr>
              <w:t>/F</w:t>
            </w:r>
            <w:r w:rsidRPr="0094169A">
              <w:rPr>
                <w:sz w:val="18"/>
                <w:szCs w:val="18"/>
                <w:vertAlign w:val="subscript"/>
                <w:lang w:eastAsia="en-GB"/>
              </w:rPr>
              <w:t>PME</w:t>
            </w:r>
            <w:r w:rsidRPr="0094169A">
              <w:rPr>
                <w:sz w:val="18"/>
                <w:szCs w:val="18"/>
                <w:lang w:eastAsia="en-GB"/>
              </w:rPr>
              <w:t>≤1)</w:t>
            </w: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tcPr>
          <w:p w14:paraId="282E02C0" w14:textId="77777777" w:rsidR="005A6A65" w:rsidRPr="0094169A" w:rsidRDefault="005A6A65" w:rsidP="00561F0E">
            <w:pPr>
              <w:keepNext/>
              <w:keepLines/>
              <w:jc w:val="center"/>
              <w:rPr>
                <w:sz w:val="18"/>
                <w:szCs w:val="18"/>
                <w:lang w:eastAsia="en-GB"/>
              </w:rPr>
            </w:pPr>
            <w:r w:rsidRPr="0094169A">
              <w:rPr>
                <w:sz w:val="18"/>
                <w:szCs w:val="18"/>
                <w:lang w:eastAsia="en-GB"/>
              </w:rPr>
              <w:t>0%</w:t>
            </w:r>
          </w:p>
        </w:tc>
        <w:tc>
          <w:tcPr>
            <w:tcW w:w="3169" w:type="dxa"/>
            <w:tcBorders>
              <w:top w:val="single" w:sz="4" w:space="0" w:color="auto"/>
              <w:left w:val="single" w:sz="4" w:space="0" w:color="auto"/>
              <w:bottom w:val="single" w:sz="4" w:space="0" w:color="auto"/>
              <w:right w:val="single" w:sz="4" w:space="0" w:color="auto"/>
            </w:tcBorders>
            <w:shd w:val="clear" w:color="auto" w:fill="92D050"/>
            <w:vAlign w:val="center"/>
          </w:tcPr>
          <w:p w14:paraId="082C3E5B" w14:textId="77777777" w:rsidR="005A6A65" w:rsidRPr="0094169A" w:rsidRDefault="005A6A65" w:rsidP="00561F0E">
            <w:pPr>
              <w:keepNext/>
              <w:keepLines/>
              <w:jc w:val="center"/>
              <w:rPr>
                <w:sz w:val="18"/>
                <w:szCs w:val="18"/>
                <w:lang w:eastAsia="en-GB"/>
              </w:rPr>
            </w:pPr>
            <w:r w:rsidRPr="0094169A">
              <w:rPr>
                <w:sz w:val="18"/>
                <w:szCs w:val="18"/>
                <w:lang w:eastAsia="en-GB"/>
              </w:rPr>
              <w:t>1%</w:t>
            </w:r>
          </w:p>
        </w:tc>
      </w:tr>
      <w:tr w:rsidR="005A6A65" w:rsidRPr="0094169A" w14:paraId="61936558" w14:textId="77777777" w:rsidTr="00561F0E">
        <w:trPr>
          <w:trHeight w:val="260"/>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3479042D" w14:textId="77777777" w:rsidR="005A6A65" w:rsidRPr="0094169A" w:rsidRDefault="005A6A65" w:rsidP="00561F0E">
            <w:pPr>
              <w:keepNext/>
              <w:keepLines/>
              <w:jc w:val="center"/>
              <w:rPr>
                <w:sz w:val="18"/>
                <w:szCs w:val="18"/>
                <w:lang w:eastAsia="en-GB"/>
              </w:rPr>
            </w:pPr>
            <w:r w:rsidRPr="0094169A">
              <w:rPr>
                <w:sz w:val="18"/>
                <w:szCs w:val="18"/>
                <w:lang w:eastAsia="en-GB"/>
              </w:rPr>
              <w:t>Pas évalué/incertain</w:t>
            </w:r>
          </w:p>
        </w:tc>
        <w:tc>
          <w:tcPr>
            <w:tcW w:w="614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A211D9" w14:textId="77777777" w:rsidR="005A6A65" w:rsidRPr="0094169A" w:rsidRDefault="005A6A65" w:rsidP="00561F0E">
            <w:pPr>
              <w:keepNext/>
              <w:keepLines/>
              <w:jc w:val="center"/>
              <w:rPr>
                <w:sz w:val="18"/>
                <w:szCs w:val="18"/>
                <w:lang w:eastAsia="en-GB"/>
              </w:rPr>
            </w:pPr>
          </w:p>
        </w:tc>
      </w:tr>
    </w:tbl>
    <w:p w14:paraId="6EA3C94E" w14:textId="77777777" w:rsidR="005A6A65" w:rsidRPr="0094169A" w:rsidRDefault="005A6A65" w:rsidP="005A6A65">
      <w:pPr>
        <w:keepNext/>
        <w:keepLines/>
        <w:widowControl w:val="0"/>
        <w:spacing w:after="120"/>
        <w:outlineLvl w:val="0"/>
        <w:rPr>
          <w:b/>
          <w:bCs/>
          <w:smallCaps/>
          <w:kern w:val="32"/>
        </w:rPr>
      </w:pPr>
    </w:p>
    <w:p w14:paraId="1C6E9FE3" w14:textId="77777777" w:rsidR="005A6A65" w:rsidRPr="0094169A" w:rsidRDefault="005A6A65" w:rsidP="005A6A65">
      <w:pPr>
        <w:keepNext/>
        <w:keepLines/>
        <w:widowControl w:val="0"/>
        <w:spacing w:after="120"/>
        <w:outlineLvl w:val="0"/>
        <w:rPr>
          <w:b/>
          <w:bCs/>
          <w:smallCaps/>
          <w:color w:val="000000"/>
          <w:kern w:val="32"/>
        </w:rPr>
      </w:pPr>
      <w:r w:rsidRPr="0094169A">
        <w:rPr>
          <w:b/>
          <w:bCs/>
          <w:smallCaps/>
          <w:color w:val="000000"/>
          <w:kern w:val="32"/>
        </w:rPr>
        <w:t>Stock de l’océan Indien – Avis de gestion</w:t>
      </w:r>
    </w:p>
    <w:p w14:paraId="5AF88654" w14:textId="59D76E14" w:rsidR="005A6A65" w:rsidRPr="0094169A" w:rsidRDefault="005A6A65" w:rsidP="005A6A65">
      <w:pPr>
        <w:pStyle w:val="IOTCReportNormalNumbered"/>
        <w:numPr>
          <w:ilvl w:val="0"/>
          <w:numId w:val="0"/>
        </w:numPr>
        <w:rPr>
          <w:i/>
        </w:rPr>
      </w:pPr>
      <w:r w:rsidRPr="0094169A">
        <w:rPr>
          <w:b/>
          <w:bCs/>
          <w:i/>
          <w:szCs w:val="24"/>
        </w:rPr>
        <w:t>État du stock</w:t>
      </w:r>
      <w:r w:rsidRPr="0094169A">
        <w:rPr>
          <w:bCs/>
          <w:szCs w:val="24"/>
        </w:rPr>
        <w:t>. L’état du stock basé sur une évaluation BSP-SS suggère que, en 2015, le stock est dans la zone rouge du graphe de Kobe, avec F/F</w:t>
      </w:r>
      <w:r w:rsidRPr="0094169A">
        <w:rPr>
          <w:bCs/>
          <w:szCs w:val="24"/>
          <w:vertAlign w:val="subscript"/>
        </w:rPr>
        <w:t>PME</w:t>
      </w:r>
      <w:r w:rsidR="00281A1A">
        <w:rPr>
          <w:bCs/>
          <w:szCs w:val="24"/>
        </w:rPr>
        <w:t>=2,42 et B/</w:t>
      </w:r>
      <w:r w:rsidRPr="0094169A">
        <w:rPr>
          <w:bCs/>
          <w:szCs w:val="24"/>
        </w:rPr>
        <w:t>B</w:t>
      </w:r>
      <w:r w:rsidRPr="0094169A">
        <w:rPr>
          <w:bCs/>
          <w:szCs w:val="24"/>
          <w:vertAlign w:val="subscript"/>
        </w:rPr>
        <w:t>PME</w:t>
      </w:r>
      <w:r w:rsidRPr="0094169A">
        <w:rPr>
          <w:bCs/>
          <w:szCs w:val="24"/>
        </w:rPr>
        <w:t xml:space="preserve">=0,81. Une autre approche suivie en 2016 et utilisant ASPIC produit des conclusions similaires. Le graphe </w:t>
      </w:r>
      <w:r w:rsidR="00281A1A">
        <w:rPr>
          <w:bCs/>
          <w:szCs w:val="24"/>
        </w:rPr>
        <w:t>de Kobe (Figure 2</w:t>
      </w:r>
      <w:r w:rsidRPr="0094169A">
        <w:rPr>
          <w:bCs/>
          <w:szCs w:val="24"/>
        </w:rPr>
        <w:t xml:space="preserve">) du modèle BSP-SS indique que le stock a été </w:t>
      </w:r>
      <w:r w:rsidRPr="0094169A">
        <w:rPr>
          <w:b/>
          <w:bCs/>
          <w:szCs w:val="24"/>
        </w:rPr>
        <w:t xml:space="preserve">sujet à la surpêche </w:t>
      </w:r>
      <w:r w:rsidRPr="0094169A">
        <w:rPr>
          <w:bCs/>
          <w:szCs w:val="24"/>
        </w:rPr>
        <w:t xml:space="preserve">et </w:t>
      </w:r>
      <w:r w:rsidRPr="0094169A">
        <w:rPr>
          <w:b/>
          <w:bCs/>
          <w:szCs w:val="24"/>
        </w:rPr>
        <w:t xml:space="preserve">surexploité </w:t>
      </w:r>
      <w:r w:rsidRPr="0094169A">
        <w:rPr>
          <w:bCs/>
          <w:szCs w:val="24"/>
        </w:rPr>
        <w:t>ces derni</w:t>
      </w:r>
      <w:r w:rsidR="00281A1A">
        <w:rPr>
          <w:bCs/>
          <w:szCs w:val="24"/>
        </w:rPr>
        <w:t>ères années (Tableau 1, Figure 2</w:t>
      </w:r>
      <w:r w:rsidRPr="0094169A">
        <w:rPr>
          <w:bCs/>
          <w:szCs w:val="24"/>
        </w:rPr>
        <w:t>).</w:t>
      </w:r>
    </w:p>
    <w:p w14:paraId="0B462D92" w14:textId="4E3FD404" w:rsidR="005A6A65" w:rsidRPr="0094169A" w:rsidRDefault="005A6A65" w:rsidP="005A6A65">
      <w:pPr>
        <w:pStyle w:val="IOTCReportNormalNumbered"/>
        <w:numPr>
          <w:ilvl w:val="0"/>
          <w:numId w:val="0"/>
        </w:numPr>
        <w:rPr>
          <w:bCs/>
        </w:rPr>
      </w:pPr>
      <w:r w:rsidRPr="0094169A">
        <w:rPr>
          <w:b/>
          <w:i/>
        </w:rPr>
        <w:t xml:space="preserve">Perspectives. </w:t>
      </w:r>
      <w:r w:rsidRPr="0094169A">
        <w:t xml:space="preserve">L’incertitude dans les données disponibles pour les évaluations et les séries de PUE suggère que l’avis devrait être interprété avec prudence. La récente forte augmentation des captures a fait basculer le stock dans la zone rouge du graphe de Kobe. </w:t>
      </w:r>
      <w:r w:rsidR="00281A1A">
        <w:rPr>
          <w:bCs/>
        </w:rPr>
        <w:t>M</w:t>
      </w:r>
      <w:r w:rsidRPr="0094169A">
        <w:rPr>
          <w:bCs/>
        </w:rPr>
        <w:t>ême si les niveaux de captures sont réduits de 40%</w:t>
      </w:r>
      <w:r w:rsidR="00281A1A">
        <w:rPr>
          <w:bCs/>
        </w:rPr>
        <w:t xml:space="preserve"> des niveaux de captures moyennes pour 2013-2015, il est peu probable que la biomasse remonte au-dessus de B</w:t>
      </w:r>
      <w:r w:rsidR="00281A1A">
        <w:rPr>
          <w:bCs/>
          <w:vertAlign w:val="subscript"/>
        </w:rPr>
        <w:t>PME</w:t>
      </w:r>
      <w:r w:rsidR="00281A1A">
        <w:rPr>
          <w:bCs/>
        </w:rPr>
        <w:t xml:space="preserve"> et que F repasse sous F</w:t>
      </w:r>
      <w:r w:rsidR="00281A1A">
        <w:rPr>
          <w:bCs/>
          <w:vertAlign w:val="subscript"/>
        </w:rPr>
        <w:t>PME</w:t>
      </w:r>
      <w:r w:rsidR="00281A1A">
        <w:rPr>
          <w:bCs/>
        </w:rPr>
        <w:t xml:space="preserve"> dans les 10 prochaines années</w:t>
      </w:r>
      <w:r w:rsidRPr="0094169A">
        <w:rPr>
          <w:bCs/>
        </w:rPr>
        <w:t xml:space="preserve"> (Tableau 2).</w:t>
      </w:r>
    </w:p>
    <w:p w14:paraId="1E4EE07B" w14:textId="03B83B85" w:rsidR="005A6A65" w:rsidRPr="00134865" w:rsidRDefault="005A6A65" w:rsidP="005A6A65">
      <w:pPr>
        <w:pStyle w:val="IOTCReportNormalNumbered"/>
        <w:numPr>
          <w:ilvl w:val="0"/>
          <w:numId w:val="0"/>
        </w:numPr>
        <w:rPr>
          <w:b/>
        </w:rPr>
      </w:pPr>
      <w:r w:rsidRPr="0094169A">
        <w:rPr>
          <w:b/>
          <w:bCs/>
          <w:i/>
        </w:rPr>
        <w:t xml:space="preserve">Avis de gestion. </w:t>
      </w:r>
      <w:r w:rsidRPr="0094169A">
        <w:rPr>
          <w:bCs/>
        </w:rPr>
        <w:t>Les captures actuelles de BLM</w:t>
      </w:r>
      <w:r w:rsidRPr="0094169A">
        <w:rPr>
          <w:bCs/>
          <w:i/>
        </w:rPr>
        <w:t xml:space="preserve"> </w:t>
      </w:r>
      <w:r w:rsidRPr="0094169A">
        <w:rPr>
          <w:bCs/>
        </w:rPr>
        <w:t>(</w:t>
      </w:r>
      <w:r w:rsidR="006A3B91">
        <w:rPr>
          <w:bCs/>
        </w:rPr>
        <w:t>Figure 1</w:t>
      </w:r>
      <w:r w:rsidRPr="0094169A">
        <w:rPr>
          <w:bCs/>
        </w:rPr>
        <w:t xml:space="preserve">) sont considérablement </w:t>
      </w:r>
      <w:r w:rsidRPr="0094169A">
        <w:t>supérieures</w:t>
      </w:r>
      <w:r w:rsidRPr="0094169A">
        <w:rPr>
          <w:bCs/>
        </w:rPr>
        <w:t xml:space="preserve"> à la PME (9 932 t) et le stock est surexploité (B</w:t>
      </w:r>
      <w:r w:rsidR="00AE771D">
        <w:rPr>
          <w:bCs/>
          <w:vertAlign w:val="subscript"/>
        </w:rPr>
        <w:t>2015</w:t>
      </w:r>
      <w:r w:rsidRPr="0094169A">
        <w:rPr>
          <w:bCs/>
        </w:rPr>
        <w:t>&lt;B</w:t>
      </w:r>
      <w:r w:rsidRPr="0094169A">
        <w:rPr>
          <w:bCs/>
          <w:vertAlign w:val="subscript"/>
        </w:rPr>
        <w:t>PME</w:t>
      </w:r>
      <w:r w:rsidRPr="0094169A">
        <w:rPr>
          <w:bCs/>
        </w:rPr>
        <w:t>) et sujet à la surpêche (F</w:t>
      </w:r>
      <w:r w:rsidR="00AE771D">
        <w:rPr>
          <w:bCs/>
          <w:vertAlign w:val="subscript"/>
        </w:rPr>
        <w:t>2015</w:t>
      </w:r>
      <w:r w:rsidRPr="0094169A">
        <w:rPr>
          <w:bCs/>
        </w:rPr>
        <w:t>&gt;F</w:t>
      </w:r>
      <w:r w:rsidRPr="0094169A">
        <w:rPr>
          <w:bCs/>
          <w:vertAlign w:val="subscript"/>
        </w:rPr>
        <w:t>PME</w:t>
      </w:r>
      <w:r w:rsidRPr="0094169A">
        <w:rPr>
          <w:bCs/>
        </w:rPr>
        <w:t>). Même avec une réduction de 40% des captures actuelles, il est très improbable (moins de 5%) de pouvoir atteindre l’objectif de la Commission que le stock soit dans la zone verte du graphe de Kobe d’ici 2025. Les niveaux de captures actuels ne sont pas soutenables et il est donc urgent de prendre des mesures pour réduire ces niveaux de captures.</w:t>
      </w:r>
      <w:r w:rsidR="00134865">
        <w:rPr>
          <w:bCs/>
        </w:rPr>
        <w:t xml:space="preserve"> </w:t>
      </w:r>
      <w:r w:rsidR="00134865">
        <w:rPr>
          <w:b/>
          <w:bCs/>
        </w:rPr>
        <w:t>Le CS recommande que la limite de captures maximale soit inférieure à la PME (9 932 t).</w:t>
      </w:r>
    </w:p>
    <w:p w14:paraId="53068920" w14:textId="77777777" w:rsidR="005A6A65" w:rsidRPr="0094169A" w:rsidRDefault="005A6A65" w:rsidP="005A6A65">
      <w:pPr>
        <w:pStyle w:val="IOTCReportNormalNumbered"/>
        <w:keepNext/>
        <w:numPr>
          <w:ilvl w:val="0"/>
          <w:numId w:val="0"/>
        </w:numPr>
      </w:pPr>
      <w:r w:rsidRPr="0094169A">
        <w:t>Les principaux points suivants devraient être notés :</w:t>
      </w:r>
    </w:p>
    <w:p w14:paraId="3CC7848A" w14:textId="77777777" w:rsidR="005A6A65" w:rsidRPr="0094169A" w:rsidRDefault="005A6A65" w:rsidP="005A6A65">
      <w:pPr>
        <w:numPr>
          <w:ilvl w:val="0"/>
          <w:numId w:val="2"/>
        </w:numPr>
        <w:contextualSpacing/>
        <w:rPr>
          <w:color w:val="000000"/>
        </w:rPr>
      </w:pPr>
      <w:r w:rsidRPr="0094169A">
        <w:rPr>
          <w:b/>
        </w:rPr>
        <w:t>Production</w:t>
      </w:r>
      <w:r w:rsidRPr="0094169A">
        <w:rPr>
          <w:b/>
          <w:color w:val="000000"/>
        </w:rPr>
        <w:t xml:space="preserve"> maximale équilibrée (PME) : </w:t>
      </w:r>
      <w:r w:rsidRPr="0094169A">
        <w:rPr>
          <w:color w:val="000000"/>
        </w:rPr>
        <w:t>l’estimation pour l’ensemble de l’océan Indien se situe à environ 9 932 t ;</w:t>
      </w:r>
    </w:p>
    <w:p w14:paraId="4D347BE5" w14:textId="6DD2201C" w:rsidR="005A6A65" w:rsidRDefault="005A6A65" w:rsidP="005A6A65">
      <w:pPr>
        <w:numPr>
          <w:ilvl w:val="0"/>
          <w:numId w:val="2"/>
        </w:numPr>
        <w:contextualSpacing/>
      </w:pPr>
      <w:r w:rsidRPr="0094169A">
        <w:rPr>
          <w:b/>
        </w:rPr>
        <w:t>Points de référence provisoires :</w:t>
      </w:r>
      <w:r w:rsidRPr="0094169A">
        <w:t xml:space="preserve"> bien que la Commission ait approuvé en 2015 la Recommandation 15/10</w:t>
      </w:r>
      <w:r w:rsidRPr="0094169A">
        <w:rPr>
          <w:i/>
        </w:rPr>
        <w:t xml:space="preserve"> Sur des niveaux de référence-cibles et -limites et sur un cadre de décision</w:t>
      </w:r>
      <w:r w:rsidRPr="0094169A">
        <w:t>, de tels points de référence et règles d’exploitation n’ont pas é</w:t>
      </w:r>
      <w:r w:rsidR="007F40B6">
        <w:t>té définis pour le marlin noir.</w:t>
      </w:r>
    </w:p>
    <w:p w14:paraId="59E6297A" w14:textId="77777777" w:rsidR="007F40B6" w:rsidRDefault="007F40B6" w:rsidP="007F40B6">
      <w:pPr>
        <w:contextualSpacing/>
      </w:pPr>
    </w:p>
    <w:p w14:paraId="27B46866" w14:textId="475A6744" w:rsidR="00BB0893" w:rsidRDefault="00BB0893" w:rsidP="00BB0893">
      <w:pPr>
        <w:pStyle w:val="Caption"/>
        <w:jc w:val="center"/>
        <w:rPr>
          <w:b/>
        </w:rPr>
      </w:pPr>
      <w:r>
        <w:rPr>
          <w:rFonts w:eastAsia="Times New Roman"/>
          <w:noProof/>
          <w:color w:val="FF0000"/>
          <w:lang w:val="en-GB" w:eastAsia="en-GB"/>
        </w:rPr>
        <w:lastRenderedPageBreak/>
        <w:drawing>
          <wp:inline distT="0" distB="0" distL="0" distR="0" wp14:anchorId="723865A8" wp14:editId="78A0C295">
            <wp:extent cx="3860800" cy="252147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3492" cy="2523237"/>
                    </a:xfrm>
                    <a:prstGeom prst="rect">
                      <a:avLst/>
                    </a:prstGeom>
                    <a:noFill/>
                  </pic:spPr>
                </pic:pic>
              </a:graphicData>
            </a:graphic>
          </wp:inline>
        </w:drawing>
      </w:r>
    </w:p>
    <w:p w14:paraId="35342EBB" w14:textId="1ADF78FE" w:rsidR="007F40B6" w:rsidRPr="0094169A" w:rsidRDefault="007F40B6" w:rsidP="007F40B6">
      <w:pPr>
        <w:pStyle w:val="Caption"/>
      </w:pPr>
      <w:r w:rsidRPr="0094169A">
        <w:rPr>
          <w:b/>
        </w:rPr>
        <w:t>Figure 1</w:t>
      </w:r>
      <w:r w:rsidRPr="0094169A">
        <w:t xml:space="preserve">. Marlin noir : </w:t>
      </w:r>
      <w:r>
        <w:t xml:space="preserve">captures par engins et par années disponibles dans la </w:t>
      </w:r>
      <w:r w:rsidRPr="007F40B6">
        <w:t>base de données</w:t>
      </w:r>
      <w:r>
        <w:t xml:space="preserve"> de la CTOI (1950-2016). </w:t>
      </w:r>
      <w:r>
        <w:rPr>
          <w:i/>
        </w:rPr>
        <w:t>Note : les « autres » engins incluent la senne côtière, la senne danoise, la senne de plage et la senne tournante.</w:t>
      </w:r>
      <w:r w:rsidRPr="0094169A">
        <w:t xml:space="preserve"> </w:t>
      </w:r>
    </w:p>
    <w:p w14:paraId="3126B681" w14:textId="77777777" w:rsidR="007F40B6" w:rsidRPr="0094169A" w:rsidRDefault="007F40B6" w:rsidP="007F40B6">
      <w:pPr>
        <w:contextualSpacing/>
      </w:pPr>
    </w:p>
    <w:p w14:paraId="2FFCDF43" w14:textId="77777777" w:rsidR="005A6A65" w:rsidRPr="0094169A" w:rsidRDefault="005A6A65" w:rsidP="005A6A65">
      <w:pPr>
        <w:pStyle w:val="Caption"/>
      </w:pPr>
      <w:r w:rsidRPr="0094169A">
        <w:rPr>
          <w:rFonts w:eastAsia="MS Mincho"/>
          <w:noProof/>
          <w:color w:val="FF0000"/>
          <w:kern w:val="2"/>
          <w:lang w:val="en-GB" w:eastAsia="en-GB"/>
        </w:rPr>
        <w:drawing>
          <wp:inline distT="0" distB="0" distL="0" distR="0" wp14:anchorId="7DF8D506" wp14:editId="4E113925">
            <wp:extent cx="4189414" cy="3591796"/>
            <wp:effectExtent l="0" t="0" r="1905"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_fox_inf.png"/>
                    <pic:cNvPicPr/>
                  </pic:nvPicPr>
                  <pic:blipFill>
                    <a:blip r:embed="rId10"/>
                    <a:stretch>
                      <a:fillRect/>
                    </a:stretch>
                  </pic:blipFill>
                  <pic:spPr>
                    <a:xfrm>
                      <a:off x="0" y="0"/>
                      <a:ext cx="4192287" cy="3594259"/>
                    </a:xfrm>
                    <a:prstGeom prst="rect">
                      <a:avLst/>
                    </a:prstGeom>
                  </pic:spPr>
                </pic:pic>
              </a:graphicData>
            </a:graphic>
          </wp:inline>
        </w:drawing>
      </w:r>
      <w:r w:rsidRPr="0094169A">
        <w:rPr>
          <w:rFonts w:eastAsia="MS Mincho"/>
          <w:noProof/>
          <w:color w:val="FF0000"/>
          <w:kern w:val="2"/>
          <w:lang w:val="en-GB" w:eastAsia="en-GB"/>
        </w:rPr>
        <w:drawing>
          <wp:inline distT="0" distB="0" distL="0" distR="0" wp14:anchorId="05CA24ED" wp14:editId="36F73B77">
            <wp:extent cx="2159635" cy="1538514"/>
            <wp:effectExtent l="0" t="0" r="0" b="11430"/>
            <wp:docPr id="3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rotWithShape="1">
                    <a:blip r:embed="rId11" cstate="print">
                      <a:extLst>
                        <a:ext uri="{28A0092B-C50C-407E-A947-70E740481C1C}">
                          <a14:useLocalDpi xmlns:a14="http://schemas.microsoft.com/office/drawing/2010/main" val="0"/>
                        </a:ext>
                      </a:extLst>
                    </a:blip>
                    <a:srcRect t="14113" b="14647"/>
                    <a:stretch/>
                  </pic:blipFill>
                  <pic:spPr bwMode="auto">
                    <a:xfrm>
                      <a:off x="0" y="0"/>
                      <a:ext cx="2160000" cy="153877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130DDC9E" w14:textId="1BCCC02A" w:rsidR="005A6A65" w:rsidRPr="0094169A" w:rsidRDefault="005A6A65" w:rsidP="005A6A65">
      <w:pPr>
        <w:pStyle w:val="Caption"/>
      </w:pPr>
      <w:r w:rsidRPr="0094169A">
        <w:rPr>
          <w:b/>
        </w:rPr>
        <w:t xml:space="preserve">Figure </w:t>
      </w:r>
      <w:r w:rsidR="00BB0893">
        <w:rPr>
          <w:b/>
        </w:rPr>
        <w:t>2</w:t>
      </w:r>
      <w:r w:rsidRPr="0094169A">
        <w:t>. Marlin noir : graphe de Kobe pour l’évaluation BSP-SS du marlin noir dans l’ensemble de l’océan Indien (les contours représentent les 25</w:t>
      </w:r>
      <w:r w:rsidRPr="0094169A">
        <w:rPr>
          <w:vertAlign w:val="superscript"/>
        </w:rPr>
        <w:t>e</w:t>
      </w:r>
      <w:r w:rsidRPr="0094169A">
        <w:t>, 50</w:t>
      </w:r>
      <w:r w:rsidRPr="0094169A">
        <w:rPr>
          <w:vertAlign w:val="superscript"/>
        </w:rPr>
        <w:t xml:space="preserve">e, 75e </w:t>
      </w:r>
      <w:r w:rsidRPr="0094169A">
        <w:t xml:space="preserve"> et 90</w:t>
      </w:r>
      <w:r w:rsidRPr="0094169A">
        <w:rPr>
          <w:vertAlign w:val="superscript"/>
        </w:rPr>
        <w:t>e</w:t>
      </w:r>
      <w:r w:rsidRPr="0094169A">
        <w:t xml:space="preserve"> centiles des estimations 2015). La ligne noire indique la trajectoire des estimations ponctuelles (disques bleus) des ratios de biomasse reproductrice (SB) et de mortalité par pêche (F) pour chaque année entre 1950 et 2015. </w:t>
      </w:r>
    </w:p>
    <w:p w14:paraId="15D5539F" w14:textId="304CDA78" w:rsidR="005A6A65" w:rsidRPr="0094169A" w:rsidRDefault="005A6A65" w:rsidP="005E6442">
      <w:pPr>
        <w:pStyle w:val="Caption"/>
        <w:keepNext/>
        <w:rPr>
          <w:lang w:eastAsia="en-GB"/>
        </w:rPr>
      </w:pPr>
      <w:r w:rsidRPr="0094169A">
        <w:rPr>
          <w:b/>
        </w:rPr>
        <w:lastRenderedPageBreak/>
        <w:t>Tableau 2</w:t>
      </w:r>
      <w:r w:rsidRPr="0094169A">
        <w:t xml:space="preserve">. Marlin noir : </w:t>
      </w:r>
      <w:r w:rsidRPr="0094169A">
        <w:rPr>
          <w:rFonts w:eastAsia="MS Mincho"/>
          <w:lang w:eastAsia="ja-JP"/>
        </w:rPr>
        <w:t xml:space="preserve">Matrice de stratégie de Kobe II pour </w:t>
      </w:r>
      <w:r w:rsidRPr="0094169A">
        <w:t xml:space="preserve">l’évaluation BSP-SS pour l’ensemble de l’océan Indien. </w:t>
      </w:r>
      <w:r w:rsidRPr="0094169A">
        <w:rPr>
          <w:lang w:eastAsia="en-GB"/>
        </w:rPr>
        <w:t>Probabilité (</w:t>
      </w:r>
      <w:r w:rsidRPr="0094169A">
        <w:rPr>
          <w:kern w:val="24"/>
          <w:lang w:eastAsia="en-AU"/>
        </w:rPr>
        <w:t xml:space="preserve">pourcentage) </w:t>
      </w:r>
      <w:r w:rsidRPr="0094169A">
        <w:rPr>
          <w:lang w:eastAsia="en-GB"/>
        </w:rPr>
        <w:t xml:space="preserve">de violer les points de référence basés sur la PME pour 9 projections à captures </w:t>
      </w:r>
      <w:r w:rsidR="00BB0893">
        <w:rPr>
          <w:lang w:eastAsia="en-GB"/>
        </w:rPr>
        <w:t>constantes (niveaux de captures : 17 171 t</w:t>
      </w:r>
      <w:r w:rsidRPr="0094169A">
        <w:rPr>
          <w:lang w:eastAsia="en-GB"/>
        </w:rPr>
        <w:t>, ± 10%, ± 20%, ± 30% et ± 40%) sur 3 et 10 ans.</w:t>
      </w:r>
    </w:p>
    <w:tbl>
      <w:tblPr>
        <w:tblW w:w="10399" w:type="dxa"/>
        <w:jc w:val="center"/>
        <w:tblCellMar>
          <w:left w:w="0" w:type="dxa"/>
          <w:right w:w="0" w:type="dxa"/>
        </w:tblCellMar>
        <w:tblLook w:val="0600" w:firstRow="0" w:lastRow="0" w:firstColumn="0" w:lastColumn="0" w:noHBand="1" w:noVBand="1"/>
      </w:tblPr>
      <w:tblGrid>
        <w:gridCol w:w="2617"/>
        <w:gridCol w:w="862"/>
        <w:gridCol w:w="864"/>
        <w:gridCol w:w="864"/>
        <w:gridCol w:w="864"/>
        <w:gridCol w:w="864"/>
        <w:gridCol w:w="864"/>
        <w:gridCol w:w="864"/>
        <w:gridCol w:w="864"/>
        <w:gridCol w:w="866"/>
        <w:gridCol w:w="6"/>
      </w:tblGrid>
      <w:tr w:rsidR="005A6A65" w:rsidRPr="0094169A" w14:paraId="6CDAEE39" w14:textId="77777777" w:rsidTr="00561F0E">
        <w:trPr>
          <w:trHeight w:val="567"/>
          <w:jc w:val="center"/>
        </w:trPr>
        <w:tc>
          <w:tcPr>
            <w:tcW w:w="261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3F5B369" w14:textId="77777777" w:rsidR="005A6A65" w:rsidRPr="0094169A" w:rsidRDefault="005A6A65" w:rsidP="00561F0E">
            <w:pPr>
              <w:keepNext/>
              <w:jc w:val="center"/>
              <w:rPr>
                <w:b/>
                <w:color w:val="000000" w:themeColor="text1"/>
                <w:sz w:val="18"/>
                <w:szCs w:val="18"/>
                <w:lang w:eastAsia="en-AU"/>
              </w:rPr>
            </w:pPr>
            <w:r w:rsidRPr="0094169A">
              <w:rPr>
                <w:b/>
                <w:color w:val="000000" w:themeColor="text1"/>
                <w:sz w:val="18"/>
                <w:szCs w:val="18"/>
                <w:lang w:eastAsia="en-AU"/>
              </w:rPr>
              <w:t>Point de référence et durée de projection</w:t>
            </w:r>
          </w:p>
        </w:tc>
        <w:tc>
          <w:tcPr>
            <w:tcW w:w="7782" w:type="dxa"/>
            <w:gridSpan w:val="10"/>
            <w:tcBorders>
              <w:top w:val="single" w:sz="4" w:space="0" w:color="auto"/>
              <w:bottom w:val="single" w:sz="4" w:space="0" w:color="auto"/>
            </w:tcBorders>
            <w:vAlign w:val="center"/>
          </w:tcPr>
          <w:p w14:paraId="73F082E8" w14:textId="55A89C7B" w:rsidR="005A6A65" w:rsidRPr="0094169A" w:rsidRDefault="005A6A65" w:rsidP="00BB0893">
            <w:pPr>
              <w:keepNext/>
              <w:jc w:val="center"/>
              <w:rPr>
                <w:b/>
                <w:color w:val="000000" w:themeColor="text1"/>
                <w:sz w:val="18"/>
                <w:szCs w:val="18"/>
                <w:lang w:eastAsia="en-AU"/>
              </w:rPr>
            </w:pPr>
            <w:r w:rsidRPr="0094169A">
              <w:rPr>
                <w:b/>
                <w:color w:val="000000" w:themeColor="text1"/>
                <w:sz w:val="18"/>
                <w:szCs w:val="18"/>
                <w:lang w:eastAsia="en-AU"/>
              </w:rPr>
              <w:t>Projections de capture alternatives (par rapport aux captures</w:t>
            </w:r>
            <w:r w:rsidR="00BB0893">
              <w:rPr>
                <w:b/>
                <w:color w:val="000000" w:themeColor="text1"/>
                <w:sz w:val="18"/>
                <w:szCs w:val="18"/>
                <w:lang w:eastAsia="en-AU"/>
              </w:rPr>
              <w:t xml:space="preserve"> de 17 171 t</w:t>
            </w:r>
            <w:r w:rsidRPr="0094169A">
              <w:rPr>
                <w:b/>
                <w:color w:val="000000" w:themeColor="text1"/>
                <w:sz w:val="18"/>
                <w:szCs w:val="18"/>
                <w:lang w:eastAsia="en-AU"/>
              </w:rPr>
              <w:t>) et probabilité (%) de violer les points de référence-cibles de la PME</w:t>
            </w:r>
            <w:r w:rsidRPr="0094169A">
              <w:rPr>
                <w:b/>
                <w:color w:val="000000" w:themeColor="text1"/>
                <w:sz w:val="18"/>
                <w:szCs w:val="18"/>
                <w:lang w:eastAsia="en-AU"/>
              </w:rPr>
              <w:br/>
              <w:t>(B</w:t>
            </w:r>
            <w:r w:rsidRPr="0094169A">
              <w:rPr>
                <w:b/>
                <w:color w:val="000000" w:themeColor="text1"/>
                <w:sz w:val="18"/>
                <w:szCs w:val="18"/>
                <w:vertAlign w:val="subscript"/>
                <w:lang w:eastAsia="en-AU"/>
              </w:rPr>
              <w:t>cible</w:t>
            </w:r>
            <w:r w:rsidRPr="0094169A">
              <w:rPr>
                <w:b/>
                <w:color w:val="000000" w:themeColor="text1"/>
                <w:sz w:val="18"/>
                <w:szCs w:val="18"/>
                <w:lang w:eastAsia="en-AU"/>
              </w:rPr>
              <w:t xml:space="preserve"> = B</w:t>
            </w:r>
            <w:r w:rsidRPr="0094169A">
              <w:rPr>
                <w:b/>
                <w:color w:val="000000" w:themeColor="text1"/>
                <w:sz w:val="18"/>
                <w:szCs w:val="18"/>
                <w:vertAlign w:val="subscript"/>
                <w:lang w:eastAsia="en-AU"/>
              </w:rPr>
              <w:t>PME</w:t>
            </w:r>
            <w:r w:rsidRPr="0094169A">
              <w:rPr>
                <w:b/>
                <w:color w:val="000000" w:themeColor="text1"/>
                <w:sz w:val="18"/>
                <w:szCs w:val="18"/>
                <w:lang w:eastAsia="en-AU"/>
              </w:rPr>
              <w:t> ; F</w:t>
            </w:r>
            <w:r w:rsidRPr="0094169A">
              <w:rPr>
                <w:b/>
                <w:color w:val="000000" w:themeColor="text1"/>
                <w:sz w:val="18"/>
                <w:szCs w:val="18"/>
                <w:vertAlign w:val="subscript"/>
                <w:lang w:eastAsia="en-AU"/>
              </w:rPr>
              <w:t>cible</w:t>
            </w:r>
            <w:r w:rsidRPr="0094169A">
              <w:rPr>
                <w:b/>
                <w:color w:val="000000" w:themeColor="text1"/>
                <w:sz w:val="18"/>
                <w:szCs w:val="18"/>
                <w:lang w:eastAsia="en-AU"/>
              </w:rPr>
              <w:t xml:space="preserve"> = F</w:t>
            </w:r>
            <w:r w:rsidRPr="0094169A">
              <w:rPr>
                <w:b/>
                <w:color w:val="000000" w:themeColor="text1"/>
                <w:sz w:val="18"/>
                <w:szCs w:val="18"/>
                <w:vertAlign w:val="subscript"/>
                <w:lang w:eastAsia="en-AU"/>
              </w:rPr>
              <w:t>PME</w:t>
            </w:r>
            <w:r w:rsidRPr="0094169A">
              <w:rPr>
                <w:b/>
                <w:color w:val="000000" w:themeColor="text1"/>
                <w:sz w:val="18"/>
                <w:szCs w:val="18"/>
                <w:lang w:eastAsia="en-AU"/>
              </w:rPr>
              <w:t>)</w:t>
            </w:r>
          </w:p>
        </w:tc>
      </w:tr>
      <w:tr w:rsidR="005A6A65" w:rsidRPr="0094169A" w14:paraId="60C75FE9" w14:textId="77777777" w:rsidTr="00561F0E">
        <w:trPr>
          <w:gridAfter w:val="1"/>
          <w:wAfter w:w="6" w:type="dxa"/>
          <w:trHeight w:val="283"/>
          <w:jc w:val="center"/>
        </w:trPr>
        <w:tc>
          <w:tcPr>
            <w:tcW w:w="2617" w:type="dxa"/>
            <w:tcBorders>
              <w:top w:val="single" w:sz="4" w:space="0" w:color="auto"/>
            </w:tcBorders>
            <w:shd w:val="clear" w:color="auto" w:fill="auto"/>
            <w:tcMar>
              <w:top w:w="15" w:type="dxa"/>
              <w:left w:w="108" w:type="dxa"/>
              <w:bottom w:w="0" w:type="dxa"/>
              <w:right w:w="108" w:type="dxa"/>
            </w:tcMar>
            <w:vAlign w:val="center"/>
          </w:tcPr>
          <w:p w14:paraId="25F1E8EF" w14:textId="77777777" w:rsidR="005A6A65" w:rsidRPr="0094169A" w:rsidRDefault="005A6A65" w:rsidP="00561F0E">
            <w:pPr>
              <w:keepNext/>
              <w:jc w:val="center"/>
              <w:rPr>
                <w:color w:val="000000" w:themeColor="text1"/>
                <w:sz w:val="18"/>
                <w:szCs w:val="18"/>
                <w:lang w:eastAsia="en-AU"/>
              </w:rPr>
            </w:pPr>
          </w:p>
        </w:tc>
        <w:tc>
          <w:tcPr>
            <w:tcW w:w="862"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4C81E5C6" w14:textId="77777777" w:rsidR="005A6A65" w:rsidRPr="0094169A" w:rsidRDefault="005A6A65" w:rsidP="00561F0E">
            <w:pPr>
              <w:keepNext/>
              <w:jc w:val="center"/>
              <w:rPr>
                <w:color w:val="000000" w:themeColor="text1"/>
                <w:sz w:val="18"/>
                <w:szCs w:val="18"/>
                <w:lang w:eastAsia="en-AU"/>
              </w:rPr>
            </w:pPr>
            <w:r w:rsidRPr="0094169A">
              <w:rPr>
                <w:b/>
                <w:bCs/>
                <w:color w:val="000000" w:themeColor="text1"/>
                <w:kern w:val="24"/>
                <w:sz w:val="18"/>
                <w:szCs w:val="18"/>
                <w:lang w:eastAsia="en-AU"/>
              </w:rPr>
              <w:t>60%</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2E58CBAD" w14:textId="77777777" w:rsidR="005A6A65" w:rsidRPr="0094169A" w:rsidRDefault="005A6A65" w:rsidP="00561F0E">
            <w:pPr>
              <w:keepNext/>
              <w:jc w:val="center"/>
              <w:rPr>
                <w:color w:val="000000" w:themeColor="text1"/>
                <w:sz w:val="18"/>
                <w:szCs w:val="18"/>
                <w:lang w:eastAsia="en-AU"/>
              </w:rPr>
            </w:pPr>
            <w:r w:rsidRPr="0094169A">
              <w:rPr>
                <w:b/>
                <w:bCs/>
                <w:color w:val="000000" w:themeColor="text1"/>
                <w:kern w:val="24"/>
                <w:sz w:val="18"/>
                <w:szCs w:val="18"/>
                <w:lang w:eastAsia="en-AU"/>
              </w:rPr>
              <w:t>70%</w:t>
            </w:r>
          </w:p>
        </w:tc>
        <w:tc>
          <w:tcPr>
            <w:tcW w:w="864" w:type="dxa"/>
            <w:tcBorders>
              <w:top w:val="single" w:sz="4" w:space="0" w:color="auto"/>
              <w:bottom w:val="single" w:sz="4" w:space="0" w:color="auto"/>
            </w:tcBorders>
            <w:vAlign w:val="center"/>
          </w:tcPr>
          <w:p w14:paraId="1F8A7129" w14:textId="77777777" w:rsidR="005A6A65" w:rsidRPr="0094169A" w:rsidRDefault="005A6A65" w:rsidP="00561F0E">
            <w:pPr>
              <w:keepNext/>
              <w:jc w:val="center"/>
              <w:rPr>
                <w:b/>
                <w:bCs/>
                <w:color w:val="000000" w:themeColor="text1"/>
                <w:kern w:val="24"/>
                <w:sz w:val="18"/>
                <w:szCs w:val="18"/>
                <w:lang w:eastAsia="en-AU"/>
              </w:rPr>
            </w:pPr>
            <w:r w:rsidRPr="0094169A">
              <w:rPr>
                <w:b/>
                <w:bCs/>
                <w:color w:val="000000" w:themeColor="text1"/>
                <w:kern w:val="24"/>
                <w:sz w:val="18"/>
                <w:szCs w:val="18"/>
                <w:lang w:eastAsia="en-AU"/>
              </w:rPr>
              <w:t>80%</w:t>
            </w:r>
          </w:p>
        </w:tc>
        <w:tc>
          <w:tcPr>
            <w:tcW w:w="864" w:type="dxa"/>
            <w:tcBorders>
              <w:top w:val="single" w:sz="4" w:space="0" w:color="auto"/>
              <w:bottom w:val="single" w:sz="4" w:space="0" w:color="auto"/>
            </w:tcBorders>
            <w:vAlign w:val="center"/>
          </w:tcPr>
          <w:p w14:paraId="1D23E60C" w14:textId="77777777" w:rsidR="005A6A65" w:rsidRPr="0094169A" w:rsidRDefault="005A6A65" w:rsidP="00561F0E">
            <w:pPr>
              <w:keepNext/>
              <w:jc w:val="center"/>
              <w:rPr>
                <w:b/>
                <w:bCs/>
                <w:color w:val="000000" w:themeColor="text1"/>
                <w:kern w:val="24"/>
                <w:sz w:val="18"/>
                <w:szCs w:val="18"/>
                <w:lang w:eastAsia="en-AU"/>
              </w:rPr>
            </w:pPr>
            <w:r w:rsidRPr="0094169A">
              <w:rPr>
                <w:b/>
                <w:bCs/>
                <w:color w:val="000000" w:themeColor="text1"/>
                <w:kern w:val="24"/>
                <w:sz w:val="18"/>
                <w:szCs w:val="18"/>
                <w:lang w:eastAsia="en-AU"/>
              </w:rPr>
              <w:t>90%</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053D1E06" w14:textId="77777777" w:rsidR="005A6A65" w:rsidRPr="0094169A" w:rsidRDefault="005A6A65" w:rsidP="00561F0E">
            <w:pPr>
              <w:keepNext/>
              <w:jc w:val="center"/>
              <w:rPr>
                <w:color w:val="000000" w:themeColor="text1"/>
                <w:sz w:val="18"/>
                <w:szCs w:val="18"/>
                <w:lang w:eastAsia="en-AU"/>
              </w:rPr>
            </w:pPr>
            <w:r w:rsidRPr="0094169A">
              <w:rPr>
                <w:b/>
                <w:bCs/>
                <w:color w:val="000000" w:themeColor="text1"/>
                <w:kern w:val="24"/>
                <w:sz w:val="18"/>
                <w:szCs w:val="18"/>
                <w:lang w:eastAsia="en-AU"/>
              </w:rPr>
              <w:t>100%</w:t>
            </w:r>
          </w:p>
        </w:tc>
        <w:tc>
          <w:tcPr>
            <w:tcW w:w="864" w:type="dxa"/>
            <w:tcBorders>
              <w:top w:val="single" w:sz="4" w:space="0" w:color="auto"/>
              <w:bottom w:val="single" w:sz="4" w:space="0" w:color="auto"/>
            </w:tcBorders>
            <w:vAlign w:val="center"/>
          </w:tcPr>
          <w:p w14:paraId="14B5807C" w14:textId="77777777" w:rsidR="005A6A65" w:rsidRPr="0094169A" w:rsidRDefault="005A6A65" w:rsidP="00561F0E">
            <w:pPr>
              <w:keepNext/>
              <w:jc w:val="center"/>
              <w:rPr>
                <w:b/>
                <w:bCs/>
                <w:color w:val="000000" w:themeColor="text1"/>
                <w:kern w:val="24"/>
                <w:sz w:val="18"/>
                <w:szCs w:val="18"/>
                <w:lang w:eastAsia="en-AU"/>
              </w:rPr>
            </w:pPr>
            <w:r w:rsidRPr="0094169A">
              <w:rPr>
                <w:b/>
                <w:bCs/>
                <w:color w:val="000000" w:themeColor="text1"/>
                <w:kern w:val="24"/>
                <w:sz w:val="18"/>
                <w:szCs w:val="18"/>
                <w:lang w:eastAsia="en-AU"/>
              </w:rPr>
              <w:t>110%</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120EC049" w14:textId="77777777" w:rsidR="005A6A65" w:rsidRPr="0094169A" w:rsidRDefault="005A6A65" w:rsidP="00561F0E">
            <w:pPr>
              <w:keepNext/>
              <w:jc w:val="center"/>
              <w:rPr>
                <w:color w:val="000000" w:themeColor="text1"/>
                <w:sz w:val="18"/>
                <w:szCs w:val="18"/>
                <w:lang w:eastAsia="en-AU"/>
              </w:rPr>
            </w:pPr>
            <w:r w:rsidRPr="0094169A">
              <w:rPr>
                <w:b/>
                <w:bCs/>
                <w:color w:val="000000" w:themeColor="text1"/>
                <w:kern w:val="24"/>
                <w:sz w:val="18"/>
                <w:szCs w:val="18"/>
                <w:lang w:eastAsia="en-AU"/>
              </w:rPr>
              <w:t>120%</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5AF35C93" w14:textId="77777777" w:rsidR="005A6A65" w:rsidRPr="0094169A" w:rsidRDefault="005A6A65" w:rsidP="00561F0E">
            <w:pPr>
              <w:keepNext/>
              <w:jc w:val="center"/>
              <w:rPr>
                <w:color w:val="000000" w:themeColor="text1"/>
                <w:sz w:val="18"/>
                <w:szCs w:val="18"/>
                <w:lang w:eastAsia="en-AU"/>
              </w:rPr>
            </w:pPr>
            <w:r w:rsidRPr="0094169A">
              <w:rPr>
                <w:b/>
                <w:bCs/>
                <w:color w:val="000000" w:themeColor="text1"/>
                <w:kern w:val="24"/>
                <w:sz w:val="18"/>
                <w:szCs w:val="18"/>
                <w:lang w:eastAsia="en-AU"/>
              </w:rPr>
              <w:t>130%</w:t>
            </w:r>
          </w:p>
        </w:tc>
        <w:tc>
          <w:tcPr>
            <w:tcW w:w="866" w:type="dxa"/>
            <w:tcBorders>
              <w:top w:val="single" w:sz="4" w:space="0" w:color="auto"/>
              <w:bottom w:val="single" w:sz="4" w:space="0" w:color="auto"/>
            </w:tcBorders>
            <w:vAlign w:val="center"/>
          </w:tcPr>
          <w:p w14:paraId="45336C1D" w14:textId="77777777" w:rsidR="005A6A65" w:rsidRPr="0094169A" w:rsidRDefault="005A6A65" w:rsidP="00561F0E">
            <w:pPr>
              <w:keepNext/>
              <w:jc w:val="center"/>
              <w:rPr>
                <w:b/>
                <w:bCs/>
                <w:color w:val="000000" w:themeColor="text1"/>
                <w:kern w:val="24"/>
                <w:sz w:val="18"/>
                <w:szCs w:val="18"/>
                <w:lang w:eastAsia="en-AU"/>
              </w:rPr>
            </w:pPr>
            <w:r w:rsidRPr="0094169A">
              <w:rPr>
                <w:b/>
                <w:bCs/>
                <w:color w:val="000000" w:themeColor="text1"/>
                <w:kern w:val="24"/>
                <w:sz w:val="18"/>
                <w:szCs w:val="18"/>
                <w:lang w:eastAsia="en-AU"/>
              </w:rPr>
              <w:t>140%</w:t>
            </w:r>
          </w:p>
        </w:tc>
      </w:tr>
      <w:tr w:rsidR="005A6A65" w:rsidRPr="0094169A" w14:paraId="4E4E58FE" w14:textId="77777777" w:rsidTr="00561F0E">
        <w:trPr>
          <w:gridAfter w:val="1"/>
          <w:wAfter w:w="6" w:type="dxa"/>
          <w:trHeight w:val="283"/>
          <w:jc w:val="center"/>
        </w:trPr>
        <w:tc>
          <w:tcPr>
            <w:tcW w:w="2617" w:type="dxa"/>
            <w:tcBorders>
              <w:top w:val="single" w:sz="4" w:space="0" w:color="auto"/>
            </w:tcBorders>
            <w:shd w:val="clear" w:color="auto" w:fill="auto"/>
            <w:tcMar>
              <w:top w:w="15" w:type="dxa"/>
              <w:left w:w="108" w:type="dxa"/>
              <w:bottom w:w="0" w:type="dxa"/>
              <w:right w:w="108" w:type="dxa"/>
            </w:tcMar>
            <w:vAlign w:val="center"/>
          </w:tcPr>
          <w:p w14:paraId="5BB76381" w14:textId="77777777" w:rsidR="005A6A65" w:rsidRPr="0094169A" w:rsidRDefault="005A6A65" w:rsidP="00561F0E">
            <w:pPr>
              <w:keepNext/>
              <w:jc w:val="center"/>
              <w:rPr>
                <w:color w:val="000000" w:themeColor="text1"/>
                <w:sz w:val="18"/>
                <w:szCs w:val="18"/>
                <w:lang w:eastAsia="en-AU"/>
              </w:rPr>
            </w:pPr>
          </w:p>
        </w:tc>
        <w:tc>
          <w:tcPr>
            <w:tcW w:w="862"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2571415A" w14:textId="77777777" w:rsidR="005A6A65" w:rsidRPr="0094169A" w:rsidRDefault="005A6A65" w:rsidP="00561F0E">
            <w:pPr>
              <w:jc w:val="center"/>
              <w:rPr>
                <w:b/>
                <w:bCs/>
                <w:color w:val="000000" w:themeColor="text1"/>
                <w:kern w:val="24"/>
                <w:sz w:val="18"/>
                <w:szCs w:val="18"/>
                <w:lang w:eastAsia="en-AU"/>
              </w:rPr>
            </w:pPr>
            <w:r w:rsidRPr="0094169A">
              <w:rPr>
                <w:kern w:val="24"/>
                <w:sz w:val="18"/>
                <w:szCs w:val="18"/>
                <w:lang w:eastAsia="en-AU"/>
              </w:rPr>
              <w:t>10 303 t</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04E4EC58" w14:textId="77777777" w:rsidR="005A6A65" w:rsidRPr="0094169A" w:rsidRDefault="005A6A65" w:rsidP="00561F0E">
            <w:pPr>
              <w:jc w:val="center"/>
              <w:rPr>
                <w:b/>
                <w:bCs/>
                <w:color w:val="000000" w:themeColor="text1"/>
                <w:kern w:val="24"/>
                <w:sz w:val="18"/>
                <w:szCs w:val="18"/>
                <w:lang w:eastAsia="en-AU"/>
              </w:rPr>
            </w:pPr>
            <w:r w:rsidRPr="0094169A">
              <w:rPr>
                <w:kern w:val="24"/>
                <w:sz w:val="18"/>
                <w:szCs w:val="18"/>
                <w:lang w:eastAsia="en-AU"/>
              </w:rPr>
              <w:t>12 020 t</w:t>
            </w:r>
          </w:p>
        </w:tc>
        <w:tc>
          <w:tcPr>
            <w:tcW w:w="864" w:type="dxa"/>
            <w:tcBorders>
              <w:top w:val="single" w:sz="4" w:space="0" w:color="auto"/>
              <w:bottom w:val="single" w:sz="4" w:space="0" w:color="auto"/>
            </w:tcBorders>
            <w:vAlign w:val="center"/>
          </w:tcPr>
          <w:p w14:paraId="5D4BACDB" w14:textId="77777777" w:rsidR="005A6A65" w:rsidRPr="0094169A" w:rsidRDefault="005A6A65" w:rsidP="00561F0E">
            <w:pPr>
              <w:jc w:val="center"/>
              <w:rPr>
                <w:b/>
                <w:bCs/>
                <w:color w:val="000000" w:themeColor="text1"/>
                <w:kern w:val="24"/>
                <w:sz w:val="18"/>
                <w:szCs w:val="18"/>
                <w:lang w:eastAsia="en-AU"/>
              </w:rPr>
            </w:pPr>
            <w:r w:rsidRPr="0094169A">
              <w:rPr>
                <w:kern w:val="24"/>
                <w:sz w:val="18"/>
                <w:szCs w:val="18"/>
                <w:lang w:eastAsia="en-AU"/>
              </w:rPr>
              <w:t>13 737 t</w:t>
            </w:r>
          </w:p>
        </w:tc>
        <w:tc>
          <w:tcPr>
            <w:tcW w:w="864" w:type="dxa"/>
            <w:tcBorders>
              <w:top w:val="single" w:sz="4" w:space="0" w:color="auto"/>
              <w:bottom w:val="single" w:sz="4" w:space="0" w:color="auto"/>
            </w:tcBorders>
            <w:vAlign w:val="center"/>
          </w:tcPr>
          <w:p w14:paraId="3B3332F0" w14:textId="77777777" w:rsidR="005A6A65" w:rsidRPr="0094169A" w:rsidRDefault="005A6A65" w:rsidP="00561F0E">
            <w:pPr>
              <w:jc w:val="center"/>
              <w:rPr>
                <w:b/>
                <w:bCs/>
                <w:color w:val="000000" w:themeColor="text1"/>
                <w:kern w:val="24"/>
                <w:sz w:val="18"/>
                <w:szCs w:val="18"/>
                <w:lang w:eastAsia="en-AU"/>
              </w:rPr>
            </w:pPr>
            <w:r w:rsidRPr="0094169A">
              <w:rPr>
                <w:kern w:val="24"/>
                <w:sz w:val="18"/>
                <w:szCs w:val="18"/>
                <w:lang w:eastAsia="en-AU"/>
              </w:rPr>
              <w:t>15 454 t</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3635F1D0" w14:textId="77777777" w:rsidR="005A6A65" w:rsidRPr="0094169A" w:rsidRDefault="005A6A65" w:rsidP="00561F0E">
            <w:pPr>
              <w:jc w:val="center"/>
              <w:rPr>
                <w:b/>
                <w:bCs/>
                <w:color w:val="000000" w:themeColor="text1"/>
                <w:kern w:val="24"/>
                <w:sz w:val="18"/>
                <w:szCs w:val="18"/>
                <w:lang w:eastAsia="en-AU"/>
              </w:rPr>
            </w:pPr>
            <w:r w:rsidRPr="0094169A">
              <w:rPr>
                <w:kern w:val="24"/>
                <w:sz w:val="18"/>
                <w:szCs w:val="18"/>
                <w:lang w:eastAsia="en-AU"/>
              </w:rPr>
              <w:t>17 171 t</w:t>
            </w:r>
          </w:p>
        </w:tc>
        <w:tc>
          <w:tcPr>
            <w:tcW w:w="864" w:type="dxa"/>
            <w:tcBorders>
              <w:top w:val="single" w:sz="4" w:space="0" w:color="auto"/>
              <w:bottom w:val="single" w:sz="4" w:space="0" w:color="auto"/>
            </w:tcBorders>
            <w:vAlign w:val="center"/>
          </w:tcPr>
          <w:p w14:paraId="4E8A7D1F" w14:textId="77777777" w:rsidR="005A6A65" w:rsidRPr="0094169A" w:rsidRDefault="005A6A65" w:rsidP="00561F0E">
            <w:pPr>
              <w:jc w:val="center"/>
              <w:rPr>
                <w:b/>
                <w:bCs/>
                <w:color w:val="000000" w:themeColor="text1"/>
                <w:kern w:val="24"/>
                <w:sz w:val="18"/>
                <w:szCs w:val="18"/>
                <w:lang w:eastAsia="en-AU"/>
              </w:rPr>
            </w:pPr>
            <w:r w:rsidRPr="0094169A">
              <w:rPr>
                <w:kern w:val="24"/>
                <w:sz w:val="18"/>
                <w:szCs w:val="18"/>
                <w:lang w:eastAsia="en-AU"/>
              </w:rPr>
              <w:t>18 888 t</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31EEEFD2" w14:textId="77777777" w:rsidR="005A6A65" w:rsidRPr="0094169A" w:rsidRDefault="005A6A65" w:rsidP="00561F0E">
            <w:pPr>
              <w:jc w:val="center"/>
              <w:rPr>
                <w:b/>
                <w:bCs/>
                <w:color w:val="000000" w:themeColor="text1"/>
                <w:kern w:val="24"/>
                <w:sz w:val="18"/>
                <w:szCs w:val="18"/>
                <w:lang w:eastAsia="en-AU"/>
              </w:rPr>
            </w:pPr>
            <w:r w:rsidRPr="0094169A">
              <w:rPr>
                <w:kern w:val="24"/>
                <w:sz w:val="18"/>
                <w:szCs w:val="18"/>
                <w:lang w:eastAsia="en-AU"/>
              </w:rPr>
              <w:t>20 605 t</w:t>
            </w:r>
          </w:p>
        </w:tc>
        <w:tc>
          <w:tcPr>
            <w:tcW w:w="8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367311CC" w14:textId="77777777" w:rsidR="005A6A65" w:rsidRPr="0094169A" w:rsidRDefault="005A6A65" w:rsidP="00561F0E">
            <w:pPr>
              <w:jc w:val="center"/>
              <w:rPr>
                <w:b/>
                <w:bCs/>
                <w:color w:val="000000" w:themeColor="text1"/>
                <w:kern w:val="24"/>
                <w:sz w:val="18"/>
                <w:szCs w:val="18"/>
                <w:lang w:eastAsia="en-AU"/>
              </w:rPr>
            </w:pPr>
            <w:r w:rsidRPr="0094169A">
              <w:rPr>
                <w:kern w:val="24"/>
                <w:sz w:val="18"/>
                <w:szCs w:val="18"/>
                <w:lang w:eastAsia="en-AU"/>
              </w:rPr>
              <w:t>22 322 t</w:t>
            </w:r>
          </w:p>
        </w:tc>
        <w:tc>
          <w:tcPr>
            <w:tcW w:w="866" w:type="dxa"/>
            <w:tcBorders>
              <w:top w:val="single" w:sz="4" w:space="0" w:color="auto"/>
              <w:bottom w:val="single" w:sz="4" w:space="0" w:color="auto"/>
            </w:tcBorders>
            <w:vAlign w:val="center"/>
          </w:tcPr>
          <w:p w14:paraId="777E9606" w14:textId="77777777" w:rsidR="005A6A65" w:rsidRPr="0094169A" w:rsidRDefault="005A6A65" w:rsidP="00561F0E">
            <w:pPr>
              <w:jc w:val="center"/>
              <w:rPr>
                <w:b/>
                <w:bCs/>
                <w:color w:val="000000" w:themeColor="text1"/>
                <w:kern w:val="24"/>
                <w:sz w:val="18"/>
                <w:szCs w:val="18"/>
                <w:lang w:eastAsia="en-AU"/>
              </w:rPr>
            </w:pPr>
            <w:r w:rsidRPr="0094169A">
              <w:rPr>
                <w:kern w:val="24"/>
                <w:sz w:val="18"/>
                <w:szCs w:val="18"/>
                <w:lang w:eastAsia="en-AU"/>
              </w:rPr>
              <w:t>24 039 t</w:t>
            </w:r>
          </w:p>
        </w:tc>
      </w:tr>
      <w:tr w:rsidR="005A6A65" w:rsidRPr="0094169A" w14:paraId="1B11DC80" w14:textId="77777777" w:rsidTr="00561F0E">
        <w:trPr>
          <w:gridAfter w:val="1"/>
          <w:wAfter w:w="6" w:type="dxa"/>
          <w:trHeight w:val="283"/>
          <w:jc w:val="center"/>
        </w:trPr>
        <w:tc>
          <w:tcPr>
            <w:tcW w:w="2617" w:type="dxa"/>
            <w:shd w:val="clear" w:color="auto" w:fill="auto"/>
            <w:tcMar>
              <w:top w:w="15" w:type="dxa"/>
              <w:left w:w="108" w:type="dxa"/>
              <w:bottom w:w="0" w:type="dxa"/>
              <w:right w:w="108" w:type="dxa"/>
            </w:tcMar>
            <w:vAlign w:val="center"/>
          </w:tcPr>
          <w:p w14:paraId="2EB8E902" w14:textId="77777777" w:rsidR="005A6A65" w:rsidRPr="0094169A" w:rsidRDefault="005A6A65" w:rsidP="00561F0E">
            <w:pPr>
              <w:keepNext/>
              <w:jc w:val="center"/>
              <w:rPr>
                <w:color w:val="000000" w:themeColor="text1"/>
                <w:sz w:val="18"/>
                <w:szCs w:val="18"/>
                <w:lang w:eastAsia="en-AU"/>
              </w:rPr>
            </w:pPr>
            <w:r w:rsidRPr="0094169A">
              <w:rPr>
                <w:rFonts w:eastAsia="PMingLiU"/>
                <w:bCs/>
                <w:color w:val="000000" w:themeColor="text1"/>
                <w:sz w:val="18"/>
                <w:szCs w:val="18"/>
              </w:rPr>
              <w:t>B</w:t>
            </w:r>
            <w:r w:rsidRPr="0094169A">
              <w:rPr>
                <w:rFonts w:eastAsia="PMingLiU"/>
                <w:bCs/>
                <w:color w:val="000000" w:themeColor="text1"/>
                <w:sz w:val="18"/>
                <w:szCs w:val="18"/>
                <w:vertAlign w:val="subscript"/>
              </w:rPr>
              <w:t>2018</w:t>
            </w:r>
            <w:r w:rsidRPr="0094169A">
              <w:rPr>
                <w:color w:val="000000" w:themeColor="text1"/>
                <w:kern w:val="24"/>
                <w:sz w:val="18"/>
                <w:szCs w:val="18"/>
                <w:lang w:eastAsia="en-AU"/>
              </w:rPr>
              <w:t>&lt;</w:t>
            </w:r>
            <w:r w:rsidRPr="0094169A">
              <w:rPr>
                <w:rFonts w:eastAsia="PMingLiU"/>
                <w:bCs/>
                <w:color w:val="000000" w:themeColor="text1"/>
                <w:sz w:val="18"/>
                <w:szCs w:val="18"/>
              </w:rPr>
              <w:t>B</w:t>
            </w:r>
            <w:r w:rsidRPr="0094169A">
              <w:rPr>
                <w:rFonts w:eastAsia="PMingLiU"/>
                <w:bCs/>
                <w:color w:val="000000" w:themeColor="text1"/>
                <w:sz w:val="18"/>
                <w:szCs w:val="18"/>
                <w:vertAlign w:val="subscript"/>
              </w:rPr>
              <w:t>PME</w:t>
            </w:r>
          </w:p>
        </w:tc>
        <w:tc>
          <w:tcPr>
            <w:tcW w:w="862" w:type="dxa"/>
            <w:tcBorders>
              <w:top w:val="single" w:sz="4" w:space="0" w:color="auto"/>
            </w:tcBorders>
            <w:shd w:val="clear" w:color="auto" w:fill="auto"/>
            <w:tcMar>
              <w:top w:w="15" w:type="dxa"/>
              <w:left w:w="15" w:type="dxa"/>
              <w:bottom w:w="0" w:type="dxa"/>
              <w:right w:w="15" w:type="dxa"/>
            </w:tcMar>
            <w:vAlign w:val="bottom"/>
          </w:tcPr>
          <w:p w14:paraId="06CFB850" w14:textId="77777777" w:rsidR="005A6A65" w:rsidRPr="0094169A" w:rsidRDefault="005A6A65" w:rsidP="00561F0E">
            <w:pPr>
              <w:keepNext/>
              <w:jc w:val="center"/>
              <w:textAlignment w:val="bottom"/>
              <w:rPr>
                <w:color w:val="000000"/>
                <w:sz w:val="18"/>
                <w:szCs w:val="18"/>
              </w:rPr>
            </w:pPr>
            <w:r w:rsidRPr="0094169A">
              <w:rPr>
                <w:color w:val="000000"/>
                <w:sz w:val="18"/>
                <w:szCs w:val="18"/>
              </w:rPr>
              <w:t>91</w:t>
            </w:r>
          </w:p>
        </w:tc>
        <w:tc>
          <w:tcPr>
            <w:tcW w:w="864" w:type="dxa"/>
            <w:tcBorders>
              <w:top w:val="single" w:sz="4" w:space="0" w:color="auto"/>
            </w:tcBorders>
            <w:shd w:val="clear" w:color="auto" w:fill="auto"/>
            <w:tcMar>
              <w:top w:w="15" w:type="dxa"/>
              <w:left w:w="15" w:type="dxa"/>
              <w:bottom w:w="0" w:type="dxa"/>
              <w:right w:w="15" w:type="dxa"/>
            </w:tcMar>
            <w:vAlign w:val="bottom"/>
          </w:tcPr>
          <w:p w14:paraId="69DE8C95" w14:textId="77777777" w:rsidR="005A6A65" w:rsidRPr="0094169A" w:rsidRDefault="005A6A65" w:rsidP="00561F0E">
            <w:pPr>
              <w:keepNext/>
              <w:jc w:val="center"/>
              <w:textAlignment w:val="bottom"/>
              <w:rPr>
                <w:color w:val="000000"/>
                <w:sz w:val="18"/>
                <w:szCs w:val="18"/>
              </w:rPr>
            </w:pPr>
            <w:r w:rsidRPr="0094169A">
              <w:rPr>
                <w:color w:val="000000"/>
                <w:sz w:val="18"/>
                <w:szCs w:val="18"/>
              </w:rPr>
              <w:t>94</w:t>
            </w:r>
          </w:p>
        </w:tc>
        <w:tc>
          <w:tcPr>
            <w:tcW w:w="864" w:type="dxa"/>
            <w:tcBorders>
              <w:top w:val="single" w:sz="4" w:space="0" w:color="auto"/>
            </w:tcBorders>
            <w:shd w:val="clear" w:color="auto" w:fill="auto"/>
            <w:vAlign w:val="bottom"/>
          </w:tcPr>
          <w:p w14:paraId="19C420D3" w14:textId="77777777" w:rsidR="005A6A65" w:rsidRPr="0094169A" w:rsidRDefault="005A6A65" w:rsidP="00561F0E">
            <w:pPr>
              <w:keepNext/>
              <w:jc w:val="center"/>
              <w:textAlignment w:val="bottom"/>
              <w:rPr>
                <w:color w:val="000000"/>
                <w:sz w:val="18"/>
                <w:szCs w:val="18"/>
              </w:rPr>
            </w:pPr>
            <w:r w:rsidRPr="0094169A">
              <w:rPr>
                <w:color w:val="000000"/>
                <w:sz w:val="18"/>
                <w:szCs w:val="18"/>
              </w:rPr>
              <w:t>96</w:t>
            </w:r>
          </w:p>
        </w:tc>
        <w:tc>
          <w:tcPr>
            <w:tcW w:w="864" w:type="dxa"/>
            <w:tcBorders>
              <w:top w:val="single" w:sz="4" w:space="0" w:color="auto"/>
            </w:tcBorders>
            <w:shd w:val="clear" w:color="auto" w:fill="auto"/>
            <w:vAlign w:val="bottom"/>
          </w:tcPr>
          <w:p w14:paraId="142BF953" w14:textId="77777777" w:rsidR="005A6A65" w:rsidRPr="0094169A" w:rsidRDefault="005A6A65" w:rsidP="00561F0E">
            <w:pPr>
              <w:keepNext/>
              <w:jc w:val="center"/>
              <w:textAlignment w:val="bottom"/>
              <w:rPr>
                <w:color w:val="000000"/>
                <w:sz w:val="18"/>
                <w:szCs w:val="18"/>
              </w:rPr>
            </w:pPr>
            <w:r w:rsidRPr="0094169A">
              <w:rPr>
                <w:color w:val="000000"/>
                <w:sz w:val="18"/>
                <w:szCs w:val="18"/>
              </w:rPr>
              <w:t>97</w:t>
            </w:r>
          </w:p>
        </w:tc>
        <w:tc>
          <w:tcPr>
            <w:tcW w:w="864" w:type="dxa"/>
            <w:tcBorders>
              <w:top w:val="single" w:sz="4" w:space="0" w:color="auto"/>
            </w:tcBorders>
            <w:shd w:val="clear" w:color="auto" w:fill="auto"/>
            <w:tcMar>
              <w:top w:w="15" w:type="dxa"/>
              <w:left w:w="15" w:type="dxa"/>
              <w:bottom w:w="0" w:type="dxa"/>
              <w:right w:w="15" w:type="dxa"/>
            </w:tcMar>
            <w:vAlign w:val="bottom"/>
          </w:tcPr>
          <w:p w14:paraId="7608A13E" w14:textId="77777777" w:rsidR="005A6A65" w:rsidRPr="0094169A" w:rsidRDefault="005A6A65" w:rsidP="00561F0E">
            <w:pPr>
              <w:keepNext/>
              <w:jc w:val="center"/>
              <w:textAlignment w:val="bottom"/>
              <w:rPr>
                <w:color w:val="000000"/>
                <w:sz w:val="18"/>
                <w:szCs w:val="18"/>
              </w:rPr>
            </w:pPr>
            <w:r w:rsidRPr="0094169A">
              <w:rPr>
                <w:color w:val="000000"/>
                <w:sz w:val="18"/>
                <w:szCs w:val="18"/>
              </w:rPr>
              <w:t>98</w:t>
            </w:r>
          </w:p>
        </w:tc>
        <w:tc>
          <w:tcPr>
            <w:tcW w:w="864" w:type="dxa"/>
            <w:tcBorders>
              <w:top w:val="single" w:sz="4" w:space="0" w:color="auto"/>
            </w:tcBorders>
            <w:shd w:val="clear" w:color="auto" w:fill="auto"/>
            <w:vAlign w:val="bottom"/>
          </w:tcPr>
          <w:p w14:paraId="441EBB4A" w14:textId="77777777" w:rsidR="005A6A65" w:rsidRPr="0094169A" w:rsidRDefault="005A6A65" w:rsidP="00561F0E">
            <w:pPr>
              <w:keepNext/>
              <w:jc w:val="center"/>
              <w:textAlignment w:val="bottom"/>
              <w:rPr>
                <w:color w:val="000000"/>
                <w:sz w:val="18"/>
                <w:szCs w:val="18"/>
              </w:rPr>
            </w:pPr>
            <w:r w:rsidRPr="0094169A">
              <w:rPr>
                <w:color w:val="000000"/>
                <w:sz w:val="18"/>
                <w:szCs w:val="18"/>
              </w:rPr>
              <w:t>98</w:t>
            </w:r>
          </w:p>
        </w:tc>
        <w:tc>
          <w:tcPr>
            <w:tcW w:w="864" w:type="dxa"/>
            <w:tcBorders>
              <w:top w:val="single" w:sz="4" w:space="0" w:color="auto"/>
            </w:tcBorders>
            <w:shd w:val="clear" w:color="auto" w:fill="auto"/>
            <w:tcMar>
              <w:top w:w="15" w:type="dxa"/>
              <w:left w:w="15" w:type="dxa"/>
              <w:bottom w:w="0" w:type="dxa"/>
              <w:right w:w="15" w:type="dxa"/>
            </w:tcMar>
            <w:vAlign w:val="bottom"/>
          </w:tcPr>
          <w:p w14:paraId="6A03D1C8" w14:textId="77777777" w:rsidR="005A6A65" w:rsidRPr="0094169A" w:rsidRDefault="005A6A65" w:rsidP="00561F0E">
            <w:pPr>
              <w:keepNext/>
              <w:jc w:val="center"/>
              <w:textAlignment w:val="bottom"/>
              <w:rPr>
                <w:color w:val="000000"/>
                <w:sz w:val="18"/>
                <w:szCs w:val="18"/>
              </w:rPr>
            </w:pPr>
            <w:r w:rsidRPr="0094169A">
              <w:rPr>
                <w:color w:val="000000"/>
                <w:sz w:val="18"/>
                <w:szCs w:val="18"/>
              </w:rPr>
              <w:t>99</w:t>
            </w:r>
          </w:p>
        </w:tc>
        <w:tc>
          <w:tcPr>
            <w:tcW w:w="864" w:type="dxa"/>
            <w:tcBorders>
              <w:top w:val="single" w:sz="4" w:space="0" w:color="auto"/>
            </w:tcBorders>
            <w:shd w:val="clear" w:color="auto" w:fill="auto"/>
            <w:tcMar>
              <w:top w:w="15" w:type="dxa"/>
              <w:left w:w="15" w:type="dxa"/>
              <w:bottom w:w="0" w:type="dxa"/>
              <w:right w:w="15" w:type="dxa"/>
            </w:tcMar>
            <w:vAlign w:val="bottom"/>
          </w:tcPr>
          <w:p w14:paraId="2F93E5EF" w14:textId="77777777" w:rsidR="005A6A65" w:rsidRPr="0094169A" w:rsidRDefault="005A6A65" w:rsidP="00561F0E">
            <w:pPr>
              <w:keepNext/>
              <w:jc w:val="center"/>
              <w:textAlignment w:val="bottom"/>
              <w:rPr>
                <w:color w:val="000000"/>
                <w:sz w:val="18"/>
                <w:szCs w:val="18"/>
              </w:rPr>
            </w:pPr>
            <w:r w:rsidRPr="0094169A">
              <w:rPr>
                <w:color w:val="000000"/>
                <w:sz w:val="18"/>
                <w:szCs w:val="18"/>
              </w:rPr>
              <w:t>99</w:t>
            </w:r>
          </w:p>
        </w:tc>
        <w:tc>
          <w:tcPr>
            <w:tcW w:w="866" w:type="dxa"/>
            <w:tcBorders>
              <w:top w:val="single" w:sz="4" w:space="0" w:color="auto"/>
            </w:tcBorders>
            <w:shd w:val="clear" w:color="auto" w:fill="auto"/>
            <w:vAlign w:val="bottom"/>
          </w:tcPr>
          <w:p w14:paraId="57E8DA77" w14:textId="77777777" w:rsidR="005A6A65" w:rsidRPr="0094169A" w:rsidRDefault="005A6A65" w:rsidP="00561F0E">
            <w:pPr>
              <w:keepNext/>
              <w:jc w:val="center"/>
              <w:textAlignment w:val="bottom"/>
              <w:rPr>
                <w:color w:val="000000"/>
                <w:sz w:val="18"/>
                <w:szCs w:val="18"/>
              </w:rPr>
            </w:pPr>
            <w:r w:rsidRPr="0094169A">
              <w:rPr>
                <w:color w:val="000000"/>
                <w:sz w:val="18"/>
                <w:szCs w:val="18"/>
              </w:rPr>
              <w:t>99</w:t>
            </w:r>
          </w:p>
        </w:tc>
      </w:tr>
      <w:tr w:rsidR="005A6A65" w:rsidRPr="0094169A" w14:paraId="286BF09A" w14:textId="77777777" w:rsidTr="00561F0E">
        <w:trPr>
          <w:gridAfter w:val="1"/>
          <w:wAfter w:w="6" w:type="dxa"/>
          <w:trHeight w:val="283"/>
          <w:jc w:val="center"/>
        </w:trPr>
        <w:tc>
          <w:tcPr>
            <w:tcW w:w="2617" w:type="dxa"/>
            <w:shd w:val="clear" w:color="auto" w:fill="auto"/>
            <w:tcMar>
              <w:top w:w="15" w:type="dxa"/>
              <w:left w:w="108" w:type="dxa"/>
              <w:bottom w:w="0" w:type="dxa"/>
              <w:right w:w="108" w:type="dxa"/>
            </w:tcMar>
            <w:vAlign w:val="center"/>
          </w:tcPr>
          <w:p w14:paraId="1744E91A" w14:textId="77777777" w:rsidR="005A6A65" w:rsidRPr="0094169A" w:rsidRDefault="005A6A65" w:rsidP="00561F0E">
            <w:pPr>
              <w:keepNext/>
              <w:jc w:val="center"/>
              <w:rPr>
                <w:color w:val="000000" w:themeColor="text1"/>
                <w:sz w:val="18"/>
                <w:szCs w:val="18"/>
                <w:lang w:eastAsia="en-AU"/>
              </w:rPr>
            </w:pPr>
            <w:r w:rsidRPr="0094169A">
              <w:rPr>
                <w:rFonts w:eastAsia="PMingLiU"/>
                <w:bCs/>
                <w:color w:val="000000" w:themeColor="text1"/>
                <w:sz w:val="18"/>
                <w:szCs w:val="18"/>
              </w:rPr>
              <w:t>F</w:t>
            </w:r>
            <w:r w:rsidRPr="0094169A">
              <w:rPr>
                <w:rFonts w:eastAsia="PMingLiU"/>
                <w:bCs/>
                <w:color w:val="000000" w:themeColor="text1"/>
                <w:sz w:val="18"/>
                <w:szCs w:val="18"/>
                <w:vertAlign w:val="subscript"/>
              </w:rPr>
              <w:t>2018</w:t>
            </w:r>
            <w:r w:rsidRPr="0094169A">
              <w:rPr>
                <w:color w:val="000000" w:themeColor="text1"/>
                <w:kern w:val="24"/>
                <w:sz w:val="18"/>
                <w:szCs w:val="18"/>
                <w:lang w:eastAsia="en-AU"/>
              </w:rPr>
              <w:t>&gt; F</w:t>
            </w:r>
            <w:r w:rsidRPr="0094169A">
              <w:rPr>
                <w:rFonts w:eastAsia="PMingLiU"/>
                <w:bCs/>
                <w:color w:val="000000" w:themeColor="text1"/>
                <w:sz w:val="18"/>
                <w:szCs w:val="18"/>
                <w:vertAlign w:val="subscript"/>
              </w:rPr>
              <w:t>PME</w:t>
            </w:r>
          </w:p>
        </w:tc>
        <w:tc>
          <w:tcPr>
            <w:tcW w:w="862" w:type="dxa"/>
            <w:shd w:val="clear" w:color="auto" w:fill="auto"/>
            <w:tcMar>
              <w:top w:w="15" w:type="dxa"/>
              <w:left w:w="15" w:type="dxa"/>
              <w:bottom w:w="0" w:type="dxa"/>
              <w:right w:w="15" w:type="dxa"/>
            </w:tcMar>
            <w:vAlign w:val="bottom"/>
          </w:tcPr>
          <w:p w14:paraId="49AF52AD"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89</w:t>
            </w:r>
          </w:p>
        </w:tc>
        <w:tc>
          <w:tcPr>
            <w:tcW w:w="864" w:type="dxa"/>
            <w:shd w:val="clear" w:color="auto" w:fill="auto"/>
            <w:tcMar>
              <w:top w:w="15" w:type="dxa"/>
              <w:left w:w="15" w:type="dxa"/>
              <w:bottom w:w="0" w:type="dxa"/>
              <w:right w:w="15" w:type="dxa"/>
            </w:tcMar>
            <w:vAlign w:val="bottom"/>
          </w:tcPr>
          <w:p w14:paraId="66039495"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96</w:t>
            </w:r>
          </w:p>
        </w:tc>
        <w:tc>
          <w:tcPr>
            <w:tcW w:w="864" w:type="dxa"/>
            <w:shd w:val="clear" w:color="auto" w:fill="auto"/>
            <w:vAlign w:val="bottom"/>
          </w:tcPr>
          <w:p w14:paraId="3267FAE3" w14:textId="77777777" w:rsidR="005A6A65" w:rsidRPr="0094169A" w:rsidRDefault="005A6A65" w:rsidP="00561F0E">
            <w:pPr>
              <w:keepNext/>
              <w:jc w:val="center"/>
              <w:textAlignment w:val="bottom"/>
              <w:rPr>
                <w:rFonts w:eastAsia="MS Mincho"/>
                <w:color w:val="FF0000"/>
                <w:sz w:val="18"/>
                <w:szCs w:val="18"/>
                <w:lang w:eastAsia="ja-JP"/>
              </w:rPr>
            </w:pPr>
            <w:r w:rsidRPr="0094169A">
              <w:rPr>
                <w:color w:val="000000"/>
                <w:sz w:val="18"/>
                <w:szCs w:val="18"/>
              </w:rPr>
              <w:t>98</w:t>
            </w:r>
          </w:p>
        </w:tc>
        <w:tc>
          <w:tcPr>
            <w:tcW w:w="864" w:type="dxa"/>
            <w:shd w:val="clear" w:color="auto" w:fill="auto"/>
            <w:vAlign w:val="bottom"/>
          </w:tcPr>
          <w:p w14:paraId="5A109960" w14:textId="77777777" w:rsidR="005A6A65" w:rsidRPr="0094169A" w:rsidRDefault="005A6A65" w:rsidP="00561F0E">
            <w:pPr>
              <w:keepNext/>
              <w:jc w:val="center"/>
              <w:textAlignment w:val="bottom"/>
              <w:rPr>
                <w:rFonts w:eastAsia="MS Mincho"/>
                <w:color w:val="FF0000"/>
                <w:sz w:val="18"/>
                <w:szCs w:val="18"/>
                <w:lang w:eastAsia="ja-JP"/>
              </w:rPr>
            </w:pPr>
            <w:r w:rsidRPr="0094169A">
              <w:rPr>
                <w:color w:val="000000"/>
                <w:sz w:val="18"/>
                <w:szCs w:val="18"/>
              </w:rPr>
              <w:t>99</w:t>
            </w:r>
          </w:p>
        </w:tc>
        <w:tc>
          <w:tcPr>
            <w:tcW w:w="864" w:type="dxa"/>
            <w:shd w:val="clear" w:color="auto" w:fill="auto"/>
            <w:tcMar>
              <w:top w:w="15" w:type="dxa"/>
              <w:left w:w="15" w:type="dxa"/>
              <w:bottom w:w="0" w:type="dxa"/>
              <w:right w:w="15" w:type="dxa"/>
            </w:tcMar>
            <w:vAlign w:val="bottom"/>
          </w:tcPr>
          <w:p w14:paraId="49D8D995"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100</w:t>
            </w:r>
          </w:p>
        </w:tc>
        <w:tc>
          <w:tcPr>
            <w:tcW w:w="864" w:type="dxa"/>
            <w:shd w:val="clear" w:color="auto" w:fill="auto"/>
            <w:vAlign w:val="bottom"/>
          </w:tcPr>
          <w:p w14:paraId="1F1FFD93" w14:textId="77777777" w:rsidR="005A6A65" w:rsidRPr="0094169A" w:rsidRDefault="005A6A65" w:rsidP="00561F0E">
            <w:pPr>
              <w:keepNext/>
              <w:jc w:val="center"/>
              <w:textAlignment w:val="bottom"/>
              <w:rPr>
                <w:rFonts w:eastAsia="MS Mincho"/>
                <w:color w:val="FF0000"/>
                <w:sz w:val="18"/>
                <w:szCs w:val="18"/>
                <w:lang w:eastAsia="ja-JP"/>
              </w:rPr>
            </w:pPr>
            <w:r w:rsidRPr="0094169A">
              <w:rPr>
                <w:color w:val="000000"/>
                <w:sz w:val="18"/>
                <w:szCs w:val="18"/>
              </w:rPr>
              <w:t>100</w:t>
            </w:r>
          </w:p>
        </w:tc>
        <w:tc>
          <w:tcPr>
            <w:tcW w:w="864" w:type="dxa"/>
            <w:shd w:val="clear" w:color="auto" w:fill="auto"/>
            <w:tcMar>
              <w:top w:w="15" w:type="dxa"/>
              <w:left w:w="15" w:type="dxa"/>
              <w:bottom w:w="0" w:type="dxa"/>
              <w:right w:w="15" w:type="dxa"/>
            </w:tcMar>
            <w:vAlign w:val="bottom"/>
          </w:tcPr>
          <w:p w14:paraId="294FBF14"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100</w:t>
            </w:r>
          </w:p>
        </w:tc>
        <w:tc>
          <w:tcPr>
            <w:tcW w:w="864" w:type="dxa"/>
            <w:shd w:val="clear" w:color="auto" w:fill="auto"/>
            <w:tcMar>
              <w:top w:w="15" w:type="dxa"/>
              <w:left w:w="15" w:type="dxa"/>
              <w:bottom w:w="0" w:type="dxa"/>
              <w:right w:w="15" w:type="dxa"/>
            </w:tcMar>
            <w:vAlign w:val="bottom"/>
          </w:tcPr>
          <w:p w14:paraId="73623176"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100</w:t>
            </w:r>
          </w:p>
        </w:tc>
        <w:tc>
          <w:tcPr>
            <w:tcW w:w="866" w:type="dxa"/>
            <w:shd w:val="clear" w:color="auto" w:fill="auto"/>
            <w:vAlign w:val="bottom"/>
          </w:tcPr>
          <w:p w14:paraId="19107BD9"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100</w:t>
            </w:r>
          </w:p>
        </w:tc>
      </w:tr>
      <w:tr w:rsidR="005A6A65" w:rsidRPr="0094169A" w14:paraId="6509921C" w14:textId="77777777" w:rsidTr="00561F0E">
        <w:trPr>
          <w:gridAfter w:val="1"/>
          <w:wAfter w:w="6" w:type="dxa"/>
          <w:trHeight w:val="138"/>
          <w:jc w:val="center"/>
        </w:trPr>
        <w:tc>
          <w:tcPr>
            <w:tcW w:w="2617" w:type="dxa"/>
            <w:shd w:val="clear" w:color="auto" w:fill="auto"/>
            <w:tcMar>
              <w:top w:w="15" w:type="dxa"/>
              <w:left w:w="108" w:type="dxa"/>
              <w:bottom w:w="0" w:type="dxa"/>
              <w:right w:w="108" w:type="dxa"/>
            </w:tcMar>
            <w:vAlign w:val="center"/>
          </w:tcPr>
          <w:p w14:paraId="4FFA0356" w14:textId="77777777" w:rsidR="005A6A65" w:rsidRPr="0094169A" w:rsidRDefault="005A6A65" w:rsidP="00561F0E">
            <w:pPr>
              <w:keepNext/>
              <w:jc w:val="center"/>
              <w:rPr>
                <w:color w:val="000000" w:themeColor="text1"/>
                <w:sz w:val="18"/>
                <w:szCs w:val="18"/>
                <w:lang w:eastAsia="en-AU"/>
              </w:rPr>
            </w:pPr>
          </w:p>
        </w:tc>
        <w:tc>
          <w:tcPr>
            <w:tcW w:w="862" w:type="dxa"/>
            <w:shd w:val="clear" w:color="auto" w:fill="auto"/>
            <w:tcMar>
              <w:top w:w="15" w:type="dxa"/>
              <w:left w:w="15" w:type="dxa"/>
              <w:bottom w:w="0" w:type="dxa"/>
              <w:right w:w="15" w:type="dxa"/>
            </w:tcMar>
            <w:vAlign w:val="center"/>
          </w:tcPr>
          <w:p w14:paraId="455EC758" w14:textId="77777777" w:rsidR="005A6A65" w:rsidRPr="0094169A" w:rsidRDefault="005A6A65" w:rsidP="00561F0E">
            <w:pPr>
              <w:keepNext/>
              <w:jc w:val="center"/>
              <w:rPr>
                <w:color w:val="FF0000"/>
                <w:sz w:val="18"/>
                <w:szCs w:val="18"/>
                <w:lang w:eastAsia="en-AU"/>
              </w:rPr>
            </w:pPr>
          </w:p>
        </w:tc>
        <w:tc>
          <w:tcPr>
            <w:tcW w:w="864" w:type="dxa"/>
            <w:shd w:val="clear" w:color="auto" w:fill="auto"/>
            <w:tcMar>
              <w:top w:w="15" w:type="dxa"/>
              <w:left w:w="15" w:type="dxa"/>
              <w:bottom w:w="0" w:type="dxa"/>
              <w:right w:w="15" w:type="dxa"/>
            </w:tcMar>
            <w:vAlign w:val="center"/>
          </w:tcPr>
          <w:p w14:paraId="60125149" w14:textId="77777777" w:rsidR="005A6A65" w:rsidRPr="0094169A" w:rsidRDefault="005A6A65" w:rsidP="00561F0E">
            <w:pPr>
              <w:keepNext/>
              <w:jc w:val="center"/>
              <w:rPr>
                <w:color w:val="FF0000"/>
                <w:sz w:val="18"/>
                <w:szCs w:val="18"/>
                <w:lang w:eastAsia="en-AU"/>
              </w:rPr>
            </w:pPr>
          </w:p>
        </w:tc>
        <w:tc>
          <w:tcPr>
            <w:tcW w:w="864" w:type="dxa"/>
            <w:shd w:val="clear" w:color="auto" w:fill="auto"/>
            <w:vAlign w:val="center"/>
          </w:tcPr>
          <w:p w14:paraId="39C540F3" w14:textId="77777777" w:rsidR="005A6A65" w:rsidRPr="0094169A" w:rsidRDefault="005A6A65" w:rsidP="00561F0E">
            <w:pPr>
              <w:keepNext/>
              <w:jc w:val="center"/>
              <w:rPr>
                <w:color w:val="FF0000"/>
                <w:sz w:val="18"/>
                <w:szCs w:val="18"/>
                <w:lang w:eastAsia="en-AU"/>
              </w:rPr>
            </w:pPr>
          </w:p>
        </w:tc>
        <w:tc>
          <w:tcPr>
            <w:tcW w:w="864" w:type="dxa"/>
            <w:shd w:val="clear" w:color="auto" w:fill="auto"/>
            <w:vAlign w:val="center"/>
          </w:tcPr>
          <w:p w14:paraId="5F59858A" w14:textId="77777777" w:rsidR="005A6A65" w:rsidRPr="0094169A" w:rsidRDefault="005A6A65" w:rsidP="00561F0E">
            <w:pPr>
              <w:keepNext/>
              <w:jc w:val="center"/>
              <w:rPr>
                <w:color w:val="FF0000"/>
                <w:sz w:val="18"/>
                <w:szCs w:val="18"/>
                <w:lang w:eastAsia="en-AU"/>
              </w:rPr>
            </w:pPr>
          </w:p>
        </w:tc>
        <w:tc>
          <w:tcPr>
            <w:tcW w:w="864" w:type="dxa"/>
            <w:shd w:val="clear" w:color="auto" w:fill="auto"/>
            <w:tcMar>
              <w:top w:w="15" w:type="dxa"/>
              <w:left w:w="15" w:type="dxa"/>
              <w:bottom w:w="0" w:type="dxa"/>
              <w:right w:w="15" w:type="dxa"/>
            </w:tcMar>
            <w:vAlign w:val="center"/>
          </w:tcPr>
          <w:p w14:paraId="0864E21E" w14:textId="77777777" w:rsidR="005A6A65" w:rsidRPr="0094169A" w:rsidRDefault="005A6A65" w:rsidP="00561F0E">
            <w:pPr>
              <w:keepNext/>
              <w:jc w:val="center"/>
              <w:rPr>
                <w:color w:val="FF0000"/>
                <w:sz w:val="18"/>
                <w:szCs w:val="18"/>
                <w:lang w:eastAsia="en-AU"/>
              </w:rPr>
            </w:pPr>
          </w:p>
        </w:tc>
        <w:tc>
          <w:tcPr>
            <w:tcW w:w="864" w:type="dxa"/>
            <w:shd w:val="clear" w:color="auto" w:fill="auto"/>
            <w:vAlign w:val="center"/>
          </w:tcPr>
          <w:p w14:paraId="21434A5A" w14:textId="77777777" w:rsidR="005A6A65" w:rsidRPr="0094169A" w:rsidRDefault="005A6A65" w:rsidP="00561F0E">
            <w:pPr>
              <w:keepNext/>
              <w:jc w:val="center"/>
              <w:rPr>
                <w:color w:val="FF0000"/>
                <w:sz w:val="18"/>
                <w:szCs w:val="18"/>
                <w:lang w:eastAsia="en-AU"/>
              </w:rPr>
            </w:pPr>
          </w:p>
        </w:tc>
        <w:tc>
          <w:tcPr>
            <w:tcW w:w="864" w:type="dxa"/>
            <w:shd w:val="clear" w:color="auto" w:fill="auto"/>
            <w:tcMar>
              <w:top w:w="15" w:type="dxa"/>
              <w:left w:w="15" w:type="dxa"/>
              <w:bottom w:w="0" w:type="dxa"/>
              <w:right w:w="15" w:type="dxa"/>
            </w:tcMar>
            <w:vAlign w:val="center"/>
          </w:tcPr>
          <w:p w14:paraId="2D88340A" w14:textId="77777777" w:rsidR="005A6A65" w:rsidRPr="0094169A" w:rsidRDefault="005A6A65" w:rsidP="00561F0E">
            <w:pPr>
              <w:keepNext/>
              <w:jc w:val="center"/>
              <w:rPr>
                <w:color w:val="FF0000"/>
                <w:sz w:val="18"/>
                <w:szCs w:val="18"/>
                <w:lang w:eastAsia="en-AU"/>
              </w:rPr>
            </w:pPr>
          </w:p>
        </w:tc>
        <w:tc>
          <w:tcPr>
            <w:tcW w:w="864" w:type="dxa"/>
            <w:shd w:val="clear" w:color="auto" w:fill="auto"/>
            <w:tcMar>
              <w:top w:w="15" w:type="dxa"/>
              <w:left w:w="15" w:type="dxa"/>
              <w:bottom w:w="0" w:type="dxa"/>
              <w:right w:w="15" w:type="dxa"/>
            </w:tcMar>
            <w:vAlign w:val="center"/>
          </w:tcPr>
          <w:p w14:paraId="5D413933" w14:textId="77777777" w:rsidR="005A6A65" w:rsidRPr="0094169A" w:rsidRDefault="005A6A65" w:rsidP="00561F0E">
            <w:pPr>
              <w:keepNext/>
              <w:jc w:val="center"/>
              <w:rPr>
                <w:color w:val="FF0000"/>
                <w:sz w:val="18"/>
                <w:szCs w:val="18"/>
                <w:lang w:eastAsia="en-AU"/>
              </w:rPr>
            </w:pPr>
          </w:p>
        </w:tc>
        <w:tc>
          <w:tcPr>
            <w:tcW w:w="866" w:type="dxa"/>
            <w:shd w:val="clear" w:color="auto" w:fill="auto"/>
            <w:vAlign w:val="center"/>
          </w:tcPr>
          <w:p w14:paraId="2A3C4401" w14:textId="77777777" w:rsidR="005A6A65" w:rsidRPr="0094169A" w:rsidRDefault="005A6A65" w:rsidP="00561F0E">
            <w:pPr>
              <w:keepNext/>
              <w:jc w:val="center"/>
              <w:rPr>
                <w:color w:val="FF0000"/>
                <w:sz w:val="18"/>
                <w:szCs w:val="18"/>
                <w:lang w:eastAsia="en-AU"/>
              </w:rPr>
            </w:pPr>
          </w:p>
        </w:tc>
      </w:tr>
      <w:tr w:rsidR="005A6A65" w:rsidRPr="0094169A" w14:paraId="2D593383" w14:textId="77777777" w:rsidTr="00561F0E">
        <w:trPr>
          <w:gridAfter w:val="1"/>
          <w:wAfter w:w="6" w:type="dxa"/>
          <w:trHeight w:val="283"/>
          <w:jc w:val="center"/>
        </w:trPr>
        <w:tc>
          <w:tcPr>
            <w:tcW w:w="2617" w:type="dxa"/>
            <w:shd w:val="clear" w:color="auto" w:fill="auto"/>
            <w:tcMar>
              <w:top w:w="15" w:type="dxa"/>
              <w:left w:w="108" w:type="dxa"/>
              <w:bottom w:w="0" w:type="dxa"/>
              <w:right w:w="108" w:type="dxa"/>
            </w:tcMar>
            <w:vAlign w:val="center"/>
          </w:tcPr>
          <w:p w14:paraId="3B371B68" w14:textId="77777777" w:rsidR="005A6A65" w:rsidRPr="0094169A" w:rsidRDefault="005A6A65" w:rsidP="00561F0E">
            <w:pPr>
              <w:keepNext/>
              <w:jc w:val="center"/>
              <w:rPr>
                <w:color w:val="000000" w:themeColor="text1"/>
                <w:sz w:val="18"/>
                <w:szCs w:val="18"/>
                <w:lang w:eastAsia="en-AU"/>
              </w:rPr>
            </w:pPr>
            <w:r w:rsidRPr="0094169A">
              <w:rPr>
                <w:rFonts w:eastAsia="PMingLiU"/>
                <w:bCs/>
                <w:color w:val="000000" w:themeColor="text1"/>
                <w:sz w:val="18"/>
                <w:szCs w:val="18"/>
              </w:rPr>
              <w:t>B</w:t>
            </w:r>
            <w:r w:rsidRPr="0094169A">
              <w:rPr>
                <w:rFonts w:eastAsia="PMingLiU"/>
                <w:bCs/>
                <w:color w:val="000000" w:themeColor="text1"/>
                <w:sz w:val="18"/>
                <w:szCs w:val="18"/>
                <w:vertAlign w:val="subscript"/>
              </w:rPr>
              <w:t>2025</w:t>
            </w:r>
            <w:r w:rsidRPr="0094169A">
              <w:rPr>
                <w:color w:val="000000" w:themeColor="text1"/>
                <w:kern w:val="24"/>
                <w:sz w:val="18"/>
                <w:szCs w:val="18"/>
                <w:lang w:eastAsia="en-AU"/>
              </w:rPr>
              <w:t>&lt;</w:t>
            </w:r>
            <w:r w:rsidRPr="0094169A">
              <w:rPr>
                <w:rFonts w:eastAsia="PMingLiU"/>
                <w:bCs/>
                <w:color w:val="000000" w:themeColor="text1"/>
                <w:sz w:val="18"/>
                <w:szCs w:val="18"/>
              </w:rPr>
              <w:t>B</w:t>
            </w:r>
            <w:r w:rsidRPr="0094169A">
              <w:rPr>
                <w:rFonts w:eastAsia="PMingLiU"/>
                <w:bCs/>
                <w:color w:val="000000" w:themeColor="text1"/>
                <w:sz w:val="18"/>
                <w:szCs w:val="18"/>
                <w:vertAlign w:val="subscript"/>
              </w:rPr>
              <w:t>PME</w:t>
            </w:r>
          </w:p>
        </w:tc>
        <w:tc>
          <w:tcPr>
            <w:tcW w:w="862" w:type="dxa"/>
            <w:shd w:val="clear" w:color="auto" w:fill="auto"/>
            <w:tcMar>
              <w:top w:w="15" w:type="dxa"/>
              <w:left w:w="15" w:type="dxa"/>
              <w:bottom w:w="0" w:type="dxa"/>
              <w:right w:w="15" w:type="dxa"/>
            </w:tcMar>
            <w:vAlign w:val="bottom"/>
          </w:tcPr>
          <w:p w14:paraId="4C233973"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98</w:t>
            </w:r>
          </w:p>
        </w:tc>
        <w:tc>
          <w:tcPr>
            <w:tcW w:w="864" w:type="dxa"/>
            <w:shd w:val="clear" w:color="auto" w:fill="auto"/>
            <w:tcMar>
              <w:top w:w="15" w:type="dxa"/>
              <w:left w:w="15" w:type="dxa"/>
              <w:bottom w:w="0" w:type="dxa"/>
              <w:right w:w="15" w:type="dxa"/>
            </w:tcMar>
            <w:vAlign w:val="bottom"/>
          </w:tcPr>
          <w:p w14:paraId="7E5FD45B"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100</w:t>
            </w:r>
          </w:p>
        </w:tc>
        <w:tc>
          <w:tcPr>
            <w:tcW w:w="864" w:type="dxa"/>
            <w:shd w:val="clear" w:color="auto" w:fill="auto"/>
            <w:vAlign w:val="bottom"/>
          </w:tcPr>
          <w:p w14:paraId="3D629042" w14:textId="77777777" w:rsidR="005A6A65" w:rsidRPr="0094169A" w:rsidRDefault="005A6A65" w:rsidP="00561F0E">
            <w:pPr>
              <w:keepNext/>
              <w:jc w:val="center"/>
              <w:textAlignment w:val="bottom"/>
              <w:rPr>
                <w:rFonts w:eastAsia="MS Mincho"/>
                <w:color w:val="FF0000"/>
                <w:sz w:val="18"/>
                <w:szCs w:val="18"/>
                <w:lang w:eastAsia="ja-JP"/>
              </w:rPr>
            </w:pPr>
            <w:r w:rsidRPr="0094169A">
              <w:rPr>
                <w:color w:val="000000"/>
                <w:sz w:val="18"/>
                <w:szCs w:val="18"/>
              </w:rPr>
              <w:t>100</w:t>
            </w:r>
          </w:p>
        </w:tc>
        <w:tc>
          <w:tcPr>
            <w:tcW w:w="864" w:type="dxa"/>
            <w:shd w:val="clear" w:color="auto" w:fill="auto"/>
            <w:vAlign w:val="bottom"/>
          </w:tcPr>
          <w:p w14:paraId="09450EB8" w14:textId="77777777" w:rsidR="005A6A65" w:rsidRPr="0094169A" w:rsidRDefault="005A6A65" w:rsidP="00561F0E">
            <w:pPr>
              <w:keepNext/>
              <w:jc w:val="center"/>
              <w:textAlignment w:val="bottom"/>
              <w:rPr>
                <w:rFonts w:eastAsia="MS Mincho"/>
                <w:color w:val="FF0000"/>
                <w:sz w:val="18"/>
                <w:szCs w:val="18"/>
                <w:lang w:eastAsia="ja-JP"/>
              </w:rPr>
            </w:pPr>
            <w:r w:rsidRPr="0094169A">
              <w:rPr>
                <w:color w:val="000000"/>
                <w:sz w:val="18"/>
                <w:szCs w:val="18"/>
              </w:rPr>
              <w:t>100</w:t>
            </w:r>
          </w:p>
        </w:tc>
        <w:tc>
          <w:tcPr>
            <w:tcW w:w="864" w:type="dxa"/>
            <w:shd w:val="clear" w:color="auto" w:fill="auto"/>
            <w:tcMar>
              <w:top w:w="15" w:type="dxa"/>
              <w:left w:w="15" w:type="dxa"/>
              <w:bottom w:w="0" w:type="dxa"/>
              <w:right w:w="15" w:type="dxa"/>
            </w:tcMar>
            <w:vAlign w:val="bottom"/>
          </w:tcPr>
          <w:p w14:paraId="39525B0C"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100</w:t>
            </w:r>
          </w:p>
        </w:tc>
        <w:tc>
          <w:tcPr>
            <w:tcW w:w="864" w:type="dxa"/>
            <w:shd w:val="clear" w:color="auto" w:fill="auto"/>
            <w:vAlign w:val="bottom"/>
          </w:tcPr>
          <w:p w14:paraId="277BA9A9" w14:textId="77777777" w:rsidR="005A6A65" w:rsidRPr="0094169A" w:rsidRDefault="005A6A65" w:rsidP="00561F0E">
            <w:pPr>
              <w:keepNext/>
              <w:jc w:val="center"/>
              <w:textAlignment w:val="bottom"/>
              <w:rPr>
                <w:rFonts w:eastAsia="MS Mincho"/>
                <w:color w:val="FF0000"/>
                <w:sz w:val="18"/>
                <w:szCs w:val="18"/>
                <w:lang w:eastAsia="ja-JP"/>
              </w:rPr>
            </w:pPr>
            <w:r w:rsidRPr="0094169A">
              <w:rPr>
                <w:color w:val="000000"/>
                <w:sz w:val="18"/>
                <w:szCs w:val="18"/>
              </w:rPr>
              <w:t>100</w:t>
            </w:r>
          </w:p>
        </w:tc>
        <w:tc>
          <w:tcPr>
            <w:tcW w:w="864" w:type="dxa"/>
            <w:shd w:val="clear" w:color="auto" w:fill="auto"/>
            <w:tcMar>
              <w:top w:w="15" w:type="dxa"/>
              <w:left w:w="15" w:type="dxa"/>
              <w:bottom w:w="0" w:type="dxa"/>
              <w:right w:w="15" w:type="dxa"/>
            </w:tcMar>
            <w:vAlign w:val="bottom"/>
          </w:tcPr>
          <w:p w14:paraId="4E288B1D"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100</w:t>
            </w:r>
          </w:p>
        </w:tc>
        <w:tc>
          <w:tcPr>
            <w:tcW w:w="864" w:type="dxa"/>
            <w:shd w:val="clear" w:color="auto" w:fill="auto"/>
            <w:tcMar>
              <w:top w:w="15" w:type="dxa"/>
              <w:left w:w="15" w:type="dxa"/>
              <w:bottom w:w="0" w:type="dxa"/>
              <w:right w:w="15" w:type="dxa"/>
            </w:tcMar>
            <w:vAlign w:val="bottom"/>
          </w:tcPr>
          <w:p w14:paraId="046DC5C2"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100</w:t>
            </w:r>
          </w:p>
        </w:tc>
        <w:tc>
          <w:tcPr>
            <w:tcW w:w="866" w:type="dxa"/>
            <w:shd w:val="clear" w:color="auto" w:fill="auto"/>
            <w:vAlign w:val="bottom"/>
          </w:tcPr>
          <w:p w14:paraId="02485E60"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100</w:t>
            </w:r>
          </w:p>
        </w:tc>
      </w:tr>
      <w:tr w:rsidR="005A6A65" w:rsidRPr="0094169A" w14:paraId="1E21B4BF" w14:textId="77777777" w:rsidTr="00561F0E">
        <w:trPr>
          <w:gridAfter w:val="1"/>
          <w:wAfter w:w="6" w:type="dxa"/>
          <w:trHeight w:val="283"/>
          <w:jc w:val="center"/>
        </w:trPr>
        <w:tc>
          <w:tcPr>
            <w:tcW w:w="2617" w:type="dxa"/>
            <w:tcBorders>
              <w:bottom w:val="single" w:sz="4" w:space="0" w:color="auto"/>
            </w:tcBorders>
            <w:shd w:val="clear" w:color="auto" w:fill="auto"/>
            <w:tcMar>
              <w:top w:w="15" w:type="dxa"/>
              <w:left w:w="108" w:type="dxa"/>
              <w:bottom w:w="0" w:type="dxa"/>
              <w:right w:w="108" w:type="dxa"/>
            </w:tcMar>
            <w:vAlign w:val="center"/>
          </w:tcPr>
          <w:p w14:paraId="5219E9A1" w14:textId="77777777" w:rsidR="005A6A65" w:rsidRPr="0094169A" w:rsidRDefault="005A6A65" w:rsidP="00561F0E">
            <w:pPr>
              <w:keepNext/>
              <w:jc w:val="center"/>
              <w:rPr>
                <w:color w:val="000000" w:themeColor="text1"/>
                <w:sz w:val="18"/>
                <w:szCs w:val="18"/>
                <w:lang w:eastAsia="en-AU"/>
              </w:rPr>
            </w:pPr>
            <w:r w:rsidRPr="0094169A">
              <w:rPr>
                <w:rFonts w:eastAsia="PMingLiU"/>
                <w:bCs/>
                <w:color w:val="000000" w:themeColor="text1"/>
                <w:sz w:val="18"/>
                <w:szCs w:val="18"/>
              </w:rPr>
              <w:t>F</w:t>
            </w:r>
            <w:r w:rsidRPr="0094169A">
              <w:rPr>
                <w:rFonts w:eastAsia="PMingLiU"/>
                <w:bCs/>
                <w:color w:val="000000" w:themeColor="text1"/>
                <w:sz w:val="18"/>
                <w:szCs w:val="18"/>
                <w:vertAlign w:val="subscript"/>
              </w:rPr>
              <w:t>2025</w:t>
            </w:r>
            <w:r w:rsidRPr="0094169A">
              <w:rPr>
                <w:color w:val="000000" w:themeColor="text1"/>
                <w:kern w:val="24"/>
                <w:sz w:val="18"/>
                <w:szCs w:val="18"/>
                <w:lang w:eastAsia="en-AU"/>
              </w:rPr>
              <w:t>&gt; F</w:t>
            </w:r>
            <w:r w:rsidRPr="0094169A">
              <w:rPr>
                <w:rFonts w:eastAsia="PMingLiU"/>
                <w:bCs/>
                <w:color w:val="000000" w:themeColor="text1"/>
                <w:sz w:val="18"/>
                <w:szCs w:val="18"/>
                <w:vertAlign w:val="subscript"/>
              </w:rPr>
              <w:t>PME</w:t>
            </w:r>
          </w:p>
        </w:tc>
        <w:tc>
          <w:tcPr>
            <w:tcW w:w="862" w:type="dxa"/>
            <w:tcBorders>
              <w:bottom w:val="single" w:sz="4" w:space="0" w:color="auto"/>
            </w:tcBorders>
            <w:shd w:val="clear" w:color="auto" w:fill="auto"/>
            <w:tcMar>
              <w:top w:w="15" w:type="dxa"/>
              <w:left w:w="15" w:type="dxa"/>
              <w:bottom w:w="0" w:type="dxa"/>
              <w:right w:w="15" w:type="dxa"/>
            </w:tcMar>
            <w:vAlign w:val="bottom"/>
          </w:tcPr>
          <w:p w14:paraId="4724A971"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97</w:t>
            </w:r>
          </w:p>
        </w:tc>
        <w:tc>
          <w:tcPr>
            <w:tcW w:w="864" w:type="dxa"/>
            <w:tcBorders>
              <w:bottom w:val="single" w:sz="4" w:space="0" w:color="auto"/>
            </w:tcBorders>
            <w:shd w:val="clear" w:color="auto" w:fill="auto"/>
            <w:tcMar>
              <w:top w:w="15" w:type="dxa"/>
              <w:left w:w="15" w:type="dxa"/>
              <w:bottom w:w="0" w:type="dxa"/>
              <w:right w:w="15" w:type="dxa"/>
            </w:tcMar>
            <w:vAlign w:val="bottom"/>
          </w:tcPr>
          <w:p w14:paraId="648539BA"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99</w:t>
            </w:r>
          </w:p>
        </w:tc>
        <w:tc>
          <w:tcPr>
            <w:tcW w:w="864" w:type="dxa"/>
            <w:tcBorders>
              <w:bottom w:val="single" w:sz="4" w:space="0" w:color="auto"/>
            </w:tcBorders>
            <w:shd w:val="clear" w:color="auto" w:fill="auto"/>
            <w:vAlign w:val="bottom"/>
          </w:tcPr>
          <w:p w14:paraId="66048111" w14:textId="77777777" w:rsidR="005A6A65" w:rsidRPr="0094169A" w:rsidRDefault="005A6A65" w:rsidP="00561F0E">
            <w:pPr>
              <w:keepNext/>
              <w:jc w:val="center"/>
              <w:textAlignment w:val="bottom"/>
              <w:rPr>
                <w:rFonts w:eastAsia="MS Mincho"/>
                <w:color w:val="FF0000"/>
                <w:sz w:val="18"/>
                <w:szCs w:val="18"/>
                <w:lang w:eastAsia="ja-JP"/>
              </w:rPr>
            </w:pPr>
            <w:r w:rsidRPr="0094169A">
              <w:rPr>
                <w:color w:val="000000"/>
                <w:sz w:val="18"/>
                <w:szCs w:val="18"/>
              </w:rPr>
              <w:t>100</w:t>
            </w:r>
          </w:p>
        </w:tc>
        <w:tc>
          <w:tcPr>
            <w:tcW w:w="864" w:type="dxa"/>
            <w:tcBorders>
              <w:bottom w:val="single" w:sz="4" w:space="0" w:color="auto"/>
            </w:tcBorders>
            <w:shd w:val="clear" w:color="auto" w:fill="auto"/>
            <w:vAlign w:val="bottom"/>
          </w:tcPr>
          <w:p w14:paraId="55D8439D" w14:textId="77777777" w:rsidR="005A6A65" w:rsidRPr="0094169A" w:rsidRDefault="005A6A65" w:rsidP="00561F0E">
            <w:pPr>
              <w:keepNext/>
              <w:jc w:val="center"/>
              <w:textAlignment w:val="bottom"/>
              <w:rPr>
                <w:rFonts w:eastAsia="MS Mincho"/>
                <w:color w:val="FF0000"/>
                <w:sz w:val="18"/>
                <w:szCs w:val="18"/>
                <w:lang w:eastAsia="ja-JP"/>
              </w:rPr>
            </w:pPr>
            <w:r w:rsidRPr="0094169A">
              <w:rPr>
                <w:color w:val="000000"/>
                <w:sz w:val="18"/>
                <w:szCs w:val="18"/>
              </w:rPr>
              <w:t>100</w:t>
            </w:r>
          </w:p>
        </w:tc>
        <w:tc>
          <w:tcPr>
            <w:tcW w:w="864" w:type="dxa"/>
            <w:tcBorders>
              <w:bottom w:val="single" w:sz="4" w:space="0" w:color="auto"/>
            </w:tcBorders>
            <w:shd w:val="clear" w:color="auto" w:fill="auto"/>
            <w:tcMar>
              <w:top w:w="15" w:type="dxa"/>
              <w:left w:w="15" w:type="dxa"/>
              <w:bottom w:w="0" w:type="dxa"/>
              <w:right w:w="15" w:type="dxa"/>
            </w:tcMar>
            <w:vAlign w:val="bottom"/>
          </w:tcPr>
          <w:p w14:paraId="64A6C117"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100</w:t>
            </w:r>
          </w:p>
        </w:tc>
        <w:tc>
          <w:tcPr>
            <w:tcW w:w="864" w:type="dxa"/>
            <w:tcBorders>
              <w:bottom w:val="single" w:sz="4" w:space="0" w:color="auto"/>
            </w:tcBorders>
            <w:shd w:val="clear" w:color="auto" w:fill="auto"/>
            <w:vAlign w:val="bottom"/>
          </w:tcPr>
          <w:p w14:paraId="6C4A6E23" w14:textId="77777777" w:rsidR="005A6A65" w:rsidRPr="0094169A" w:rsidRDefault="005A6A65" w:rsidP="00561F0E">
            <w:pPr>
              <w:keepNext/>
              <w:jc w:val="center"/>
              <w:textAlignment w:val="bottom"/>
              <w:rPr>
                <w:rFonts w:eastAsia="MS Mincho"/>
                <w:color w:val="FF0000"/>
                <w:sz w:val="18"/>
                <w:szCs w:val="18"/>
                <w:lang w:eastAsia="ja-JP"/>
              </w:rPr>
            </w:pPr>
            <w:r w:rsidRPr="0094169A">
              <w:rPr>
                <w:color w:val="000000"/>
                <w:sz w:val="18"/>
                <w:szCs w:val="18"/>
              </w:rPr>
              <w:t>100</w:t>
            </w:r>
          </w:p>
        </w:tc>
        <w:tc>
          <w:tcPr>
            <w:tcW w:w="864" w:type="dxa"/>
            <w:tcBorders>
              <w:bottom w:val="single" w:sz="4" w:space="0" w:color="auto"/>
            </w:tcBorders>
            <w:shd w:val="clear" w:color="auto" w:fill="auto"/>
            <w:tcMar>
              <w:top w:w="15" w:type="dxa"/>
              <w:left w:w="15" w:type="dxa"/>
              <w:bottom w:w="0" w:type="dxa"/>
              <w:right w:w="15" w:type="dxa"/>
            </w:tcMar>
            <w:vAlign w:val="bottom"/>
          </w:tcPr>
          <w:p w14:paraId="7E702C4C"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100</w:t>
            </w:r>
          </w:p>
        </w:tc>
        <w:tc>
          <w:tcPr>
            <w:tcW w:w="864" w:type="dxa"/>
            <w:tcBorders>
              <w:bottom w:val="single" w:sz="4" w:space="0" w:color="auto"/>
            </w:tcBorders>
            <w:shd w:val="clear" w:color="auto" w:fill="auto"/>
            <w:tcMar>
              <w:top w:w="15" w:type="dxa"/>
              <w:left w:w="15" w:type="dxa"/>
              <w:bottom w:w="0" w:type="dxa"/>
              <w:right w:w="15" w:type="dxa"/>
            </w:tcMar>
            <w:vAlign w:val="bottom"/>
          </w:tcPr>
          <w:p w14:paraId="30605BEB"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100</w:t>
            </w:r>
          </w:p>
        </w:tc>
        <w:tc>
          <w:tcPr>
            <w:tcW w:w="866" w:type="dxa"/>
            <w:tcBorders>
              <w:bottom w:val="single" w:sz="4" w:space="0" w:color="auto"/>
            </w:tcBorders>
            <w:shd w:val="clear" w:color="auto" w:fill="auto"/>
            <w:vAlign w:val="bottom"/>
          </w:tcPr>
          <w:p w14:paraId="7BB30708" w14:textId="77777777" w:rsidR="005A6A65" w:rsidRPr="0094169A" w:rsidRDefault="005A6A65" w:rsidP="00561F0E">
            <w:pPr>
              <w:keepNext/>
              <w:jc w:val="center"/>
              <w:textAlignment w:val="bottom"/>
              <w:rPr>
                <w:color w:val="FF0000"/>
                <w:sz w:val="18"/>
                <w:szCs w:val="18"/>
                <w:lang w:eastAsia="en-AU"/>
              </w:rPr>
            </w:pPr>
            <w:r w:rsidRPr="0094169A">
              <w:rPr>
                <w:color w:val="000000"/>
                <w:sz w:val="18"/>
                <w:szCs w:val="18"/>
              </w:rPr>
              <w:t>100</w:t>
            </w:r>
          </w:p>
        </w:tc>
      </w:tr>
    </w:tbl>
    <w:p w14:paraId="0E1FBA2A" w14:textId="77777777" w:rsidR="00A16749" w:rsidRDefault="00A16749"/>
    <w:sectPr w:rsidR="00A16749" w:rsidSect="005E6442">
      <w:headerReference w:type="even" r:id="rId12"/>
      <w:headerReference w:type="default" r:id="rId13"/>
      <w:footerReference w:type="even" r:id="rId14"/>
      <w:footerReference w:type="default" r:id="rId15"/>
      <w:headerReference w:type="first" r:id="rId16"/>
      <w:footerReference w:type="first" r:id="rId17"/>
      <w:pgSz w:w="11900" w:h="16840"/>
      <w:pgMar w:top="1134"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3B0F" w14:textId="77777777" w:rsidR="008378D7" w:rsidRDefault="008378D7" w:rsidP="00413396">
      <w:r>
        <w:separator/>
      </w:r>
    </w:p>
  </w:endnote>
  <w:endnote w:type="continuationSeparator" w:id="0">
    <w:p w14:paraId="1886654E" w14:textId="77777777" w:rsidR="008378D7" w:rsidRDefault="008378D7" w:rsidP="0041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3B2E" w14:textId="77777777" w:rsidR="00A83004" w:rsidRDefault="00A83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B779B" w14:textId="52709FEA" w:rsidR="00413396" w:rsidRPr="00413396" w:rsidRDefault="00413396" w:rsidP="00413396">
    <w:pPr>
      <w:pStyle w:val="Footer"/>
      <w:jc w:val="center"/>
    </w:pPr>
    <w:r>
      <w:t xml:space="preserve">Page </w:t>
    </w:r>
    <w:r>
      <w:fldChar w:fldCharType="begin"/>
    </w:r>
    <w:r>
      <w:instrText xml:space="preserve"> PAGE </w:instrText>
    </w:r>
    <w:r>
      <w:fldChar w:fldCharType="separate"/>
    </w:r>
    <w:r w:rsidR="00613BF4">
      <w:rPr>
        <w:noProof/>
      </w:rPr>
      <w:t>1</w:t>
    </w:r>
    <w:r>
      <w:fldChar w:fldCharType="end"/>
    </w:r>
    <w:r>
      <w:t xml:space="preserve"> sur </w:t>
    </w:r>
    <w:fldSimple w:instr=" NUMPAGES ">
      <w:r w:rsidR="00613BF4">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32AD" w14:textId="77777777" w:rsidR="00A83004" w:rsidRDefault="00A83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DFBDC" w14:textId="77777777" w:rsidR="008378D7" w:rsidRDefault="008378D7" w:rsidP="00413396">
      <w:r>
        <w:separator/>
      </w:r>
    </w:p>
  </w:footnote>
  <w:footnote w:type="continuationSeparator" w:id="0">
    <w:p w14:paraId="6F65710C" w14:textId="77777777" w:rsidR="008378D7" w:rsidRDefault="008378D7" w:rsidP="00413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8B285" w14:textId="77777777" w:rsidR="00A83004" w:rsidRDefault="00A83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803B6" w14:textId="67AFA56F" w:rsidR="00413396" w:rsidRPr="00413396" w:rsidRDefault="00A83004" w:rsidP="00413396">
    <w:pPr>
      <w:pStyle w:val="Header"/>
      <w:tabs>
        <w:tab w:val="clear" w:pos="4536"/>
        <w:tab w:val="clear" w:pos="9072"/>
        <w:tab w:val="right" w:pos="10065"/>
      </w:tabs>
      <w:rPr>
        <w:sz w:val="32"/>
        <w:szCs w:val="32"/>
      </w:rPr>
    </w:pPr>
    <w:r>
      <w:rPr>
        <w:sz w:val="32"/>
        <w:szCs w:val="32"/>
      </w:rPr>
      <w:t>Marlin noir</w:t>
    </w:r>
    <w:r w:rsidR="00413396">
      <w:rPr>
        <w:sz w:val="32"/>
        <w:szCs w:val="32"/>
      </w:rPr>
      <w:tab/>
      <w:t>Mis à jour : décembre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D2D4" w14:textId="77777777" w:rsidR="00A83004" w:rsidRDefault="00A83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45A12"/>
    <w:multiLevelType w:val="hybridMultilevel"/>
    <w:tmpl w:val="56DCAECC"/>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7AE16FDF"/>
    <w:multiLevelType w:val="hybridMultilevel"/>
    <w:tmpl w:val="C11AA72C"/>
    <w:lvl w:ilvl="0" w:tplc="8E527012">
      <w:start w:val="1"/>
      <w:numFmt w:val="decimal"/>
      <w:pStyle w:val="IOTCReportNormalNumbered"/>
      <w:lvlText w:val="%1."/>
      <w:lvlJc w:val="left"/>
      <w:pPr>
        <w:ind w:left="502" w:hanging="502"/>
      </w:pPr>
      <w:rPr>
        <w:rFonts w:hint="default"/>
        <w:b w:val="0"/>
        <w:i w:val="0"/>
        <w:sz w:val="22"/>
        <w:szCs w:val="22"/>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65"/>
    <w:rsid w:val="00134865"/>
    <w:rsid w:val="00281A1A"/>
    <w:rsid w:val="003905D6"/>
    <w:rsid w:val="00413396"/>
    <w:rsid w:val="004251DF"/>
    <w:rsid w:val="00441F4A"/>
    <w:rsid w:val="0055739B"/>
    <w:rsid w:val="005A2C3D"/>
    <w:rsid w:val="005A6A65"/>
    <w:rsid w:val="005E6442"/>
    <w:rsid w:val="00613BF4"/>
    <w:rsid w:val="006A3B91"/>
    <w:rsid w:val="007228D2"/>
    <w:rsid w:val="007F40B6"/>
    <w:rsid w:val="008378D7"/>
    <w:rsid w:val="008E4F3B"/>
    <w:rsid w:val="00A16749"/>
    <w:rsid w:val="00A83004"/>
    <w:rsid w:val="00AE771D"/>
    <w:rsid w:val="00BB0893"/>
    <w:rsid w:val="00D32B50"/>
    <w:rsid w:val="00D4522C"/>
    <w:rsid w:val="00DC7A6A"/>
    <w:rsid w:val="00E4399D"/>
    <w:rsid w:val="00E522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7B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65"/>
    <w:pPr>
      <w:jc w:val="both"/>
    </w:pPr>
    <w:rPr>
      <w:rFonts w:ascii="Times New Roman" w:eastAsiaTheme="minorEastAsia" w:hAnsi="Times New Roman" w:cs="Times New Roman"/>
      <w:sz w:val="22"/>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A6A65"/>
    <w:pPr>
      <w:spacing w:before="200" w:after="60"/>
      <w:jc w:val="left"/>
    </w:pPr>
    <w:rPr>
      <w:bCs/>
      <w:sz w:val="20"/>
    </w:rPr>
  </w:style>
  <w:style w:type="paragraph" w:customStyle="1" w:styleId="IOTCReportNormalNumbered">
    <w:name w:val="IOTC Report Normal Numbered"/>
    <w:basedOn w:val="Normal"/>
    <w:qFormat/>
    <w:rsid w:val="005A6A65"/>
    <w:pPr>
      <w:numPr>
        <w:numId w:val="1"/>
      </w:numPr>
      <w:spacing w:before="120"/>
    </w:pPr>
    <w:rPr>
      <w:rFonts w:eastAsia="Times New Roman"/>
      <w:snapToGrid w:val="0"/>
      <w:color w:val="000000"/>
      <w:lang w:eastAsia="en-US"/>
    </w:rPr>
  </w:style>
  <w:style w:type="paragraph" w:customStyle="1" w:styleId="Annexe">
    <w:name w:val="Annexe"/>
    <w:basedOn w:val="Normal"/>
    <w:rsid w:val="005A6A65"/>
    <w:pPr>
      <w:tabs>
        <w:tab w:val="left" w:pos="567"/>
      </w:tabs>
      <w:spacing w:before="120"/>
      <w:jc w:val="center"/>
    </w:pPr>
    <w:rPr>
      <w:b/>
      <w:smallCaps/>
      <w:sz w:val="28"/>
      <w:szCs w:val="28"/>
    </w:rPr>
  </w:style>
  <w:style w:type="paragraph" w:customStyle="1" w:styleId="ResolutionsAnnex">
    <w:name w:val="Resolutions Annex"/>
    <w:qFormat/>
    <w:rsid w:val="005A6A65"/>
    <w:pPr>
      <w:jc w:val="center"/>
    </w:pPr>
    <w:rPr>
      <w:rFonts w:ascii="Times New Roman Bold" w:eastAsia="Times New Roman" w:hAnsi="Times New Roman Bold" w:cs="Times New Roman"/>
      <w:b/>
      <w:smallCaps/>
      <w:noProof/>
      <w:snapToGrid w:val="0"/>
      <w:sz w:val="26"/>
      <w:lang w:val="en-GB"/>
    </w:rPr>
  </w:style>
  <w:style w:type="paragraph" w:styleId="Header">
    <w:name w:val="header"/>
    <w:basedOn w:val="Normal"/>
    <w:link w:val="HeaderChar"/>
    <w:uiPriority w:val="99"/>
    <w:unhideWhenUsed/>
    <w:rsid w:val="00413396"/>
    <w:pPr>
      <w:tabs>
        <w:tab w:val="center" w:pos="4536"/>
        <w:tab w:val="right" w:pos="9072"/>
      </w:tabs>
    </w:pPr>
  </w:style>
  <w:style w:type="character" w:customStyle="1" w:styleId="HeaderChar">
    <w:name w:val="Header Char"/>
    <w:basedOn w:val="DefaultParagraphFont"/>
    <w:link w:val="Header"/>
    <w:uiPriority w:val="99"/>
    <w:rsid w:val="00413396"/>
    <w:rPr>
      <w:rFonts w:ascii="Times New Roman" w:eastAsiaTheme="minorEastAsia" w:hAnsi="Times New Roman" w:cs="Times New Roman"/>
      <w:sz w:val="22"/>
      <w:szCs w:val="20"/>
      <w:lang w:eastAsia="fr-FR"/>
    </w:rPr>
  </w:style>
  <w:style w:type="paragraph" w:styleId="Footer">
    <w:name w:val="footer"/>
    <w:basedOn w:val="Normal"/>
    <w:link w:val="FooterChar"/>
    <w:uiPriority w:val="99"/>
    <w:unhideWhenUsed/>
    <w:rsid w:val="00413396"/>
    <w:pPr>
      <w:tabs>
        <w:tab w:val="center" w:pos="4536"/>
        <w:tab w:val="right" w:pos="9072"/>
      </w:tabs>
    </w:pPr>
  </w:style>
  <w:style w:type="character" w:customStyle="1" w:styleId="FooterChar">
    <w:name w:val="Footer Char"/>
    <w:basedOn w:val="DefaultParagraphFont"/>
    <w:link w:val="Footer"/>
    <w:uiPriority w:val="99"/>
    <w:rsid w:val="00413396"/>
    <w:rPr>
      <w:rFonts w:ascii="Times New Roman" w:eastAsiaTheme="minorEastAsia" w:hAnsi="Times New Roman" w:cs="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otolithe</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Roux</dc:creator>
  <cp:keywords/>
  <dc:description/>
  <cp:lastModifiedBy>Kevin KJS. Sullivan</cp:lastModifiedBy>
  <cp:revision>2</cp:revision>
  <dcterms:created xsi:type="dcterms:W3CDTF">2017-11-16T12:18:00Z</dcterms:created>
  <dcterms:modified xsi:type="dcterms:W3CDTF">2017-11-16T12:18:00Z</dcterms:modified>
</cp:coreProperties>
</file>