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9B147" w14:textId="5279B515" w:rsidR="00016240" w:rsidRPr="0094169A" w:rsidRDefault="00D360BB" w:rsidP="00016240">
      <w:pPr>
        <w:pStyle w:val="Annexe"/>
      </w:pPr>
      <w:r>
        <w:t>R</w:t>
      </w:r>
      <w:r w:rsidR="00016240" w:rsidRPr="0094169A">
        <w:t xml:space="preserve">ésumé </w:t>
      </w:r>
      <w:r>
        <w:t xml:space="preserve">exécutif : </w:t>
      </w:r>
      <w:r w:rsidR="00016240" w:rsidRPr="0094169A">
        <w:t>marlin rayé</w:t>
      </w:r>
    </w:p>
    <w:p w14:paraId="4702D99E" w14:textId="77777777" w:rsidR="00016240" w:rsidRPr="0094169A" w:rsidRDefault="00016240" w:rsidP="00016240">
      <w:pPr>
        <w:jc w:val="center"/>
      </w:pPr>
      <w:r w:rsidRPr="0094169A">
        <w:rPr>
          <w:b/>
          <w:noProof/>
          <w:lang w:val="en-GB" w:eastAsia="en-GB"/>
        </w:rPr>
        <w:drawing>
          <wp:inline distT="0" distB="0" distL="0" distR="0" wp14:anchorId="7433EB1A" wp14:editId="06CF445A">
            <wp:extent cx="3600000" cy="809625"/>
            <wp:effectExtent l="0" t="0" r="0" b="0"/>
            <wp:docPr id="17477"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4169A">
        <w:rPr>
          <w:rFonts w:eastAsia="Calibri"/>
          <w:noProof/>
          <w:lang w:val="en-GB" w:eastAsia="en-GB"/>
        </w:rPr>
        <w:drawing>
          <wp:inline distT="0" distB="0" distL="0" distR="0" wp14:anchorId="587DE691" wp14:editId="71033984">
            <wp:extent cx="2238375" cy="786774"/>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962" cy="788035"/>
                    </a:xfrm>
                    <a:prstGeom prst="rect">
                      <a:avLst/>
                    </a:prstGeom>
                    <a:noFill/>
                    <a:ln>
                      <a:noFill/>
                    </a:ln>
                  </pic:spPr>
                </pic:pic>
              </a:graphicData>
            </a:graphic>
          </wp:inline>
        </w:drawing>
      </w:r>
    </w:p>
    <w:p w14:paraId="536360A8" w14:textId="77777777" w:rsidR="00016240" w:rsidRPr="0094169A" w:rsidRDefault="00016240" w:rsidP="00016240"/>
    <w:p w14:paraId="267FFA34" w14:textId="77777777" w:rsidR="00016240" w:rsidRPr="0094169A" w:rsidRDefault="00016240" w:rsidP="00016240">
      <w:pPr>
        <w:pStyle w:val="ResolutionsAnnex"/>
        <w:rPr>
          <w:rFonts w:ascii="Times New Roman" w:hAnsi="Times New Roman"/>
          <w:noProof w:val="0"/>
          <w:sz w:val="28"/>
          <w:szCs w:val="28"/>
          <w:lang w:val="fr-FR"/>
        </w:rPr>
      </w:pPr>
      <w:r w:rsidRPr="0094169A">
        <w:rPr>
          <w:rFonts w:ascii="Times New Roman" w:hAnsi="Times New Roman"/>
          <w:bCs/>
          <w:noProof w:val="0"/>
          <w:sz w:val="28"/>
          <w:szCs w:val="28"/>
          <w:lang w:val="fr-FR"/>
        </w:rPr>
        <w:t>État de la</w:t>
      </w:r>
      <w:r w:rsidRPr="0094169A">
        <w:rPr>
          <w:rFonts w:ascii="Times New Roman" w:hAnsi="Times New Roman"/>
          <w:noProof w:val="0"/>
          <w:sz w:val="28"/>
          <w:szCs w:val="28"/>
          <w:lang w:val="fr-FR"/>
        </w:rPr>
        <w:t xml:space="preserve"> ressource de marlin rayé (MLS : </w:t>
      </w:r>
      <w:r w:rsidRPr="0094169A">
        <w:rPr>
          <w:rFonts w:ascii="Times New Roman" w:hAnsi="Times New Roman"/>
          <w:bCs/>
          <w:i/>
          <w:iCs/>
          <w:smallCaps w:val="0"/>
          <w:noProof w:val="0"/>
          <w:color w:val="000000" w:themeColor="text1"/>
          <w:sz w:val="28"/>
          <w:szCs w:val="28"/>
          <w:lang w:val="fr-FR"/>
        </w:rPr>
        <w:t>Tetrapturus audax</w:t>
      </w:r>
      <w:r w:rsidRPr="0094169A">
        <w:rPr>
          <w:rFonts w:ascii="Times New Roman" w:hAnsi="Times New Roman"/>
          <w:noProof w:val="0"/>
          <w:sz w:val="28"/>
          <w:szCs w:val="28"/>
          <w:lang w:val="fr-FR"/>
        </w:rPr>
        <w:t>)</w:t>
      </w:r>
      <w:r w:rsidRPr="0094169A">
        <w:rPr>
          <w:rFonts w:ascii="Times New Roman" w:hAnsi="Times New Roman"/>
          <w:i/>
          <w:noProof w:val="0"/>
          <w:sz w:val="28"/>
          <w:szCs w:val="28"/>
          <w:lang w:val="fr-FR"/>
        </w:rPr>
        <w:t xml:space="preserve"> </w:t>
      </w:r>
      <w:r w:rsidRPr="0094169A">
        <w:rPr>
          <w:rFonts w:ascii="Times New Roman" w:hAnsi="Times New Roman"/>
          <w:noProof w:val="0"/>
          <w:sz w:val="28"/>
          <w:szCs w:val="28"/>
          <w:lang w:val="fr-FR"/>
        </w:rPr>
        <w:t>de l’océan Indien</w:t>
      </w:r>
    </w:p>
    <w:p w14:paraId="16AE6952" w14:textId="77777777" w:rsidR="00016240" w:rsidRPr="0094169A" w:rsidRDefault="00016240" w:rsidP="00016240">
      <w:pPr>
        <w:pStyle w:val="ResolutionsAnnex"/>
        <w:rPr>
          <w:rFonts w:ascii="Times New Roman" w:hAnsi="Times New Roman"/>
          <w:noProof w:val="0"/>
          <w:kern w:val="32"/>
          <w:sz w:val="28"/>
          <w:szCs w:val="28"/>
          <w:lang w:val="fr-FR"/>
        </w:rPr>
      </w:pPr>
    </w:p>
    <w:p w14:paraId="3C0B2CC1" w14:textId="77777777" w:rsidR="00016240" w:rsidRPr="0094169A" w:rsidRDefault="00016240" w:rsidP="00016240">
      <w:pPr>
        <w:pStyle w:val="ResolutionsAnnex"/>
        <w:rPr>
          <w:rFonts w:ascii="Times New Roman" w:hAnsi="Times New Roman"/>
          <w:noProof w:val="0"/>
          <w:kern w:val="32"/>
          <w:sz w:val="28"/>
          <w:szCs w:val="28"/>
          <w:lang w:val="fr-FR"/>
        </w:rPr>
      </w:pPr>
    </w:p>
    <w:p w14:paraId="13C0CA46" w14:textId="77777777" w:rsidR="00016240" w:rsidRPr="0094169A" w:rsidRDefault="00016240" w:rsidP="00016240">
      <w:pPr>
        <w:rPr>
          <w:color w:val="000000"/>
          <w:sz w:val="20"/>
        </w:rPr>
      </w:pPr>
      <w:r w:rsidRPr="0094169A">
        <w:rPr>
          <w:b/>
          <w:color w:val="000000"/>
          <w:sz w:val="20"/>
        </w:rPr>
        <w:t>Tableau 1</w:t>
      </w:r>
      <w:r w:rsidRPr="0094169A">
        <w:rPr>
          <w:color w:val="000000"/>
          <w:sz w:val="20"/>
        </w:rPr>
        <w:t>. Marlin rayé : état du marlin rayé (</w:t>
      </w:r>
      <w:r w:rsidRPr="0094169A">
        <w:rPr>
          <w:i/>
          <w:color w:val="000000"/>
          <w:sz w:val="20"/>
        </w:rPr>
        <w:t>Tetrapturus audax</w:t>
      </w:r>
      <w:r w:rsidRPr="0094169A">
        <w:rPr>
          <w:color w:val="000000"/>
          <w:sz w:val="20"/>
        </w:rPr>
        <w:t xml:space="preserve">) dans l’océan Indien. </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974"/>
        <w:gridCol w:w="2410"/>
        <w:gridCol w:w="1469"/>
      </w:tblGrid>
      <w:tr w:rsidR="00016240" w:rsidRPr="0094169A" w14:paraId="46F934EF" w14:textId="77777777" w:rsidTr="00561F0E">
        <w:trPr>
          <w:trHeight w:val="891"/>
          <w:jc w:val="center"/>
        </w:trPr>
        <w:tc>
          <w:tcPr>
            <w:tcW w:w="2370" w:type="dxa"/>
            <w:shd w:val="clear" w:color="auto" w:fill="auto"/>
            <w:vAlign w:val="center"/>
          </w:tcPr>
          <w:p w14:paraId="661C90F5" w14:textId="77777777" w:rsidR="00016240" w:rsidRPr="0094169A" w:rsidRDefault="00016240" w:rsidP="00561F0E">
            <w:pPr>
              <w:jc w:val="center"/>
              <w:rPr>
                <w:b/>
                <w:sz w:val="20"/>
                <w:lang w:eastAsia="en-US"/>
              </w:rPr>
            </w:pPr>
            <w:r w:rsidRPr="0094169A">
              <w:rPr>
                <w:b/>
                <w:sz w:val="20"/>
                <w:lang w:eastAsia="en-US"/>
              </w:rPr>
              <w:t>Zone</w:t>
            </w:r>
            <w:r w:rsidRPr="0094169A">
              <w:rPr>
                <w:b/>
                <w:sz w:val="20"/>
                <w:vertAlign w:val="superscript"/>
                <w:lang w:eastAsia="en-US"/>
              </w:rPr>
              <w:t>1</w:t>
            </w:r>
          </w:p>
        </w:tc>
        <w:tc>
          <w:tcPr>
            <w:tcW w:w="5384" w:type="dxa"/>
            <w:gridSpan w:val="2"/>
            <w:shd w:val="clear" w:color="auto" w:fill="auto"/>
            <w:vAlign w:val="center"/>
          </w:tcPr>
          <w:p w14:paraId="70F1E350" w14:textId="77777777" w:rsidR="00016240" w:rsidRPr="0094169A" w:rsidRDefault="00016240" w:rsidP="00561F0E">
            <w:pPr>
              <w:autoSpaceDE w:val="0"/>
              <w:jc w:val="center"/>
              <w:rPr>
                <w:b/>
                <w:sz w:val="20"/>
                <w:lang w:eastAsia="en-US"/>
              </w:rPr>
            </w:pPr>
            <w:r w:rsidRPr="0094169A">
              <w:rPr>
                <w:b/>
                <w:sz w:val="20"/>
                <w:lang w:eastAsia="en-US"/>
              </w:rPr>
              <w:t>Indicateurs</w:t>
            </w:r>
          </w:p>
        </w:tc>
        <w:tc>
          <w:tcPr>
            <w:tcW w:w="1469" w:type="dxa"/>
            <w:tcBorders>
              <w:bottom w:val="single" w:sz="4" w:space="0" w:color="000000"/>
            </w:tcBorders>
            <w:shd w:val="clear" w:color="auto" w:fill="auto"/>
            <w:vAlign w:val="center"/>
          </w:tcPr>
          <w:p w14:paraId="0AAA6BE0" w14:textId="77777777" w:rsidR="00016240" w:rsidRPr="0094169A" w:rsidRDefault="00016240" w:rsidP="00561F0E">
            <w:pPr>
              <w:autoSpaceDE w:val="0"/>
              <w:jc w:val="center"/>
              <w:rPr>
                <w:b/>
                <w:sz w:val="20"/>
                <w:lang w:eastAsia="en-GB"/>
              </w:rPr>
            </w:pPr>
            <w:r w:rsidRPr="0094169A">
              <w:rPr>
                <w:b/>
                <w:sz w:val="20"/>
                <w:lang w:eastAsia="en-GB"/>
              </w:rPr>
              <w:t>Détermination de l’état du stock 2017</w:t>
            </w:r>
          </w:p>
        </w:tc>
      </w:tr>
      <w:tr w:rsidR="00016240" w:rsidRPr="0094169A" w14:paraId="6DE39CCB" w14:textId="77777777" w:rsidTr="00561F0E">
        <w:trPr>
          <w:trHeight w:val="1900"/>
          <w:jc w:val="center"/>
        </w:trPr>
        <w:tc>
          <w:tcPr>
            <w:tcW w:w="2370" w:type="dxa"/>
            <w:shd w:val="clear" w:color="auto" w:fill="auto"/>
            <w:vAlign w:val="center"/>
          </w:tcPr>
          <w:p w14:paraId="61709661" w14:textId="77777777" w:rsidR="00016240" w:rsidRPr="0094169A" w:rsidRDefault="00016240" w:rsidP="00561F0E">
            <w:pPr>
              <w:jc w:val="center"/>
              <w:rPr>
                <w:sz w:val="20"/>
                <w:lang w:eastAsia="en-US"/>
              </w:rPr>
            </w:pPr>
            <w:r w:rsidRPr="0094169A">
              <w:rPr>
                <w:sz w:val="20"/>
                <w:lang w:eastAsia="en-US"/>
              </w:rPr>
              <w:t>océan Indien</w:t>
            </w:r>
          </w:p>
        </w:tc>
        <w:tc>
          <w:tcPr>
            <w:tcW w:w="2974" w:type="dxa"/>
            <w:shd w:val="clear" w:color="auto" w:fill="auto"/>
          </w:tcPr>
          <w:p w14:paraId="3745F41C" w14:textId="6A739A6C" w:rsidR="00016240" w:rsidRPr="0094169A" w:rsidRDefault="00016240" w:rsidP="00561F0E">
            <w:pPr>
              <w:tabs>
                <w:tab w:val="right" w:pos="932"/>
                <w:tab w:val="left" w:pos="1168"/>
              </w:tabs>
              <w:spacing w:before="60"/>
              <w:jc w:val="right"/>
              <w:rPr>
                <w:color w:val="000000"/>
                <w:sz w:val="20"/>
                <w:lang w:eastAsia="en-GB"/>
              </w:rPr>
            </w:pPr>
            <w:r w:rsidRPr="0094169A">
              <w:rPr>
                <w:color w:val="000000"/>
                <w:sz w:val="20"/>
                <w:lang w:eastAsia="en-GB"/>
              </w:rPr>
              <w:t>Captures 201</w:t>
            </w:r>
            <w:r w:rsidR="00D466EC">
              <w:rPr>
                <w:color w:val="000000"/>
                <w:sz w:val="20"/>
                <w:lang w:eastAsia="en-GB"/>
              </w:rPr>
              <w:t>6</w:t>
            </w:r>
            <w:r w:rsidRPr="0094169A">
              <w:rPr>
                <w:color w:val="000000"/>
                <w:sz w:val="20"/>
                <w:vertAlign w:val="superscript"/>
                <w:lang w:eastAsia="en-GB"/>
              </w:rPr>
              <w:t>2</w:t>
            </w:r>
            <w:r w:rsidRPr="0094169A">
              <w:rPr>
                <w:color w:val="000000"/>
                <w:sz w:val="20"/>
                <w:lang w:eastAsia="en-GB"/>
              </w:rPr>
              <w:t> :</w:t>
            </w:r>
          </w:p>
          <w:p w14:paraId="11B2AD18" w14:textId="7A6978D4" w:rsidR="00016240" w:rsidRPr="0094169A" w:rsidRDefault="00D466EC" w:rsidP="00561F0E">
            <w:pPr>
              <w:tabs>
                <w:tab w:val="right" w:pos="932"/>
                <w:tab w:val="left" w:pos="1168"/>
              </w:tabs>
              <w:jc w:val="right"/>
              <w:rPr>
                <w:color w:val="000000"/>
                <w:sz w:val="20"/>
                <w:lang w:eastAsia="en-US"/>
              </w:rPr>
            </w:pPr>
            <w:r>
              <w:rPr>
                <w:color w:val="000000"/>
                <w:sz w:val="20"/>
                <w:lang w:eastAsia="en-GB"/>
              </w:rPr>
              <w:t>Captures moyennes 2012–2016</w:t>
            </w:r>
            <w:r w:rsidR="00016240" w:rsidRPr="0094169A">
              <w:rPr>
                <w:color w:val="000000"/>
                <w:sz w:val="20"/>
                <w:lang w:eastAsia="en-GB"/>
              </w:rPr>
              <w:t> :</w:t>
            </w:r>
          </w:p>
          <w:p w14:paraId="0EA719CF" w14:textId="2317B26B" w:rsidR="00016240" w:rsidRPr="0094169A" w:rsidRDefault="00D466EC" w:rsidP="00561F0E">
            <w:pPr>
              <w:tabs>
                <w:tab w:val="right" w:pos="932"/>
                <w:tab w:val="left" w:pos="1168"/>
              </w:tabs>
              <w:jc w:val="right"/>
              <w:rPr>
                <w:color w:val="000000" w:themeColor="text1"/>
                <w:sz w:val="20"/>
                <w:lang w:eastAsia="en-GB"/>
              </w:rPr>
            </w:pPr>
            <w:r>
              <w:rPr>
                <w:color w:val="000000" w:themeColor="text1"/>
                <w:sz w:val="20"/>
                <w:lang w:eastAsia="en-GB"/>
              </w:rPr>
              <w:t>PME (1 </w:t>
            </w:r>
            <w:r w:rsidR="00016240" w:rsidRPr="0094169A">
              <w:rPr>
                <w:color w:val="000000" w:themeColor="text1"/>
                <w:sz w:val="20"/>
                <w:lang w:eastAsia="en-GB"/>
              </w:rPr>
              <w:t>000 t) (IC 80%) :</w:t>
            </w:r>
          </w:p>
          <w:p w14:paraId="3B95D47E" w14:textId="77777777" w:rsidR="00016240" w:rsidRPr="0094169A" w:rsidRDefault="00016240" w:rsidP="00561F0E">
            <w:pPr>
              <w:tabs>
                <w:tab w:val="right" w:pos="932"/>
                <w:tab w:val="left" w:pos="1168"/>
              </w:tabs>
              <w:jc w:val="right"/>
              <w:rPr>
                <w:color w:val="000000" w:themeColor="text1"/>
                <w:sz w:val="20"/>
                <w:lang w:eastAsia="en-GB"/>
              </w:rPr>
            </w:pPr>
            <w:r w:rsidRPr="0094169A">
              <w:rPr>
                <w:color w:val="000000" w:themeColor="text1"/>
                <w:sz w:val="20"/>
                <w:lang w:eastAsia="en-GB"/>
              </w:rPr>
              <w:t>F</w:t>
            </w:r>
            <w:r w:rsidRPr="0094169A">
              <w:rPr>
                <w:color w:val="000000" w:themeColor="text1"/>
                <w:sz w:val="20"/>
                <w:vertAlign w:val="subscript"/>
                <w:lang w:eastAsia="en-GB"/>
              </w:rPr>
              <w:t>PME</w:t>
            </w:r>
            <w:r w:rsidRPr="0094169A">
              <w:rPr>
                <w:color w:val="000000" w:themeColor="text1"/>
                <w:sz w:val="20"/>
                <w:lang w:eastAsia="en-GB"/>
              </w:rPr>
              <w:t xml:space="preserve"> (IC 80%) :</w:t>
            </w:r>
          </w:p>
          <w:p w14:paraId="7E05CBBF" w14:textId="1628EB75" w:rsidR="00016240" w:rsidRPr="0094169A" w:rsidRDefault="00016240" w:rsidP="00561F0E">
            <w:pPr>
              <w:tabs>
                <w:tab w:val="right" w:pos="932"/>
                <w:tab w:val="left" w:pos="1168"/>
              </w:tabs>
              <w:jc w:val="right"/>
              <w:rPr>
                <w:color w:val="000000" w:themeColor="text1"/>
                <w:sz w:val="20"/>
                <w:lang w:eastAsia="en-GB"/>
              </w:rPr>
            </w:pPr>
            <w:r w:rsidRPr="0094169A">
              <w:rPr>
                <w:color w:val="000000" w:themeColor="text1"/>
                <w:sz w:val="20"/>
                <w:lang w:eastAsia="en-GB"/>
              </w:rPr>
              <w:t>B</w:t>
            </w:r>
            <w:r w:rsidRPr="0094169A">
              <w:rPr>
                <w:color w:val="000000" w:themeColor="text1"/>
                <w:sz w:val="20"/>
                <w:vertAlign w:val="subscript"/>
                <w:lang w:eastAsia="en-GB"/>
              </w:rPr>
              <w:t>PME</w:t>
            </w:r>
            <w:r w:rsidR="00D466EC">
              <w:rPr>
                <w:color w:val="000000" w:themeColor="text1"/>
                <w:sz w:val="20"/>
                <w:lang w:eastAsia="en-GB"/>
              </w:rPr>
              <w:t xml:space="preserve"> (1 </w:t>
            </w:r>
            <w:r w:rsidRPr="0094169A">
              <w:rPr>
                <w:color w:val="000000" w:themeColor="text1"/>
                <w:sz w:val="20"/>
                <w:lang w:eastAsia="en-GB"/>
              </w:rPr>
              <w:t>000 t) (IC 80%) :</w:t>
            </w:r>
          </w:p>
          <w:p w14:paraId="3F6666C2" w14:textId="77777777" w:rsidR="00016240" w:rsidRPr="0094169A" w:rsidRDefault="00016240" w:rsidP="00561F0E">
            <w:pPr>
              <w:tabs>
                <w:tab w:val="right" w:pos="932"/>
                <w:tab w:val="left" w:pos="1168"/>
              </w:tabs>
              <w:jc w:val="right"/>
              <w:rPr>
                <w:color w:val="000000" w:themeColor="text1"/>
                <w:sz w:val="20"/>
                <w:lang w:eastAsia="en-GB"/>
              </w:rPr>
            </w:pPr>
            <w:r w:rsidRPr="0094169A">
              <w:rPr>
                <w:color w:val="000000" w:themeColor="text1"/>
                <w:sz w:val="20"/>
                <w:lang w:eastAsia="en-GB"/>
              </w:rPr>
              <w:t>F</w:t>
            </w:r>
            <w:r w:rsidRPr="0094169A">
              <w:rPr>
                <w:color w:val="000000" w:themeColor="text1"/>
                <w:sz w:val="20"/>
                <w:vertAlign w:val="subscript"/>
                <w:lang w:eastAsia="en-GB"/>
              </w:rPr>
              <w:t>2015/</w:t>
            </w:r>
            <w:r w:rsidRPr="0094169A">
              <w:rPr>
                <w:color w:val="000000" w:themeColor="text1"/>
                <w:sz w:val="20"/>
                <w:lang w:eastAsia="en-GB"/>
              </w:rPr>
              <w:t>F</w:t>
            </w:r>
            <w:r w:rsidRPr="0094169A">
              <w:rPr>
                <w:color w:val="000000" w:themeColor="text1"/>
                <w:sz w:val="20"/>
                <w:vertAlign w:val="subscript"/>
                <w:lang w:eastAsia="en-GB"/>
              </w:rPr>
              <w:t xml:space="preserve">PME </w:t>
            </w:r>
            <w:r w:rsidRPr="0094169A">
              <w:rPr>
                <w:color w:val="000000" w:themeColor="text1"/>
                <w:sz w:val="20"/>
                <w:lang w:eastAsia="en-GB"/>
              </w:rPr>
              <w:t>(IC 80%) :</w:t>
            </w:r>
          </w:p>
          <w:p w14:paraId="5680EA6E" w14:textId="77777777" w:rsidR="00016240" w:rsidRPr="0094169A" w:rsidRDefault="00016240" w:rsidP="00561F0E">
            <w:pPr>
              <w:tabs>
                <w:tab w:val="right" w:pos="932"/>
                <w:tab w:val="left" w:pos="1168"/>
              </w:tabs>
              <w:jc w:val="right"/>
              <w:rPr>
                <w:color w:val="000000" w:themeColor="text1"/>
                <w:sz w:val="20"/>
                <w:lang w:eastAsia="en-GB"/>
              </w:rPr>
            </w:pPr>
            <w:r w:rsidRPr="0094169A">
              <w:rPr>
                <w:color w:val="000000" w:themeColor="text1"/>
                <w:sz w:val="20"/>
                <w:lang w:eastAsia="en-GB"/>
              </w:rPr>
              <w:t>B</w:t>
            </w:r>
            <w:r w:rsidRPr="0094169A">
              <w:rPr>
                <w:color w:val="000000" w:themeColor="text1"/>
                <w:sz w:val="20"/>
                <w:vertAlign w:val="subscript"/>
                <w:lang w:eastAsia="en-GB"/>
              </w:rPr>
              <w:t>2015/</w:t>
            </w:r>
            <w:r w:rsidRPr="0094169A">
              <w:rPr>
                <w:color w:val="000000" w:themeColor="text1"/>
                <w:sz w:val="20"/>
                <w:lang w:eastAsia="en-GB"/>
              </w:rPr>
              <w:t>B</w:t>
            </w:r>
            <w:r w:rsidRPr="0094169A">
              <w:rPr>
                <w:color w:val="000000" w:themeColor="text1"/>
                <w:sz w:val="20"/>
                <w:vertAlign w:val="subscript"/>
                <w:lang w:eastAsia="en-GB"/>
              </w:rPr>
              <w:t xml:space="preserve">PME </w:t>
            </w:r>
            <w:r w:rsidRPr="0094169A">
              <w:rPr>
                <w:color w:val="000000" w:themeColor="text1"/>
                <w:sz w:val="20"/>
                <w:lang w:eastAsia="en-GB"/>
              </w:rPr>
              <w:t>(IC 80%) :</w:t>
            </w:r>
          </w:p>
          <w:p w14:paraId="2AAE6284" w14:textId="77777777" w:rsidR="00016240" w:rsidRPr="0094169A" w:rsidRDefault="00016240" w:rsidP="00561F0E">
            <w:pPr>
              <w:tabs>
                <w:tab w:val="right" w:pos="932"/>
                <w:tab w:val="left" w:pos="1168"/>
              </w:tabs>
              <w:jc w:val="right"/>
              <w:rPr>
                <w:color w:val="000000"/>
                <w:sz w:val="20"/>
                <w:lang w:eastAsia="en-US"/>
              </w:rPr>
            </w:pPr>
            <w:r w:rsidRPr="0094169A">
              <w:rPr>
                <w:color w:val="000000" w:themeColor="text1"/>
                <w:sz w:val="20"/>
                <w:lang w:eastAsia="en-GB"/>
              </w:rPr>
              <w:t>B</w:t>
            </w:r>
            <w:r w:rsidRPr="0094169A">
              <w:rPr>
                <w:color w:val="000000" w:themeColor="text1"/>
                <w:sz w:val="20"/>
                <w:vertAlign w:val="subscript"/>
                <w:lang w:eastAsia="en-GB"/>
              </w:rPr>
              <w:t>2015</w:t>
            </w:r>
            <w:r w:rsidRPr="0094169A">
              <w:rPr>
                <w:color w:val="000000" w:themeColor="text1"/>
                <w:sz w:val="20"/>
                <w:lang w:eastAsia="en-GB"/>
              </w:rPr>
              <w:t>/B</w:t>
            </w:r>
            <w:r w:rsidRPr="0094169A">
              <w:rPr>
                <w:color w:val="000000" w:themeColor="text1"/>
                <w:sz w:val="20"/>
                <w:vertAlign w:val="subscript"/>
                <w:lang w:eastAsia="en-GB"/>
              </w:rPr>
              <w:t xml:space="preserve">1950 </w:t>
            </w:r>
            <w:r w:rsidRPr="0094169A">
              <w:rPr>
                <w:color w:val="000000" w:themeColor="text1"/>
                <w:sz w:val="20"/>
                <w:lang w:eastAsia="en-GB"/>
              </w:rPr>
              <w:t>(IC 80%)</w:t>
            </w:r>
          </w:p>
        </w:tc>
        <w:tc>
          <w:tcPr>
            <w:tcW w:w="2410" w:type="dxa"/>
            <w:shd w:val="clear" w:color="auto" w:fill="auto"/>
            <w:vAlign w:val="center"/>
          </w:tcPr>
          <w:p w14:paraId="7F0632A6" w14:textId="6646D60C" w:rsidR="00016240" w:rsidRPr="0094169A" w:rsidRDefault="00D466EC" w:rsidP="00561F0E">
            <w:pPr>
              <w:rPr>
                <w:sz w:val="20"/>
              </w:rPr>
            </w:pPr>
            <w:r>
              <w:rPr>
                <w:sz w:val="20"/>
              </w:rPr>
              <w:t>5 299</w:t>
            </w:r>
            <w:r w:rsidR="00016240" w:rsidRPr="0094169A">
              <w:rPr>
                <w:sz w:val="20"/>
              </w:rPr>
              <w:t xml:space="preserve"> t</w:t>
            </w:r>
          </w:p>
          <w:p w14:paraId="2BD1FC32" w14:textId="62220D9E" w:rsidR="00016240" w:rsidRPr="0094169A" w:rsidRDefault="00D466EC" w:rsidP="00561F0E">
            <w:pPr>
              <w:rPr>
                <w:sz w:val="20"/>
                <w:lang w:eastAsia="en-US"/>
              </w:rPr>
            </w:pPr>
            <w:r>
              <w:rPr>
                <w:sz w:val="20"/>
              </w:rPr>
              <w:t>4 854</w:t>
            </w:r>
            <w:r w:rsidR="00016240" w:rsidRPr="0094169A">
              <w:rPr>
                <w:sz w:val="20"/>
              </w:rPr>
              <w:t xml:space="preserve"> t</w:t>
            </w:r>
          </w:p>
          <w:p w14:paraId="31C4E79A" w14:textId="77777777" w:rsidR="00016240" w:rsidRPr="0094169A" w:rsidRDefault="00016240" w:rsidP="00561F0E">
            <w:pPr>
              <w:rPr>
                <w:kern w:val="24"/>
                <w:sz w:val="20"/>
              </w:rPr>
            </w:pPr>
            <w:r w:rsidRPr="0094169A">
              <w:rPr>
                <w:kern w:val="24"/>
                <w:sz w:val="20"/>
              </w:rPr>
              <w:t xml:space="preserve">(3,27–5,40) </w:t>
            </w:r>
          </w:p>
          <w:p w14:paraId="69F5C5D3" w14:textId="40C2A330" w:rsidR="00016240" w:rsidRPr="0094169A" w:rsidRDefault="00D466EC" w:rsidP="00561F0E">
            <w:pPr>
              <w:rPr>
                <w:kern w:val="24"/>
                <w:sz w:val="20"/>
              </w:rPr>
            </w:pPr>
            <w:r>
              <w:rPr>
                <w:kern w:val="24"/>
                <w:sz w:val="20"/>
              </w:rPr>
              <w:t>(0,59</w:t>
            </w:r>
            <w:r w:rsidR="00016240" w:rsidRPr="0094169A">
              <w:rPr>
                <w:kern w:val="24"/>
                <w:sz w:val="20"/>
              </w:rPr>
              <w:t>–</w:t>
            </w:r>
            <w:r>
              <w:rPr>
                <w:kern w:val="24"/>
                <w:sz w:val="20"/>
              </w:rPr>
              <w:t>1,04</w:t>
            </w:r>
            <w:r w:rsidR="00016240" w:rsidRPr="0094169A">
              <w:rPr>
                <w:kern w:val="24"/>
                <w:sz w:val="20"/>
              </w:rPr>
              <w:t xml:space="preserve">) </w:t>
            </w:r>
          </w:p>
          <w:p w14:paraId="14B3296A" w14:textId="6A92AAB5" w:rsidR="00016240" w:rsidRPr="0094169A" w:rsidRDefault="00D466EC" w:rsidP="00561F0E">
            <w:pPr>
              <w:rPr>
                <w:kern w:val="24"/>
                <w:sz w:val="20"/>
              </w:rPr>
            </w:pPr>
            <w:r>
              <w:rPr>
                <w:kern w:val="24"/>
                <w:sz w:val="20"/>
              </w:rPr>
              <w:t>(5,40</w:t>
            </w:r>
            <w:r w:rsidR="00016240" w:rsidRPr="0094169A">
              <w:rPr>
                <w:kern w:val="24"/>
                <w:sz w:val="20"/>
              </w:rPr>
              <w:t>–</w:t>
            </w:r>
            <w:r>
              <w:rPr>
                <w:kern w:val="24"/>
                <w:sz w:val="20"/>
              </w:rPr>
              <w:t>8,90</w:t>
            </w:r>
            <w:r w:rsidR="00016240" w:rsidRPr="0094169A">
              <w:rPr>
                <w:kern w:val="24"/>
                <w:sz w:val="20"/>
              </w:rPr>
              <w:t xml:space="preserve">) </w:t>
            </w:r>
          </w:p>
          <w:p w14:paraId="3848815A" w14:textId="77777777" w:rsidR="00016240" w:rsidRPr="0094169A" w:rsidRDefault="00016240" w:rsidP="00561F0E">
            <w:pPr>
              <w:rPr>
                <w:kern w:val="24"/>
                <w:sz w:val="20"/>
              </w:rPr>
            </w:pPr>
            <w:r w:rsidRPr="0094169A">
              <w:rPr>
                <w:kern w:val="24"/>
                <w:sz w:val="20"/>
              </w:rPr>
              <w:t xml:space="preserve">(1,32–3,04) </w:t>
            </w:r>
          </w:p>
          <w:p w14:paraId="50973C3A" w14:textId="77777777" w:rsidR="00016240" w:rsidRPr="0094169A" w:rsidRDefault="00016240" w:rsidP="00561F0E">
            <w:pPr>
              <w:rPr>
                <w:kern w:val="24"/>
                <w:sz w:val="20"/>
              </w:rPr>
            </w:pPr>
            <w:r w:rsidRPr="0094169A">
              <w:rPr>
                <w:kern w:val="24"/>
                <w:sz w:val="20"/>
              </w:rPr>
              <w:t xml:space="preserve">(0,24–0,62) </w:t>
            </w:r>
          </w:p>
          <w:p w14:paraId="54EE5170" w14:textId="658D8B06" w:rsidR="00016240" w:rsidRPr="0094169A" w:rsidRDefault="00016240" w:rsidP="0027648D">
            <w:pPr>
              <w:rPr>
                <w:sz w:val="20"/>
                <w:lang w:eastAsia="en-US"/>
              </w:rPr>
            </w:pPr>
            <w:r w:rsidRPr="0094169A">
              <w:rPr>
                <w:kern w:val="24"/>
                <w:sz w:val="20"/>
              </w:rPr>
              <w:t>(</w:t>
            </w:r>
            <w:r w:rsidR="0027648D">
              <w:rPr>
                <w:kern w:val="24"/>
                <w:sz w:val="20"/>
              </w:rPr>
              <w:t>0,063</w:t>
            </w:r>
            <w:r w:rsidR="0027648D" w:rsidRPr="0094169A">
              <w:rPr>
                <w:kern w:val="24"/>
                <w:sz w:val="20"/>
              </w:rPr>
              <w:t>–0,</w:t>
            </w:r>
            <w:r w:rsidR="0027648D">
              <w:rPr>
                <w:kern w:val="24"/>
                <w:sz w:val="20"/>
              </w:rPr>
              <w:t>3</w:t>
            </w:r>
            <w:bookmarkStart w:id="0" w:name="_GoBack"/>
            <w:bookmarkEnd w:id="0"/>
            <w:r w:rsidR="0027648D">
              <w:rPr>
                <w:kern w:val="24"/>
                <w:sz w:val="20"/>
              </w:rPr>
              <w:t>2</w:t>
            </w:r>
            <w:r w:rsidRPr="0094169A">
              <w:rPr>
                <w:kern w:val="24"/>
                <w:sz w:val="20"/>
              </w:rPr>
              <w:t>)</w:t>
            </w:r>
          </w:p>
        </w:tc>
        <w:tc>
          <w:tcPr>
            <w:tcW w:w="1469" w:type="dxa"/>
            <w:shd w:val="clear" w:color="auto" w:fill="FF0000"/>
            <w:vAlign w:val="center"/>
          </w:tcPr>
          <w:p w14:paraId="55B723C2" w14:textId="36F45218" w:rsidR="00016240" w:rsidRPr="0094169A" w:rsidRDefault="00016240" w:rsidP="00561F0E">
            <w:pPr>
              <w:keepNext/>
              <w:keepLines/>
              <w:widowControl w:val="0"/>
              <w:jc w:val="center"/>
              <w:outlineLvl w:val="0"/>
              <w:rPr>
                <w:b/>
                <w:bCs/>
                <w:smallCaps/>
                <w:kern w:val="32"/>
                <w:sz w:val="20"/>
              </w:rPr>
            </w:pPr>
          </w:p>
        </w:tc>
      </w:tr>
    </w:tbl>
    <w:p w14:paraId="50031759" w14:textId="77777777" w:rsidR="00016240" w:rsidRPr="0094169A" w:rsidRDefault="00016240" w:rsidP="00016240">
      <w:pPr>
        <w:keepNext/>
        <w:keepLines/>
        <w:widowControl w:val="0"/>
        <w:ind w:firstLine="720"/>
        <w:outlineLvl w:val="0"/>
        <w:rPr>
          <w:color w:val="000000"/>
          <w:sz w:val="18"/>
          <w:szCs w:val="18"/>
        </w:rPr>
      </w:pPr>
      <w:r w:rsidRPr="0094169A">
        <w:rPr>
          <w:color w:val="000000"/>
          <w:sz w:val="18"/>
          <w:szCs w:val="18"/>
          <w:vertAlign w:val="superscript"/>
        </w:rPr>
        <w:t>1</w:t>
      </w:r>
      <w:r w:rsidRPr="0094169A">
        <w:rPr>
          <w:color w:val="000000"/>
          <w:sz w:val="18"/>
          <w:szCs w:val="18"/>
        </w:rPr>
        <w:t>Limites pour l’océan Indien = zone de compétence de la CTOI.</w:t>
      </w:r>
    </w:p>
    <w:p w14:paraId="21A39810" w14:textId="2240E051" w:rsidR="00016240" w:rsidRPr="0094169A" w:rsidRDefault="00016240" w:rsidP="00016240">
      <w:pPr>
        <w:keepNext/>
        <w:keepLines/>
        <w:widowControl w:val="0"/>
        <w:ind w:firstLine="720"/>
        <w:outlineLvl w:val="0"/>
        <w:rPr>
          <w:color w:val="000000"/>
          <w:sz w:val="18"/>
          <w:szCs w:val="18"/>
        </w:rPr>
      </w:pPr>
      <w:r w:rsidRPr="0094169A">
        <w:rPr>
          <w:color w:val="000000"/>
          <w:sz w:val="18"/>
          <w:szCs w:val="18"/>
          <w:vertAlign w:val="superscript"/>
        </w:rPr>
        <w:t>2</w:t>
      </w:r>
      <w:r w:rsidRPr="0094169A">
        <w:rPr>
          <w:color w:val="000000"/>
          <w:sz w:val="18"/>
          <w:szCs w:val="18"/>
        </w:rPr>
        <w:t>Proportion des captures estimées ou partiellement estimées par le Secrétariat de la CTOI en 201</w:t>
      </w:r>
      <w:r w:rsidR="000669E9">
        <w:rPr>
          <w:color w:val="000000"/>
          <w:sz w:val="18"/>
          <w:szCs w:val="18"/>
        </w:rPr>
        <w:t>6 : 41</w:t>
      </w:r>
      <w:r w:rsidRPr="0094169A">
        <w:rPr>
          <w:color w:val="000000"/>
          <w:sz w:val="18"/>
          <w:szCs w:val="18"/>
        </w:rPr>
        <w:t>%</w:t>
      </w:r>
    </w:p>
    <w:p w14:paraId="1C0D526A" w14:textId="77777777" w:rsidR="00016240" w:rsidRPr="0094169A" w:rsidRDefault="00016240" w:rsidP="00016240">
      <w:pPr>
        <w:keepNext/>
        <w:keepLines/>
        <w:widowControl w:val="0"/>
        <w:ind w:firstLine="720"/>
        <w:outlineLvl w:val="0"/>
        <w:rPr>
          <w:b/>
          <w:bCs/>
          <w:smallCaps/>
          <w:kern w:val="32"/>
          <w:sz w:val="2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86"/>
        <w:gridCol w:w="2977"/>
        <w:gridCol w:w="3169"/>
      </w:tblGrid>
      <w:tr w:rsidR="00016240" w:rsidRPr="0094169A" w14:paraId="049510A7" w14:textId="77777777" w:rsidTr="00561F0E">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61F739D" w14:textId="77777777" w:rsidR="00016240" w:rsidRPr="0094169A" w:rsidRDefault="00016240" w:rsidP="00561F0E">
            <w:pPr>
              <w:keepNext/>
              <w:keepLines/>
              <w:jc w:val="center"/>
              <w:rPr>
                <w:b/>
                <w:sz w:val="18"/>
                <w:szCs w:val="18"/>
                <w:lang w:eastAsia="en-GB"/>
              </w:rPr>
            </w:pPr>
            <w:r w:rsidRPr="0094169A">
              <w:rPr>
                <w:b/>
                <w:sz w:val="18"/>
                <w:szCs w:val="18"/>
                <w:lang w:eastAsia="en-GB"/>
              </w:rPr>
              <w:t>Légende du code couleur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A33656" w14:textId="77777777" w:rsidR="00016240" w:rsidRPr="0094169A" w:rsidRDefault="00016240" w:rsidP="00561F0E">
            <w:pPr>
              <w:keepNext/>
              <w:keepLines/>
              <w:jc w:val="center"/>
              <w:rPr>
                <w:sz w:val="18"/>
                <w:szCs w:val="18"/>
                <w:lang w:eastAsia="en-GB"/>
              </w:rPr>
            </w:pPr>
            <w:r w:rsidRPr="0094169A">
              <w:rPr>
                <w:sz w:val="18"/>
                <w:szCs w:val="18"/>
                <w:lang w:eastAsia="en-GB"/>
              </w:rPr>
              <w:t>Stock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&lt; 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tcPr>
          <w:p w14:paraId="73685516" w14:textId="77777777" w:rsidR="00016240" w:rsidRPr="0094169A" w:rsidRDefault="00016240" w:rsidP="00561F0E">
            <w:pPr>
              <w:keepNext/>
              <w:keepLines/>
              <w:jc w:val="center"/>
              <w:rPr>
                <w:sz w:val="18"/>
                <w:szCs w:val="18"/>
                <w:lang w:eastAsia="en-GB"/>
              </w:rPr>
            </w:pPr>
            <w:r w:rsidRPr="0094169A">
              <w:rPr>
                <w:sz w:val="18"/>
                <w:szCs w:val="18"/>
                <w:lang w:eastAsia="en-GB"/>
              </w:rPr>
              <w:t>Stock non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≥1)</w:t>
            </w:r>
          </w:p>
        </w:tc>
      </w:tr>
      <w:tr w:rsidR="00016240" w:rsidRPr="0094169A" w14:paraId="7BC56B55" w14:textId="77777777" w:rsidTr="00561F0E">
        <w:trPr>
          <w:trHeight w:val="224"/>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5AC7A42" w14:textId="77777777" w:rsidR="00016240" w:rsidRPr="0094169A" w:rsidRDefault="00016240" w:rsidP="00561F0E">
            <w:pPr>
              <w:keepNext/>
              <w:keepLines/>
              <w:jc w:val="center"/>
              <w:rPr>
                <w:sz w:val="18"/>
                <w:szCs w:val="18"/>
                <w:lang w:eastAsia="en-GB"/>
              </w:rPr>
            </w:pPr>
            <w:r w:rsidRPr="0094169A">
              <w:rPr>
                <w:sz w:val="18"/>
                <w:szCs w:val="18"/>
                <w:lang w:eastAsia="en-GB"/>
              </w:rPr>
              <w:t>Stock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&gt;1)</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tcPr>
          <w:p w14:paraId="24DB1A88" w14:textId="77777777" w:rsidR="00016240" w:rsidRPr="0094169A" w:rsidRDefault="00016240" w:rsidP="00561F0E">
            <w:pPr>
              <w:keepNext/>
              <w:keepLines/>
              <w:jc w:val="center"/>
              <w:rPr>
                <w:sz w:val="18"/>
                <w:szCs w:val="18"/>
                <w:lang w:eastAsia="en-GB"/>
              </w:rPr>
            </w:pPr>
          </w:p>
        </w:tc>
        <w:tc>
          <w:tcPr>
            <w:tcW w:w="3169" w:type="dxa"/>
            <w:tcBorders>
              <w:top w:val="single" w:sz="4" w:space="0" w:color="auto"/>
              <w:left w:val="single" w:sz="4" w:space="0" w:color="auto"/>
              <w:bottom w:val="single" w:sz="4" w:space="0" w:color="auto"/>
              <w:right w:val="single" w:sz="4" w:space="0" w:color="auto"/>
            </w:tcBorders>
            <w:shd w:val="clear" w:color="auto" w:fill="FF9900"/>
            <w:vAlign w:val="center"/>
          </w:tcPr>
          <w:p w14:paraId="0495A41C" w14:textId="77777777" w:rsidR="00016240" w:rsidRPr="0094169A" w:rsidRDefault="00016240" w:rsidP="00561F0E">
            <w:pPr>
              <w:keepNext/>
              <w:keepLines/>
              <w:jc w:val="center"/>
              <w:rPr>
                <w:sz w:val="18"/>
                <w:szCs w:val="18"/>
                <w:lang w:eastAsia="en-GB"/>
              </w:rPr>
            </w:pPr>
          </w:p>
        </w:tc>
      </w:tr>
      <w:tr w:rsidR="00016240" w:rsidRPr="0094169A" w14:paraId="348423A3"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FB39FAD" w14:textId="77777777" w:rsidR="00016240" w:rsidRPr="0094169A" w:rsidRDefault="00016240" w:rsidP="00561F0E">
            <w:pPr>
              <w:keepNext/>
              <w:keepLines/>
              <w:jc w:val="center"/>
              <w:rPr>
                <w:sz w:val="18"/>
                <w:szCs w:val="18"/>
                <w:lang w:eastAsia="en-GB"/>
              </w:rPr>
            </w:pPr>
            <w:r w:rsidRPr="0094169A">
              <w:rPr>
                <w:sz w:val="18"/>
                <w:szCs w:val="18"/>
                <w:lang w:eastAsia="en-GB"/>
              </w:rPr>
              <w:t>Stock non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14:paraId="09019D2C" w14:textId="77777777" w:rsidR="00016240" w:rsidRPr="0094169A" w:rsidRDefault="00016240" w:rsidP="00561F0E">
            <w:pPr>
              <w:keepNext/>
              <w:keepLines/>
              <w:jc w:val="center"/>
              <w:rPr>
                <w:sz w:val="18"/>
                <w:szCs w:val="18"/>
                <w:lang w:eastAsia="en-GB"/>
              </w:rPr>
            </w:pPr>
          </w:p>
        </w:tc>
        <w:tc>
          <w:tcPr>
            <w:tcW w:w="3169" w:type="dxa"/>
            <w:tcBorders>
              <w:top w:val="single" w:sz="4" w:space="0" w:color="auto"/>
              <w:left w:val="single" w:sz="4" w:space="0" w:color="auto"/>
              <w:bottom w:val="single" w:sz="4" w:space="0" w:color="auto"/>
              <w:right w:val="single" w:sz="4" w:space="0" w:color="auto"/>
            </w:tcBorders>
            <w:shd w:val="clear" w:color="auto" w:fill="92D050"/>
            <w:vAlign w:val="center"/>
          </w:tcPr>
          <w:p w14:paraId="1DF754FD" w14:textId="77777777" w:rsidR="00016240" w:rsidRPr="0094169A" w:rsidRDefault="00016240" w:rsidP="00561F0E">
            <w:pPr>
              <w:keepNext/>
              <w:keepLines/>
              <w:jc w:val="center"/>
              <w:rPr>
                <w:sz w:val="18"/>
                <w:szCs w:val="18"/>
                <w:lang w:eastAsia="en-GB"/>
              </w:rPr>
            </w:pPr>
          </w:p>
        </w:tc>
      </w:tr>
      <w:tr w:rsidR="00016240" w:rsidRPr="0094169A" w14:paraId="2261A09E"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C57E0C2" w14:textId="77777777" w:rsidR="00016240" w:rsidRPr="0094169A" w:rsidRDefault="00016240" w:rsidP="00561F0E">
            <w:pPr>
              <w:keepNext/>
              <w:keepLines/>
              <w:jc w:val="center"/>
              <w:rPr>
                <w:sz w:val="18"/>
                <w:szCs w:val="18"/>
                <w:lang w:eastAsia="en-GB"/>
              </w:rPr>
            </w:pPr>
            <w:r w:rsidRPr="0094169A">
              <w:rPr>
                <w:sz w:val="18"/>
                <w:szCs w:val="18"/>
                <w:lang w:eastAsia="en-GB"/>
              </w:rPr>
              <w:t>Pas évalué/incertain</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564353" w14:textId="77777777" w:rsidR="00016240" w:rsidRPr="0094169A" w:rsidRDefault="00016240" w:rsidP="00561F0E">
            <w:pPr>
              <w:keepNext/>
              <w:keepLines/>
              <w:jc w:val="center"/>
              <w:rPr>
                <w:sz w:val="18"/>
                <w:szCs w:val="18"/>
                <w:lang w:eastAsia="en-GB"/>
              </w:rPr>
            </w:pPr>
          </w:p>
        </w:tc>
      </w:tr>
    </w:tbl>
    <w:p w14:paraId="165BA298" w14:textId="77777777" w:rsidR="00016240" w:rsidRPr="0094169A" w:rsidRDefault="00016240" w:rsidP="00016240">
      <w:pPr>
        <w:keepNext/>
        <w:keepLines/>
        <w:widowControl w:val="0"/>
        <w:spacing w:after="120"/>
        <w:outlineLvl w:val="0"/>
        <w:rPr>
          <w:b/>
          <w:bCs/>
          <w:smallCaps/>
          <w:kern w:val="32"/>
          <w:sz w:val="20"/>
        </w:rPr>
      </w:pPr>
    </w:p>
    <w:p w14:paraId="547968D9" w14:textId="77777777" w:rsidR="00016240" w:rsidRPr="0094169A" w:rsidRDefault="00016240" w:rsidP="00016240">
      <w:pPr>
        <w:keepNext/>
        <w:keepLines/>
        <w:widowControl w:val="0"/>
        <w:spacing w:after="120"/>
        <w:outlineLvl w:val="0"/>
        <w:rPr>
          <w:b/>
          <w:bCs/>
          <w:smallCaps/>
          <w:color w:val="000000"/>
          <w:kern w:val="32"/>
        </w:rPr>
      </w:pPr>
      <w:r w:rsidRPr="0094169A">
        <w:rPr>
          <w:b/>
          <w:bCs/>
          <w:smallCaps/>
          <w:color w:val="000000"/>
          <w:kern w:val="32"/>
        </w:rPr>
        <w:t>Stock de l’océan Indien – Avis de gestion</w:t>
      </w:r>
    </w:p>
    <w:p w14:paraId="50B83F8C" w14:textId="334AEEBA" w:rsidR="00016240" w:rsidRPr="0094169A" w:rsidRDefault="00016240" w:rsidP="00016240">
      <w:pPr>
        <w:pStyle w:val="IOTCReportNormalNumbered"/>
        <w:numPr>
          <w:ilvl w:val="0"/>
          <w:numId w:val="0"/>
        </w:numPr>
        <w:rPr>
          <w:b/>
          <w:i/>
        </w:rPr>
      </w:pPr>
      <w:r w:rsidRPr="0094169A">
        <w:rPr>
          <w:b/>
          <w:bCs/>
          <w:i/>
          <w:szCs w:val="24"/>
        </w:rPr>
        <w:t>État du stock.</w:t>
      </w:r>
      <w:r w:rsidRPr="0094169A">
        <w:rPr>
          <w:color w:val="000000" w:themeColor="text1"/>
        </w:rPr>
        <w:t xml:space="preserve"> Une nouvelle évaluation du stock de marlin rayé a été réalisée en 2017, basée sur quatre modèles différents, notamment une méthode pauvre en données limitée aux captures (SRA, analyse de réduction de stock), deux modèles de production (ASPIC sans erreur de processus et SSBSP, une approche bayésienne avec erreur de processus) et SS3 (</w:t>
      </w:r>
      <w:r w:rsidRPr="0094169A">
        <w:rPr>
          <w:i/>
          <w:color w:val="000000" w:themeColor="text1"/>
        </w:rPr>
        <w:t>Stock Synthesis</w:t>
      </w:r>
      <w:r w:rsidRPr="0094169A">
        <w:rPr>
          <w:color w:val="000000" w:themeColor="text1"/>
        </w:rPr>
        <w:t>, un modèle intégré basé sur les longueurs). L'évaluation ASPIC a confirmé les résultats de 2012, 2013 et 2015 indiquant que le stock est sujet à la surpêche (F&gt;F</w:t>
      </w:r>
      <w:r w:rsidRPr="0094169A">
        <w:rPr>
          <w:color w:val="000000" w:themeColor="text1"/>
          <w:vertAlign w:val="subscript"/>
        </w:rPr>
        <w:t>MSY</w:t>
      </w:r>
      <w:r w:rsidRPr="0094169A">
        <w:rPr>
          <w:color w:val="000000" w:themeColor="text1"/>
        </w:rPr>
        <w:t>) et que la biomasse est inférieure au niveau qui produirait la PME (B&lt;B</w:t>
      </w:r>
      <w:r w:rsidRPr="0094169A">
        <w:rPr>
          <w:color w:val="000000" w:themeColor="text1"/>
          <w:vertAlign w:val="subscript"/>
        </w:rPr>
        <w:t>PME</w:t>
      </w:r>
      <w:r w:rsidRPr="0094169A">
        <w:rPr>
          <w:color w:val="000000" w:themeColor="text1"/>
        </w:rPr>
        <w:t>). Les autres modèles examinés en 2017 sont parvenus à des conclusions similaires. Tous les modèles ont indiqué de manière cohérente que le stock a fait l'objet d'une surpêche au cours des deux dernières décennies et que, par conséquent, la biomasse du stock est bien inférieure au niveau de B</w:t>
      </w:r>
      <w:r w:rsidRPr="0094169A">
        <w:rPr>
          <w:color w:val="000000" w:themeColor="text1"/>
          <w:vertAlign w:val="subscript"/>
        </w:rPr>
        <w:t>PME</w:t>
      </w:r>
      <w:r w:rsidR="00B12CB5">
        <w:rPr>
          <w:color w:val="000000" w:themeColor="text1"/>
        </w:rPr>
        <w:t>. En 2016</w:t>
      </w:r>
      <w:r w:rsidRPr="0094169A">
        <w:rPr>
          <w:color w:val="000000" w:themeColor="text1"/>
        </w:rPr>
        <w:t xml:space="preserve">, les captures déclarées ont augmenté à </w:t>
      </w:r>
      <w:r w:rsidR="00B12CB5">
        <w:rPr>
          <w:color w:val="000000" w:themeColor="text1"/>
        </w:rPr>
        <w:t>5 299</w:t>
      </w:r>
      <w:r w:rsidRPr="0094169A">
        <w:rPr>
          <w:color w:val="000000" w:themeColor="text1"/>
        </w:rPr>
        <w:t xml:space="preserve"> t. Selon les informations disponibles en 2017, le stock est déterminé comme étant </w:t>
      </w:r>
      <w:r w:rsidRPr="0094169A">
        <w:rPr>
          <w:b/>
          <w:color w:val="000000" w:themeColor="text1"/>
        </w:rPr>
        <w:t xml:space="preserve">surexploité </w:t>
      </w:r>
      <w:r w:rsidRPr="0094169A">
        <w:rPr>
          <w:color w:val="000000" w:themeColor="text1"/>
        </w:rPr>
        <w:t>et</w:t>
      </w:r>
      <w:r w:rsidRPr="0094169A">
        <w:rPr>
          <w:b/>
          <w:color w:val="000000" w:themeColor="text1"/>
        </w:rPr>
        <w:t xml:space="preserve"> sujet à la surpêche</w:t>
      </w:r>
      <w:r w:rsidR="003B234C">
        <w:rPr>
          <w:color w:val="000000" w:themeColor="text1"/>
        </w:rPr>
        <w:t xml:space="preserve"> (Tableau 1, Figure 2</w:t>
      </w:r>
      <w:r w:rsidRPr="0094169A">
        <w:rPr>
          <w:color w:val="000000" w:themeColor="text1"/>
        </w:rPr>
        <w:t xml:space="preserve">). </w:t>
      </w:r>
    </w:p>
    <w:p w14:paraId="476ABB38" w14:textId="1B2F2583" w:rsidR="00016240" w:rsidRPr="0094169A" w:rsidRDefault="00016240" w:rsidP="00016240">
      <w:pPr>
        <w:pStyle w:val="IOTCReportNormalNumbered"/>
        <w:numPr>
          <w:ilvl w:val="0"/>
          <w:numId w:val="0"/>
        </w:numPr>
      </w:pPr>
      <w:r w:rsidRPr="0094169A">
        <w:rPr>
          <w:b/>
          <w:i/>
        </w:rPr>
        <w:t xml:space="preserve">Perspectives. </w:t>
      </w:r>
      <w:r w:rsidRPr="0094169A">
        <w:t xml:space="preserve">La baisse des prises et de l’effort des palangriers en 2009-2011 a réduit la pression sur l’ensemble du stock de l’océan Indien ; </w:t>
      </w:r>
      <w:r w:rsidRPr="0094169A">
        <w:rPr>
          <w:szCs w:val="24"/>
        </w:rPr>
        <w:t>toutefois</w:t>
      </w:r>
      <w:r w:rsidRPr="0094169A">
        <w:t xml:space="preserve"> l’augmentation des captures déclarées depuis 2011, combinée aux résultats des dernières évaluations du stock (</w:t>
      </w:r>
      <w:r w:rsidR="003B234C">
        <w:t xml:space="preserve">réalisées en </w:t>
      </w:r>
      <w:r w:rsidRPr="0094169A">
        <w:t xml:space="preserve">2012, 2013, 2015 et 2017), fait que les perspectives sont pessimistes pour l’ensemble du stock et la Commission devrait envisager de prendre des mesures pour le marlin rayé. Les projections de tous les modèles montrent qu’il existe un risque très élevé que le stock reste </w:t>
      </w:r>
      <w:r w:rsidRPr="0094169A">
        <w:rPr>
          <w:i/>
        </w:rPr>
        <w:t>surexploité</w:t>
      </w:r>
      <w:r w:rsidRPr="0094169A">
        <w:t xml:space="preserve"> à moins que les prises ne soient significativement réduites. Cependant, les probabilités de la K2SM ne sont pas fournies en raison de l’incertitude affectant les résultats quantitatifs des modèles d’évaluation du stock, qui affectent les estimations des projections.</w:t>
      </w:r>
    </w:p>
    <w:p w14:paraId="649D399E" w14:textId="77777777" w:rsidR="00016240" w:rsidRPr="0094169A" w:rsidRDefault="00016240" w:rsidP="00016240">
      <w:pPr>
        <w:widowControl w:val="0"/>
        <w:tabs>
          <w:tab w:val="right" w:pos="993"/>
        </w:tabs>
        <w:spacing w:before="120" w:after="120"/>
        <w:outlineLvl w:val="2"/>
        <w:rPr>
          <w:b/>
          <w:i/>
          <w:color w:val="000000"/>
        </w:rPr>
      </w:pPr>
      <w:bookmarkStart w:id="1" w:name="OLE_LINK13"/>
      <w:bookmarkStart w:id="2" w:name="OLE_LINK14"/>
      <w:r w:rsidRPr="0094169A">
        <w:rPr>
          <w:b/>
          <w:bCs/>
          <w:i/>
        </w:rPr>
        <w:t xml:space="preserve">Avis de gestion. </w:t>
      </w:r>
      <w:r w:rsidRPr="0094169A">
        <w:t>Des captures maintenues au niveau actuel ou en augmentation présentent un fort risque que le stock reste surexploité. Afin de permettre au stock de commencer à se reconstituer, la Commission devrait envisager une réduction drastique des niveaux de captures. Une nouvelle évaluation du stock sera réalisée en 2018.</w:t>
      </w:r>
    </w:p>
    <w:bookmarkEnd w:id="1"/>
    <w:bookmarkEnd w:id="2"/>
    <w:p w14:paraId="7EB86046" w14:textId="77777777" w:rsidR="00016240" w:rsidRPr="0094169A" w:rsidRDefault="00016240" w:rsidP="00016240">
      <w:pPr>
        <w:pStyle w:val="IOTCReportNormalNumbered"/>
        <w:keepNext/>
        <w:numPr>
          <w:ilvl w:val="0"/>
          <w:numId w:val="0"/>
        </w:numPr>
      </w:pPr>
      <w:r w:rsidRPr="0094169A">
        <w:lastRenderedPageBreak/>
        <w:t>Les principaux points suivants devraient être notés :</w:t>
      </w:r>
    </w:p>
    <w:p w14:paraId="025263A1" w14:textId="23A0FA41" w:rsidR="00016240" w:rsidRPr="0094169A" w:rsidRDefault="00016240" w:rsidP="00016240">
      <w:pPr>
        <w:numPr>
          <w:ilvl w:val="0"/>
          <w:numId w:val="2"/>
        </w:numPr>
        <w:contextualSpacing/>
        <w:rPr>
          <w:color w:val="000000"/>
        </w:rPr>
      </w:pPr>
      <w:r w:rsidRPr="0094169A">
        <w:rPr>
          <w:b/>
          <w:color w:val="000000"/>
        </w:rPr>
        <w:t>Production maximale équilibrée :</w:t>
      </w:r>
      <w:r w:rsidRPr="0094169A">
        <w:rPr>
          <w:color w:val="000000"/>
        </w:rPr>
        <w:t xml:space="preserve"> les estimations pour l’ensemble de l’océan Indien sont très incertaines et </w:t>
      </w:r>
      <w:r w:rsidR="0085683B">
        <w:rPr>
          <w:color w:val="000000"/>
        </w:rPr>
        <w:t xml:space="preserve">les estimations ponctuelles </w:t>
      </w:r>
      <w:r w:rsidRPr="0094169A">
        <w:rPr>
          <w:color w:val="000000"/>
        </w:rPr>
        <w:t xml:space="preserve">vont de 3 270 t à 5 400 t. Néanmoins, la </w:t>
      </w:r>
      <w:r w:rsidRPr="0094169A">
        <w:t>biomasse</w:t>
      </w:r>
      <w:r w:rsidRPr="0094169A">
        <w:rPr>
          <w:color w:val="000000"/>
        </w:rPr>
        <w:t xml:space="preserve"> actuelle est bien inférieure au point de référence B</w:t>
      </w:r>
      <w:r w:rsidRPr="0094169A">
        <w:rPr>
          <w:color w:val="000000"/>
          <w:vertAlign w:val="subscript"/>
        </w:rPr>
        <w:t>PME</w:t>
      </w:r>
      <w:r w:rsidRPr="0094169A">
        <w:rPr>
          <w:color w:val="000000"/>
        </w:rPr>
        <w:t xml:space="preserve"> et la mortalité par pêche dépasse F</w:t>
      </w:r>
      <w:r w:rsidRPr="0094169A">
        <w:rPr>
          <w:color w:val="000000"/>
          <w:vertAlign w:val="subscript"/>
        </w:rPr>
        <w:t>PME</w:t>
      </w:r>
      <w:r w:rsidRPr="0094169A">
        <w:rPr>
          <w:color w:val="000000"/>
        </w:rPr>
        <w:t xml:space="preserve"> aux niveaux de captures récents, d’environ </w:t>
      </w:r>
      <w:r w:rsidR="00EC7D88">
        <w:rPr>
          <w:color w:val="000000"/>
        </w:rPr>
        <w:t>5 299</w:t>
      </w:r>
      <w:r w:rsidRPr="0094169A">
        <w:rPr>
          <w:color w:val="000000"/>
        </w:rPr>
        <w:t> t.</w:t>
      </w:r>
    </w:p>
    <w:p w14:paraId="2DC4D741" w14:textId="24E42A87" w:rsidR="00016240" w:rsidRDefault="00016240" w:rsidP="00016240">
      <w:pPr>
        <w:numPr>
          <w:ilvl w:val="0"/>
          <w:numId w:val="2"/>
        </w:numPr>
        <w:contextualSpacing/>
      </w:pPr>
      <w:r w:rsidRPr="0094169A">
        <w:rPr>
          <w:b/>
        </w:rPr>
        <w:t>Points de référence provisoires :</w:t>
      </w:r>
      <w:r w:rsidRPr="0094169A">
        <w:t xml:space="preserve"> bien que la Commission ait approuvé en 2015 la Recommandation 15/10</w:t>
      </w:r>
      <w:r w:rsidRPr="0094169A">
        <w:rPr>
          <w:i/>
        </w:rPr>
        <w:t xml:space="preserve"> Sur des niveaux de référence-cibles et -limites et sur un cadre de décision</w:t>
      </w:r>
      <w:r w:rsidRPr="0094169A">
        <w:t>, de tels points de référence n’ont pas é</w:t>
      </w:r>
      <w:r w:rsidR="00EC7D88">
        <w:t>té définis pour le marlin rayé.</w:t>
      </w:r>
    </w:p>
    <w:p w14:paraId="6141659D" w14:textId="77777777" w:rsidR="00EC7D88" w:rsidRDefault="00EC7D88" w:rsidP="00EC7D88">
      <w:pPr>
        <w:contextualSpacing/>
      </w:pPr>
    </w:p>
    <w:p w14:paraId="6040457F" w14:textId="094F007C" w:rsidR="00EC7D88" w:rsidRDefault="00EC7D88" w:rsidP="00EC7D88">
      <w:pPr>
        <w:contextualSpacing/>
        <w:jc w:val="center"/>
      </w:pPr>
      <w:r>
        <w:rPr>
          <w:rFonts w:eastAsia="Times New Roman"/>
          <w:noProof/>
          <w:color w:val="FF0000"/>
          <w:lang w:val="en-GB" w:eastAsia="en-GB"/>
        </w:rPr>
        <w:drawing>
          <wp:inline distT="0" distB="0" distL="0" distR="0" wp14:anchorId="36D255C9" wp14:editId="236FB349">
            <wp:extent cx="3630086" cy="2636289"/>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2315" cy="2652432"/>
                    </a:xfrm>
                    <a:prstGeom prst="rect">
                      <a:avLst/>
                    </a:prstGeom>
                    <a:noFill/>
                  </pic:spPr>
                </pic:pic>
              </a:graphicData>
            </a:graphic>
          </wp:inline>
        </w:drawing>
      </w:r>
    </w:p>
    <w:p w14:paraId="354BA7B0" w14:textId="62AB4837" w:rsidR="00EC7D88" w:rsidRPr="0094169A" w:rsidRDefault="00EC7D88" w:rsidP="00EC7D88">
      <w:pPr>
        <w:pStyle w:val="Caption"/>
      </w:pPr>
      <w:r w:rsidRPr="0094169A">
        <w:rPr>
          <w:b/>
        </w:rPr>
        <w:t>Figure 1</w:t>
      </w:r>
      <w:r w:rsidRPr="0094169A">
        <w:t xml:space="preserve">. Marlin </w:t>
      </w:r>
      <w:r>
        <w:t>rayé </w:t>
      </w:r>
      <w:r w:rsidRPr="0094169A">
        <w:t xml:space="preserve">: </w:t>
      </w:r>
      <w:r>
        <w:t xml:space="preserve">captures par engins et par années disponibles dans la </w:t>
      </w:r>
      <w:r w:rsidRPr="007F40B6">
        <w:t>base de données</w:t>
      </w:r>
      <w:r>
        <w:t xml:space="preserve"> de la CTOI (1950-2016). </w:t>
      </w:r>
      <w:r>
        <w:rPr>
          <w:i/>
        </w:rPr>
        <w:t>Note : les « autres » engins incluent la senne côtière, la senne danoise, la senne de plage et la senne tournante.</w:t>
      </w:r>
      <w:r w:rsidRPr="0094169A">
        <w:t xml:space="preserve"> </w:t>
      </w:r>
    </w:p>
    <w:p w14:paraId="1CB70BC8" w14:textId="77777777" w:rsidR="00EC7D88" w:rsidRPr="0094169A" w:rsidRDefault="00EC7D88" w:rsidP="00EC7D88">
      <w:pPr>
        <w:contextualSpacing/>
      </w:pPr>
    </w:p>
    <w:p w14:paraId="778103F9" w14:textId="77777777" w:rsidR="00016240" w:rsidRPr="0094169A" w:rsidRDefault="00016240" w:rsidP="00AA246A">
      <w:pPr>
        <w:pStyle w:val="Caption"/>
        <w:keepNext/>
        <w:jc w:val="center"/>
      </w:pPr>
      <w:r w:rsidRPr="0094169A">
        <w:rPr>
          <w:rFonts w:ascii="Century" w:hAnsi="Century"/>
          <w:noProof/>
          <w:kern w:val="2"/>
          <w:lang w:val="en-GB" w:eastAsia="en-GB"/>
        </w:rPr>
        <w:drawing>
          <wp:inline distT="0" distB="0" distL="0" distR="0" wp14:anchorId="23C26BED" wp14:editId="6AE502E0">
            <wp:extent cx="4399548" cy="3493995"/>
            <wp:effectExtent l="0" t="0" r="0" b="11430"/>
            <wp:docPr id="17674" name="Picture 1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S(REV).png"/>
                    <pic:cNvPicPr/>
                  </pic:nvPicPr>
                  <pic:blipFill rotWithShape="1">
                    <a:blip r:embed="rId10">
                      <a:extLst>
                        <a:ext uri="{28A0092B-C50C-407E-A947-70E740481C1C}">
                          <a14:useLocalDpi xmlns:a14="http://schemas.microsoft.com/office/drawing/2010/main" val="0"/>
                        </a:ext>
                      </a:extLst>
                    </a:blip>
                    <a:srcRect t="2765" b="3473"/>
                    <a:stretch/>
                  </pic:blipFill>
                  <pic:spPr bwMode="auto">
                    <a:xfrm>
                      <a:off x="0" y="0"/>
                      <a:ext cx="4410128" cy="3502398"/>
                    </a:xfrm>
                    <a:prstGeom prst="rect">
                      <a:avLst/>
                    </a:prstGeom>
                    <a:ln>
                      <a:noFill/>
                    </a:ln>
                    <a:extLst>
                      <a:ext uri="{53640926-AAD7-44D8-BBD7-CCE9431645EC}">
                        <a14:shadowObscured xmlns:a14="http://schemas.microsoft.com/office/drawing/2010/main"/>
                      </a:ext>
                    </a:extLst>
                  </pic:spPr>
                </pic:pic>
              </a:graphicData>
            </a:graphic>
          </wp:inline>
        </w:drawing>
      </w:r>
    </w:p>
    <w:p w14:paraId="42852A86" w14:textId="116AD406" w:rsidR="00016240" w:rsidRPr="0094169A" w:rsidRDefault="00016240" w:rsidP="00D07B7C">
      <w:pPr>
        <w:pStyle w:val="Caption"/>
      </w:pPr>
      <w:r w:rsidRPr="0094169A">
        <w:rPr>
          <w:b/>
        </w:rPr>
        <w:t xml:space="preserve">Figure </w:t>
      </w:r>
      <w:r w:rsidR="00EC7D88">
        <w:rPr>
          <w:b/>
        </w:rPr>
        <w:t>2</w:t>
      </w:r>
      <w:r w:rsidRPr="0094169A">
        <w:t>. Marlin rayé : état du stock tiré des modèles d’évaluation pour l’ensemble de l'océan Indien, incluant les intervalles de confiance.</w:t>
      </w:r>
    </w:p>
    <w:sectPr w:rsidR="00016240" w:rsidRPr="0094169A" w:rsidSect="00D360BB">
      <w:headerReference w:type="default" r:id="rId11"/>
      <w:footerReference w:type="default" r:id="rId12"/>
      <w:pgSz w:w="11900" w:h="16840"/>
      <w:pgMar w:top="1134"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1566" w14:textId="77777777" w:rsidR="00972004" w:rsidRDefault="00972004" w:rsidP="00997C26">
      <w:r>
        <w:separator/>
      </w:r>
    </w:p>
  </w:endnote>
  <w:endnote w:type="continuationSeparator" w:id="0">
    <w:p w14:paraId="1F928BEA" w14:textId="77777777" w:rsidR="00972004" w:rsidRDefault="00972004" w:rsidP="0099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1ACC" w14:textId="14BA76B8" w:rsidR="00997C26" w:rsidRDefault="00997C26" w:rsidP="00997C26">
    <w:pPr>
      <w:pStyle w:val="Footer"/>
      <w:jc w:val="center"/>
    </w:pPr>
    <w:r>
      <w:t xml:space="preserve">Page </w:t>
    </w:r>
    <w:r>
      <w:fldChar w:fldCharType="begin"/>
    </w:r>
    <w:r>
      <w:instrText xml:space="preserve"> PAGE </w:instrText>
    </w:r>
    <w:r>
      <w:fldChar w:fldCharType="separate"/>
    </w:r>
    <w:r w:rsidR="0027648D">
      <w:rPr>
        <w:noProof/>
      </w:rPr>
      <w:t>1</w:t>
    </w:r>
    <w:r>
      <w:fldChar w:fldCharType="end"/>
    </w:r>
    <w:r>
      <w:t xml:space="preserve"> sur </w:t>
    </w:r>
    <w:r w:rsidR="0027648D">
      <w:fldChar w:fldCharType="begin"/>
    </w:r>
    <w:r w:rsidR="0027648D">
      <w:instrText xml:space="preserve"> NUMPAGES </w:instrText>
    </w:r>
    <w:r w:rsidR="0027648D">
      <w:fldChar w:fldCharType="separate"/>
    </w:r>
    <w:r w:rsidR="0027648D">
      <w:rPr>
        <w:noProof/>
      </w:rPr>
      <w:t>2</w:t>
    </w:r>
    <w:r w:rsidR="002764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F965" w14:textId="77777777" w:rsidR="00972004" w:rsidRDefault="00972004" w:rsidP="00997C26">
      <w:r>
        <w:separator/>
      </w:r>
    </w:p>
  </w:footnote>
  <w:footnote w:type="continuationSeparator" w:id="0">
    <w:p w14:paraId="7543E3B7" w14:textId="77777777" w:rsidR="00972004" w:rsidRDefault="00972004" w:rsidP="0099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0AE4" w14:textId="7E257682" w:rsidR="00997C26" w:rsidRPr="00997C26" w:rsidRDefault="00997C26" w:rsidP="00997C26">
    <w:pPr>
      <w:pStyle w:val="Header"/>
      <w:tabs>
        <w:tab w:val="clear" w:pos="4536"/>
        <w:tab w:val="clear" w:pos="9072"/>
        <w:tab w:val="right" w:pos="10065"/>
      </w:tabs>
      <w:rPr>
        <w:sz w:val="32"/>
        <w:szCs w:val="32"/>
      </w:rPr>
    </w:pPr>
    <w:r>
      <w:rPr>
        <w:sz w:val="32"/>
        <w:szCs w:val="32"/>
      </w:rPr>
      <w:t>Marlin rayé</w:t>
    </w:r>
    <w:r>
      <w:rPr>
        <w:sz w:val="32"/>
        <w:szCs w:val="32"/>
      </w:rPr>
      <w:tab/>
      <w:t>Mis à jour : décembre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13039"/>
    <w:multiLevelType w:val="hybridMultilevel"/>
    <w:tmpl w:val="6BD0730C"/>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7AE16FDF"/>
    <w:multiLevelType w:val="hybridMultilevel"/>
    <w:tmpl w:val="C11AA72C"/>
    <w:lvl w:ilvl="0" w:tplc="8E527012">
      <w:start w:val="1"/>
      <w:numFmt w:val="decimal"/>
      <w:pStyle w:val="IOTCReportNormalNumbered"/>
      <w:lvlText w:val="%1."/>
      <w:lvlJc w:val="left"/>
      <w:pPr>
        <w:ind w:left="502" w:hanging="502"/>
      </w:pPr>
      <w:rPr>
        <w:rFonts w:hint="default"/>
        <w:b w:val="0"/>
        <w:i w:val="0"/>
        <w:sz w:val="22"/>
        <w:szCs w:val="22"/>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0"/>
    <w:rsid w:val="00016240"/>
    <w:rsid w:val="000669E9"/>
    <w:rsid w:val="0027648D"/>
    <w:rsid w:val="003905D6"/>
    <w:rsid w:val="003B234C"/>
    <w:rsid w:val="004251DF"/>
    <w:rsid w:val="00441F4A"/>
    <w:rsid w:val="005A2C3D"/>
    <w:rsid w:val="007228D2"/>
    <w:rsid w:val="0085683B"/>
    <w:rsid w:val="00882B14"/>
    <w:rsid w:val="008E4F3B"/>
    <w:rsid w:val="00927B2B"/>
    <w:rsid w:val="00972004"/>
    <w:rsid w:val="00997C26"/>
    <w:rsid w:val="00A16749"/>
    <w:rsid w:val="00AA246A"/>
    <w:rsid w:val="00B12CB5"/>
    <w:rsid w:val="00D07B7C"/>
    <w:rsid w:val="00D32B50"/>
    <w:rsid w:val="00D360BB"/>
    <w:rsid w:val="00D4522C"/>
    <w:rsid w:val="00D466EC"/>
    <w:rsid w:val="00E4399D"/>
    <w:rsid w:val="00EC7D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4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40"/>
    <w:pPr>
      <w:jc w:val="both"/>
    </w:pPr>
    <w:rPr>
      <w:rFonts w:ascii="Times New Roman" w:eastAsiaTheme="minorEastAsia" w:hAnsi="Times New Roman" w:cs="Times New Roman"/>
      <w:sz w:val="22"/>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6240"/>
    <w:pPr>
      <w:spacing w:before="200" w:after="60"/>
      <w:jc w:val="left"/>
    </w:pPr>
    <w:rPr>
      <w:bCs/>
      <w:sz w:val="20"/>
    </w:rPr>
  </w:style>
  <w:style w:type="paragraph" w:customStyle="1" w:styleId="IOTCReportNormalNumbered">
    <w:name w:val="IOTC Report Normal Numbered"/>
    <w:basedOn w:val="Normal"/>
    <w:qFormat/>
    <w:rsid w:val="00016240"/>
    <w:pPr>
      <w:numPr>
        <w:numId w:val="1"/>
      </w:numPr>
      <w:spacing w:before="120"/>
    </w:pPr>
    <w:rPr>
      <w:rFonts w:eastAsia="Times New Roman"/>
      <w:snapToGrid w:val="0"/>
      <w:color w:val="000000"/>
      <w:lang w:eastAsia="en-US"/>
    </w:rPr>
  </w:style>
  <w:style w:type="paragraph" w:customStyle="1" w:styleId="Annexe">
    <w:name w:val="Annexe"/>
    <w:basedOn w:val="Normal"/>
    <w:rsid w:val="00016240"/>
    <w:pPr>
      <w:tabs>
        <w:tab w:val="left" w:pos="567"/>
      </w:tabs>
      <w:spacing w:before="120"/>
      <w:jc w:val="center"/>
    </w:pPr>
    <w:rPr>
      <w:b/>
      <w:smallCaps/>
      <w:sz w:val="28"/>
      <w:szCs w:val="28"/>
    </w:rPr>
  </w:style>
  <w:style w:type="paragraph" w:customStyle="1" w:styleId="ResolutionsAnnex">
    <w:name w:val="Resolutions Annex"/>
    <w:qFormat/>
    <w:rsid w:val="00016240"/>
    <w:pPr>
      <w:jc w:val="center"/>
    </w:pPr>
    <w:rPr>
      <w:rFonts w:ascii="Times New Roman Bold" w:eastAsia="Times New Roman" w:hAnsi="Times New Roman Bold" w:cs="Times New Roman"/>
      <w:b/>
      <w:smallCaps/>
      <w:noProof/>
      <w:snapToGrid w:val="0"/>
      <w:sz w:val="26"/>
      <w:lang w:val="en-GB"/>
    </w:rPr>
  </w:style>
  <w:style w:type="paragraph" w:styleId="Header">
    <w:name w:val="header"/>
    <w:basedOn w:val="Normal"/>
    <w:link w:val="HeaderChar"/>
    <w:uiPriority w:val="99"/>
    <w:unhideWhenUsed/>
    <w:rsid w:val="00997C26"/>
    <w:pPr>
      <w:tabs>
        <w:tab w:val="center" w:pos="4536"/>
        <w:tab w:val="right" w:pos="9072"/>
      </w:tabs>
    </w:pPr>
  </w:style>
  <w:style w:type="character" w:customStyle="1" w:styleId="HeaderChar">
    <w:name w:val="Header Char"/>
    <w:basedOn w:val="DefaultParagraphFont"/>
    <w:link w:val="Header"/>
    <w:uiPriority w:val="99"/>
    <w:rsid w:val="00997C26"/>
    <w:rPr>
      <w:rFonts w:ascii="Times New Roman" w:eastAsiaTheme="minorEastAsia" w:hAnsi="Times New Roman" w:cs="Times New Roman"/>
      <w:sz w:val="22"/>
      <w:szCs w:val="20"/>
      <w:lang w:eastAsia="fr-FR"/>
    </w:rPr>
  </w:style>
  <w:style w:type="paragraph" w:styleId="Footer">
    <w:name w:val="footer"/>
    <w:basedOn w:val="Normal"/>
    <w:link w:val="FooterChar"/>
    <w:uiPriority w:val="99"/>
    <w:unhideWhenUsed/>
    <w:rsid w:val="00997C26"/>
    <w:pPr>
      <w:tabs>
        <w:tab w:val="center" w:pos="4536"/>
        <w:tab w:val="right" w:pos="9072"/>
      </w:tabs>
    </w:pPr>
  </w:style>
  <w:style w:type="character" w:customStyle="1" w:styleId="FooterChar">
    <w:name w:val="Footer Char"/>
    <w:basedOn w:val="DefaultParagraphFont"/>
    <w:link w:val="Footer"/>
    <w:uiPriority w:val="99"/>
    <w:rsid w:val="00997C26"/>
    <w:rPr>
      <w:rFonts w:ascii="Times New Roman" w:eastAsiaTheme="minorEastAsia" w:hAnsi="Times New Roman"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otolithe</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Roux</dc:creator>
  <cp:keywords/>
  <dc:description/>
  <cp:lastModifiedBy>Kevin KJS. Sullivan</cp:lastModifiedBy>
  <cp:revision>3</cp:revision>
  <dcterms:created xsi:type="dcterms:W3CDTF">2017-11-16T12:18:00Z</dcterms:created>
  <dcterms:modified xsi:type="dcterms:W3CDTF">2017-11-16T12:29:00Z</dcterms:modified>
</cp:coreProperties>
</file>