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6A74" w14:textId="77777777" w:rsidR="00C33BC0" w:rsidRPr="00AD1FA1" w:rsidRDefault="00A36EC1" w:rsidP="00C33BC0">
      <w:pPr>
        <w:spacing w:after="0" w:line="240" w:lineRule="auto"/>
        <w:contextualSpacing/>
        <w:jc w:val="center"/>
        <w:rPr>
          <w:rFonts w:ascii="Times New Roman Bold" w:eastAsia="MS Mincho" w:hAnsi="Times New Roman Bold" w:cs="Times New Roman"/>
          <w:b/>
          <w:bCs/>
          <w:smallCaps/>
          <w:color w:val="000000" w:themeColor="text1"/>
          <w:kern w:val="32"/>
          <w:sz w:val="28"/>
          <w:szCs w:val="28"/>
          <w:lang w:val="en-GB"/>
        </w:rPr>
      </w:pPr>
      <w:bookmarkStart w:id="0" w:name="_Toc309173076"/>
      <w:bookmarkStart w:id="1" w:name="AppenidxIX"/>
      <w:bookmarkStart w:id="2" w:name="_Toc343862304"/>
      <w:r>
        <w:rPr>
          <w:rFonts w:ascii="Times New Roman Bold" w:eastAsia="MS Mincho" w:hAnsi="Times New Roman Bold" w:cs="Times New Roman"/>
          <w:b/>
          <w:bCs/>
          <w:smallCap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F740" wp14:editId="779C2AF6">
                <wp:simplePos x="0" y="0"/>
                <wp:positionH relativeFrom="column">
                  <wp:posOffset>-7620</wp:posOffset>
                </wp:positionH>
                <wp:positionV relativeFrom="paragraph">
                  <wp:posOffset>500380</wp:posOffset>
                </wp:positionV>
                <wp:extent cx="6069965" cy="9042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9965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36A039" w14:textId="77777777" w:rsidR="0042723F" w:rsidRPr="00A66261" w:rsidRDefault="0042723F" w:rsidP="00C33BC0">
                            <w:bookmarkStart w:id="3" w:name="_GoBack"/>
                            <w:r w:rsidRPr="00A66261">
                              <w:rPr>
                                <w:rFonts w:ascii="ITC Bookman" w:hAnsi="ITC Bookman"/>
                                <w:b/>
                                <w:noProof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725C4FC" wp14:editId="5F02E6E4">
                                  <wp:extent cx="4104000" cy="817880"/>
                                  <wp:effectExtent l="0" t="0" r="0" b="1270"/>
                                  <wp:docPr id="18" name="Picture 1" descr="Description: Description: C:\Documents and Settings\Julien.IOTC\Desktop\IOTCLogoCMYKLetterHead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C:\Documents and Settings\Julien.IOTC\Desktop\IOTCLogoCMYKLetterHead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t="45799" r="55586" b="441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0260" cy="829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"/>
                            <w:r w:rsidRPr="00A6626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608F86" wp14:editId="4C6EC139">
                                  <wp:extent cx="1771200" cy="828000"/>
                                  <wp:effectExtent l="0" t="0" r="63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200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AF74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6pt;margin-top:39.4pt;width:477.9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" filled="f" stroked="f" strokeweight=".5pt">
                <v:textbox>
                  <w:txbxContent>
                    <w:p w14:paraId="7436A039" w14:textId="77777777" w:rsidR="0042723F" w:rsidRPr="00A66261" w:rsidRDefault="0042723F" w:rsidP="00C33BC0">
                      <w:bookmarkStart w:id="4" w:name="_GoBack"/>
                      <w:r w:rsidRPr="00A66261">
                        <w:rPr>
                          <w:rFonts w:ascii="ITC Bookman" w:hAnsi="ITC Bookman"/>
                          <w:b/>
                          <w:noProof/>
                          <w:szCs w:val="20"/>
                          <w:lang w:val="en-US"/>
                        </w:rPr>
                        <w:drawing>
                          <wp:inline distT="0" distB="0" distL="0" distR="0" wp14:anchorId="5725C4FC" wp14:editId="5F02E6E4">
                            <wp:extent cx="4104000" cy="817880"/>
                            <wp:effectExtent l="0" t="0" r="0" b="1270"/>
                            <wp:docPr id="18" name="Picture 1" descr="Description: Description: C:\Documents and Settings\Julien.IOTC\Desktop\IOTCLogoCMYKLetterHead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C:\Documents and Settings\Julien.IOTC\Desktop\IOTCLogoCMYKLetterHead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t="45799" r="55586" b="441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60260" cy="829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4"/>
                      <w:r w:rsidRPr="00A6626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608F86" wp14:editId="4C6EC139">
                            <wp:extent cx="1771200" cy="828000"/>
                            <wp:effectExtent l="0" t="0" r="63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200" cy="8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5" w:name="_Toc215482713"/>
      <w:bookmarkStart w:id="6" w:name="_Toc215482844"/>
      <w:bookmarkStart w:id="7" w:name="_Toc219176370"/>
      <w:bookmarkEnd w:id="0"/>
      <w:r w:rsidR="00C33BC0" w:rsidRPr="00620829">
        <w:rPr>
          <w:rFonts w:ascii="Times New Roman Bold" w:eastAsia="MS Mincho" w:hAnsi="Times New Roman Bold" w:cs="Times New Roman"/>
          <w:b/>
          <w:bCs/>
          <w:smallCaps/>
          <w:color w:val="FF0000"/>
          <w:sz w:val="28"/>
          <w:szCs w:val="28"/>
          <w:lang w:val="en-GB"/>
        </w:rPr>
        <w:br/>
      </w:r>
      <w:r w:rsidR="00C33BC0" w:rsidRPr="00AD1FA1">
        <w:rPr>
          <w:rFonts w:ascii="Times New Roman Bold" w:eastAsia="MS Mincho" w:hAnsi="Times New Roman Bold" w:cs="Times New Roman"/>
          <w:b/>
          <w:bCs/>
          <w:smallCaps/>
          <w:color w:val="000000" w:themeColor="text1"/>
          <w:kern w:val="32"/>
          <w:sz w:val="28"/>
          <w:szCs w:val="28"/>
          <w:lang w:val="en-GB"/>
        </w:rPr>
        <w:t>Executive Summary: Albacore</w:t>
      </w:r>
      <w:bookmarkEnd w:id="1"/>
      <w:bookmarkEnd w:id="2"/>
      <w:r w:rsidR="00C33BC0" w:rsidRPr="00AD1FA1">
        <w:rPr>
          <w:rFonts w:ascii="Times New Roman Bold" w:eastAsia="MS Mincho" w:hAnsi="Times New Roman Bold" w:cs="Times New Roman"/>
          <w:b/>
          <w:bCs/>
          <w:smallCaps/>
          <w:color w:val="000000" w:themeColor="text1"/>
          <w:sz w:val="28"/>
          <w:szCs w:val="28"/>
          <w:lang w:val="en-US"/>
        </w:rPr>
        <w:br/>
      </w:r>
    </w:p>
    <w:p w14:paraId="2FA1CEFD" w14:textId="77777777" w:rsidR="00C33BC0" w:rsidRPr="00620829" w:rsidRDefault="00C33BC0" w:rsidP="00C33BC0">
      <w:pPr>
        <w:spacing w:after="0" w:line="240" w:lineRule="auto"/>
        <w:contextualSpacing/>
        <w:jc w:val="right"/>
        <w:rPr>
          <w:rFonts w:ascii="Times New Roman Bold" w:eastAsia="MS Mincho" w:hAnsi="Times New Roman Bold" w:cs="Times New Roman"/>
          <w:b/>
          <w:bCs/>
          <w:smallCaps/>
          <w:color w:val="FF0000"/>
          <w:kern w:val="32"/>
          <w:sz w:val="28"/>
          <w:szCs w:val="28"/>
          <w:lang w:val="en-GB"/>
        </w:rPr>
      </w:pPr>
    </w:p>
    <w:p w14:paraId="6D8E9AA5" w14:textId="77777777" w:rsidR="00C33BC0" w:rsidRPr="00620829" w:rsidRDefault="00C33BC0" w:rsidP="00C33BC0">
      <w:pPr>
        <w:spacing w:after="0" w:line="240" w:lineRule="auto"/>
        <w:contextualSpacing/>
        <w:jc w:val="center"/>
        <w:rPr>
          <w:rFonts w:ascii="Times New Roman Bold" w:eastAsia="MS Mincho" w:hAnsi="Times New Roman Bold" w:cs="Times New Roman"/>
          <w:b/>
          <w:bCs/>
          <w:smallCaps/>
          <w:color w:val="FF0000"/>
          <w:kern w:val="32"/>
          <w:sz w:val="28"/>
          <w:szCs w:val="28"/>
          <w:lang w:val="en-GB"/>
        </w:rPr>
      </w:pPr>
    </w:p>
    <w:p w14:paraId="12CFAADF" w14:textId="77777777" w:rsidR="00C33BC0" w:rsidRPr="00620829" w:rsidRDefault="00C33BC0" w:rsidP="00C33BC0">
      <w:pPr>
        <w:spacing w:after="0" w:line="240" w:lineRule="auto"/>
        <w:contextualSpacing/>
        <w:jc w:val="center"/>
        <w:rPr>
          <w:rFonts w:ascii="Times New Roman Bold" w:eastAsia="MS Mincho" w:hAnsi="Times New Roman Bold" w:cs="Times New Roman"/>
          <w:b/>
          <w:bCs/>
          <w:smallCaps/>
          <w:color w:val="FF0000"/>
          <w:kern w:val="32"/>
          <w:sz w:val="28"/>
          <w:szCs w:val="28"/>
          <w:lang w:val="en-GB"/>
        </w:rPr>
      </w:pPr>
    </w:p>
    <w:p w14:paraId="43DAFB76" w14:textId="77777777" w:rsidR="00C33BC0" w:rsidRPr="00620829" w:rsidRDefault="00C33BC0" w:rsidP="00C33BC0">
      <w:pPr>
        <w:spacing w:after="0" w:line="240" w:lineRule="auto"/>
        <w:contextualSpacing/>
        <w:jc w:val="center"/>
        <w:rPr>
          <w:rFonts w:ascii="Times New Roman Bold" w:eastAsia="MS Mincho" w:hAnsi="Times New Roman Bold" w:cs="Times New Roman"/>
          <w:b/>
          <w:bCs/>
          <w:smallCaps/>
          <w:color w:val="FF0000"/>
          <w:kern w:val="32"/>
          <w:sz w:val="28"/>
          <w:szCs w:val="28"/>
          <w:lang w:val="en-GB"/>
        </w:rPr>
      </w:pPr>
    </w:p>
    <w:bookmarkEnd w:id="5"/>
    <w:bookmarkEnd w:id="6"/>
    <w:bookmarkEnd w:id="7"/>
    <w:p w14:paraId="42EDBE86" w14:textId="77777777" w:rsidR="00C33BC0" w:rsidRPr="00EB213F" w:rsidRDefault="00C33BC0" w:rsidP="00C3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fr-FR"/>
        </w:rPr>
      </w:pPr>
      <w:r w:rsidRPr="00EB2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fr-FR"/>
        </w:rPr>
        <w:t xml:space="preserve">Status of the Indian Ocean albacore (ALB: </w:t>
      </w:r>
      <w:r w:rsidRPr="00EB21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fr-FR"/>
        </w:rPr>
        <w:t>Thunnus alalunga</w:t>
      </w:r>
      <w:r w:rsidRPr="00EB2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fr-FR"/>
        </w:rPr>
        <w:t>) resource</w:t>
      </w:r>
    </w:p>
    <w:p w14:paraId="35B300A8" w14:textId="77777777" w:rsidR="0034746F" w:rsidRPr="00EB213F" w:rsidRDefault="0034746F" w:rsidP="007020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val="en-GB" w:eastAsia="fr-FR"/>
        </w:rPr>
      </w:pPr>
      <w:bookmarkStart w:id="8" w:name="ESTable1"/>
      <w:bookmarkStart w:id="9" w:name="_Toc219176372"/>
      <w:bookmarkStart w:id="10" w:name="_Toc219176373"/>
      <w:r w:rsidRPr="00EB213F">
        <w:rPr>
          <w:rFonts w:ascii="Times New Roman" w:eastAsia="Times New Roman" w:hAnsi="Times New Roman" w:cs="Times New Roman"/>
          <w:b/>
          <w:color w:val="000000" w:themeColor="text1"/>
          <w:szCs w:val="24"/>
          <w:lang w:val="en-GB" w:eastAsia="fr-FR"/>
        </w:rPr>
        <w:t>TABLE 1</w:t>
      </w:r>
      <w:r w:rsidRPr="00EB213F">
        <w:rPr>
          <w:rFonts w:ascii="Times New Roman" w:eastAsia="Times New Roman" w:hAnsi="Times New Roman" w:cs="Times New Roman"/>
          <w:color w:val="000000" w:themeColor="text1"/>
          <w:szCs w:val="24"/>
          <w:lang w:val="en-GB" w:eastAsia="fr-FR"/>
        </w:rPr>
        <w:t xml:space="preserve">. </w:t>
      </w:r>
      <w:r w:rsidR="00657EE7" w:rsidRPr="00EB213F">
        <w:rPr>
          <w:rFonts w:ascii="Times New Roman" w:eastAsia="Times New Roman" w:hAnsi="Times New Roman" w:cs="Times New Roman"/>
          <w:color w:val="000000" w:themeColor="text1"/>
          <w:szCs w:val="24"/>
          <w:lang w:val="en-GB" w:eastAsia="fr-FR"/>
        </w:rPr>
        <w:t xml:space="preserve">Albacore: </w:t>
      </w:r>
      <w:r w:rsidRPr="00EB213F">
        <w:rPr>
          <w:rFonts w:ascii="Times New Roman" w:eastAsia="Times New Roman" w:hAnsi="Times New Roman" w:cs="Times New Roman"/>
          <w:color w:val="000000" w:themeColor="text1"/>
          <w:szCs w:val="24"/>
          <w:lang w:val="en-GB" w:eastAsia="fr-FR"/>
        </w:rPr>
        <w:t>Status of albacore (</w:t>
      </w:r>
      <w:r w:rsidRPr="00EB213F">
        <w:rPr>
          <w:rFonts w:ascii="Times New Roman" w:eastAsia="Times New Roman" w:hAnsi="Times New Roman" w:cs="Times New Roman"/>
          <w:i/>
          <w:color w:val="000000" w:themeColor="text1"/>
          <w:szCs w:val="24"/>
          <w:lang w:val="en-GB" w:eastAsia="fr-FR"/>
        </w:rPr>
        <w:t>Thunnus alalunga</w:t>
      </w:r>
      <w:r w:rsidRPr="00EB213F">
        <w:rPr>
          <w:rFonts w:ascii="Times New Roman" w:eastAsia="Times New Roman" w:hAnsi="Times New Roman" w:cs="Times New Roman"/>
          <w:color w:val="000000" w:themeColor="text1"/>
          <w:szCs w:val="24"/>
          <w:lang w:val="en-GB" w:eastAsia="fr-FR"/>
        </w:rPr>
        <w:t>) in the Indian Ocean.</w:t>
      </w:r>
    </w:p>
    <w:tbl>
      <w:tblPr>
        <w:tblStyle w:val="TableGrid5"/>
        <w:tblW w:w="9223" w:type="dxa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3009"/>
        <w:gridCol w:w="2584"/>
        <w:gridCol w:w="1731"/>
      </w:tblGrid>
      <w:tr w:rsidR="000411E7" w:rsidRPr="002E7662" w14:paraId="74B7BC34" w14:textId="77777777" w:rsidTr="0057527B">
        <w:trPr>
          <w:trHeight w:val="710"/>
          <w:jc w:val="center"/>
        </w:trPr>
        <w:tc>
          <w:tcPr>
            <w:tcW w:w="1899" w:type="dxa"/>
            <w:shd w:val="clear" w:color="auto" w:fill="auto"/>
            <w:vAlign w:val="center"/>
          </w:tcPr>
          <w:bookmarkEnd w:id="8"/>
          <w:p w14:paraId="2F2D0F0A" w14:textId="77777777" w:rsidR="000411E7" w:rsidRPr="002E7662" w:rsidRDefault="000411E7" w:rsidP="000411E7">
            <w:pPr>
              <w:jc w:val="center"/>
              <w:rPr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2E7662">
              <w:rPr>
                <w:b/>
                <w:color w:val="000000" w:themeColor="text1"/>
                <w:sz w:val="20"/>
                <w:szCs w:val="20"/>
                <w:lang w:val="en-GB" w:eastAsia="en-US"/>
              </w:rPr>
              <w:t>Area</w:t>
            </w:r>
            <w:r w:rsidRPr="002E7662">
              <w:rPr>
                <w:b/>
                <w:color w:val="000000" w:themeColor="text1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tc>
          <w:tcPr>
            <w:tcW w:w="5593" w:type="dxa"/>
            <w:gridSpan w:val="2"/>
            <w:shd w:val="clear" w:color="auto" w:fill="auto"/>
            <w:vAlign w:val="center"/>
          </w:tcPr>
          <w:p w14:paraId="6EA6BC96" w14:textId="77777777" w:rsidR="000411E7" w:rsidRPr="002E7662" w:rsidRDefault="000411E7" w:rsidP="000411E7">
            <w:pPr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2E7662">
              <w:rPr>
                <w:b/>
                <w:color w:val="000000" w:themeColor="text1"/>
                <w:sz w:val="20"/>
                <w:szCs w:val="20"/>
                <w:lang w:val="en-GB" w:eastAsia="en-US"/>
              </w:rPr>
              <w:t>Indicators – 2016 assessment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D9DAB0D" w14:textId="1FA03D32" w:rsidR="000411E7" w:rsidRPr="002E7662" w:rsidRDefault="00702028" w:rsidP="000411E7">
            <w:pPr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201</w:t>
            </w:r>
            <w:r w:rsidR="006B451D">
              <w:rPr>
                <w:b/>
                <w:color w:val="000000" w:themeColor="text1"/>
                <w:sz w:val="20"/>
                <w:szCs w:val="20"/>
                <w:lang w:val="en-GB"/>
              </w:rPr>
              <w:t>8</w:t>
            </w:r>
            <w:r w:rsidR="000411E7" w:rsidRPr="002E7662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stock status</w:t>
            </w:r>
            <w:r w:rsidR="00B43D5E" w:rsidRPr="00B43D5E">
              <w:rPr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  <w:t>3</w:t>
            </w:r>
            <w:r w:rsidR="000411E7" w:rsidRPr="002E7662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determination</w:t>
            </w:r>
          </w:p>
        </w:tc>
      </w:tr>
      <w:tr w:rsidR="000411E7" w:rsidRPr="00D57CD0" w14:paraId="38BED144" w14:textId="77777777" w:rsidTr="00702028">
        <w:trPr>
          <w:trHeight w:val="440"/>
          <w:jc w:val="center"/>
        </w:trPr>
        <w:tc>
          <w:tcPr>
            <w:tcW w:w="1899" w:type="dxa"/>
            <w:vMerge w:val="restart"/>
            <w:shd w:val="clear" w:color="auto" w:fill="auto"/>
            <w:vAlign w:val="center"/>
          </w:tcPr>
          <w:p w14:paraId="72A23CD9" w14:textId="77777777" w:rsidR="000411E7" w:rsidRPr="00C970AF" w:rsidRDefault="000411E7" w:rsidP="000411E7">
            <w:pPr>
              <w:jc w:val="center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 w:rsidRPr="00C970AF">
              <w:rPr>
                <w:color w:val="000000" w:themeColor="text1"/>
                <w:sz w:val="20"/>
                <w:szCs w:val="20"/>
                <w:lang w:val="en-GB" w:eastAsia="en-US"/>
              </w:rPr>
              <w:t>Indian Ocean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505566E" w14:textId="77777777" w:rsidR="000411E7" w:rsidRPr="009646EA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48D18EB4" w14:textId="77777777" w:rsidR="000411E7" w:rsidRPr="005A41FD" w:rsidRDefault="000411E7" w:rsidP="000411E7">
            <w:pPr>
              <w:jc w:val="center"/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9646EA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SS3</w:t>
            </w:r>
          </w:p>
        </w:tc>
        <w:tc>
          <w:tcPr>
            <w:tcW w:w="1731" w:type="dxa"/>
            <w:vMerge w:val="restart"/>
            <w:shd w:val="clear" w:color="auto" w:fill="92D050"/>
            <w:vAlign w:val="center"/>
          </w:tcPr>
          <w:p w14:paraId="2A5C79F1" w14:textId="06A1F9EF" w:rsidR="000411E7" w:rsidRPr="009646EA" w:rsidRDefault="000411E7" w:rsidP="000411E7">
            <w:pPr>
              <w:keepNext/>
              <w:keepLines/>
              <w:outlineLvl w:val="0"/>
              <w:rPr>
                <w:rFonts w:cs="Arial"/>
                <w:b/>
                <w:bCs/>
                <w:smallCaps/>
                <w:color w:val="FF0000"/>
                <w:kern w:val="32"/>
                <w:sz w:val="20"/>
                <w:szCs w:val="20"/>
                <w:lang w:val="en-GB"/>
              </w:rPr>
            </w:pPr>
          </w:p>
        </w:tc>
      </w:tr>
      <w:tr w:rsidR="000411E7" w:rsidRPr="00D57CD0" w14:paraId="19429AD1" w14:textId="77777777" w:rsidTr="00702028">
        <w:trPr>
          <w:trHeight w:val="973"/>
          <w:jc w:val="center"/>
        </w:trPr>
        <w:tc>
          <w:tcPr>
            <w:tcW w:w="1899" w:type="dxa"/>
            <w:vMerge/>
            <w:shd w:val="clear" w:color="auto" w:fill="auto"/>
            <w:vAlign w:val="center"/>
          </w:tcPr>
          <w:p w14:paraId="0B6EF8D2" w14:textId="77777777" w:rsidR="000411E7" w:rsidRPr="00C970AF" w:rsidRDefault="000411E7" w:rsidP="000411E7">
            <w:pPr>
              <w:jc w:val="center"/>
              <w:rPr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3009" w:type="dxa"/>
            <w:shd w:val="clear" w:color="auto" w:fill="auto"/>
          </w:tcPr>
          <w:p w14:paraId="3B4C3EF8" w14:textId="615871A4" w:rsidR="000411E7" w:rsidRPr="001C2F90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1C2F90">
              <w:rPr>
                <w:color w:val="000000" w:themeColor="text1"/>
                <w:sz w:val="20"/>
                <w:szCs w:val="20"/>
                <w:lang w:val="fr-FR" w:eastAsia="en-US"/>
              </w:rPr>
              <w:t>Catch 201</w:t>
            </w:r>
            <w:r w:rsidR="005F4AB4">
              <w:rPr>
                <w:color w:val="000000" w:themeColor="text1"/>
                <w:sz w:val="20"/>
                <w:szCs w:val="20"/>
                <w:lang w:val="fr-FR" w:eastAsia="en-US"/>
              </w:rPr>
              <w:t>7</w:t>
            </w:r>
            <w:r w:rsidR="00A64B24">
              <w:rPr>
                <w:color w:val="000000" w:themeColor="text1"/>
                <w:sz w:val="20"/>
                <w:szCs w:val="20"/>
                <w:vertAlign w:val="superscript"/>
                <w:lang w:val="fr-FR" w:eastAsia="en-US"/>
              </w:rPr>
              <w:t>2</w:t>
            </w:r>
            <w:r w:rsidRPr="001C2F90">
              <w:rPr>
                <w:color w:val="000000" w:themeColor="text1"/>
                <w:sz w:val="20"/>
                <w:szCs w:val="20"/>
                <w:lang w:val="fr-FR" w:eastAsia="en-US"/>
              </w:rPr>
              <w:t>:</w:t>
            </w:r>
          </w:p>
          <w:p w14:paraId="77189026" w14:textId="11EBC814" w:rsidR="000411E7" w:rsidRPr="001C2F90" w:rsidRDefault="000411E7" w:rsidP="000411E7">
            <w:pPr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1C2F90">
              <w:rPr>
                <w:color w:val="000000" w:themeColor="text1"/>
                <w:sz w:val="20"/>
                <w:szCs w:val="20"/>
                <w:lang w:val="fr-FR" w:eastAsia="en-US"/>
              </w:rPr>
              <w:t>Average catch 201</w:t>
            </w:r>
            <w:r w:rsidR="005F4AB4">
              <w:rPr>
                <w:color w:val="000000" w:themeColor="text1"/>
                <w:sz w:val="20"/>
                <w:szCs w:val="20"/>
                <w:lang w:val="fr-FR" w:eastAsia="en-US"/>
              </w:rPr>
              <w:t>3</w:t>
            </w:r>
            <w:r w:rsidRPr="001C2F90">
              <w:rPr>
                <w:color w:val="000000" w:themeColor="text1"/>
                <w:sz w:val="20"/>
                <w:szCs w:val="20"/>
                <w:lang w:val="fr-FR" w:eastAsia="en-US"/>
              </w:rPr>
              <w:t>–201</w:t>
            </w:r>
            <w:r w:rsidR="005F4AB4">
              <w:rPr>
                <w:color w:val="000000" w:themeColor="text1"/>
                <w:sz w:val="20"/>
                <w:szCs w:val="20"/>
                <w:lang w:val="fr-FR" w:eastAsia="en-US"/>
              </w:rPr>
              <w:t>7</w:t>
            </w:r>
            <w:r w:rsidRPr="001C2F90">
              <w:rPr>
                <w:color w:val="000000" w:themeColor="text1"/>
                <w:sz w:val="20"/>
                <w:szCs w:val="20"/>
                <w:lang w:val="fr-FR" w:eastAsia="en-US"/>
              </w:rPr>
              <w:t>:</w:t>
            </w:r>
          </w:p>
          <w:p w14:paraId="045EFCC4" w14:textId="77777777" w:rsidR="000411E7" w:rsidRPr="000411E7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MSY (1000 t) (80% CI):</w:t>
            </w:r>
          </w:p>
          <w:p w14:paraId="4B13A187" w14:textId="77777777" w:rsidR="000411E7" w:rsidRPr="000411E7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 xml:space="preserve">MSY 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(80% CI):</w:t>
            </w:r>
          </w:p>
          <w:p w14:paraId="4B2885F8" w14:textId="77777777" w:rsidR="000411E7" w:rsidRPr="000411E7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SB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 xml:space="preserve">MSY 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(1000 t) (80% CI):</w:t>
            </w:r>
          </w:p>
          <w:p w14:paraId="6CA85155" w14:textId="77777777" w:rsidR="000411E7" w:rsidRPr="000411E7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>2014/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 xml:space="preserve">MSY 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(80% CI):</w:t>
            </w:r>
          </w:p>
          <w:p w14:paraId="10452CB5" w14:textId="4285374C" w:rsidR="000411E7" w:rsidRPr="000411E7" w:rsidRDefault="000411E7" w:rsidP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SB</w:t>
            </w:r>
            <w:r w:rsidR="00A36EC1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>2014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>/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SB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 w:eastAsia="en-US"/>
              </w:rPr>
              <w:t xml:space="preserve">MSY 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(80% CI):</w:t>
            </w:r>
          </w:p>
          <w:p w14:paraId="48D0D4ED" w14:textId="0BA735E8" w:rsidR="000411E7" w:rsidRPr="000411E7" w:rsidRDefault="000411E7">
            <w:pPr>
              <w:tabs>
                <w:tab w:val="right" w:pos="932"/>
                <w:tab w:val="left" w:pos="1168"/>
              </w:tabs>
              <w:jc w:val="right"/>
              <w:rPr>
                <w:color w:val="000000" w:themeColor="text1"/>
                <w:sz w:val="20"/>
                <w:szCs w:val="20"/>
                <w:lang w:val="fr-FR" w:eastAsia="en-US"/>
              </w:rPr>
            </w:pPr>
            <w:r w:rsidRPr="000411E7">
              <w:rPr>
                <w:color w:val="000000" w:themeColor="text1"/>
                <w:sz w:val="20"/>
                <w:szCs w:val="20"/>
                <w:lang w:val="fr-FR"/>
              </w:rPr>
              <w:t>SB</w:t>
            </w:r>
            <w:r w:rsidR="00A36EC1">
              <w:rPr>
                <w:color w:val="000000" w:themeColor="text1"/>
                <w:sz w:val="20"/>
                <w:szCs w:val="20"/>
                <w:vertAlign w:val="subscript"/>
                <w:lang w:val="fr-FR"/>
              </w:rPr>
              <w:t>2014</w:t>
            </w:r>
            <w:r w:rsidRPr="000411E7">
              <w:rPr>
                <w:color w:val="000000" w:themeColor="text1"/>
                <w:sz w:val="20"/>
                <w:szCs w:val="20"/>
                <w:lang w:val="fr-FR"/>
              </w:rPr>
              <w:t>/SB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/>
              </w:rPr>
              <w:t>19</w:t>
            </w:r>
            <w:r w:rsidRPr="000411E7">
              <w:rPr>
                <w:rFonts w:eastAsia="SimSun" w:hint="eastAsia"/>
                <w:color w:val="000000" w:themeColor="text1"/>
                <w:sz w:val="20"/>
                <w:szCs w:val="20"/>
                <w:vertAlign w:val="subscript"/>
                <w:lang w:val="fr-FR" w:eastAsia="zh-CN"/>
              </w:rPr>
              <w:t>5</w:t>
            </w:r>
            <w:r w:rsidRPr="000411E7">
              <w:rPr>
                <w:color w:val="000000" w:themeColor="text1"/>
                <w:sz w:val="20"/>
                <w:szCs w:val="20"/>
                <w:vertAlign w:val="subscript"/>
                <w:lang w:val="fr-FR"/>
              </w:rPr>
              <w:t xml:space="preserve">0 </w:t>
            </w:r>
            <w:r w:rsidRPr="000411E7">
              <w:rPr>
                <w:color w:val="000000" w:themeColor="text1"/>
                <w:sz w:val="20"/>
                <w:szCs w:val="20"/>
                <w:lang w:val="fr-FR" w:eastAsia="en-US"/>
              </w:rPr>
              <w:t>(80% CI):</w:t>
            </w:r>
          </w:p>
        </w:tc>
        <w:tc>
          <w:tcPr>
            <w:tcW w:w="2584" w:type="dxa"/>
            <w:shd w:val="clear" w:color="auto" w:fill="auto"/>
          </w:tcPr>
          <w:p w14:paraId="0E855248" w14:textId="1D674F0E" w:rsidR="000411E7" w:rsidRPr="009646EA" w:rsidRDefault="00E837A9" w:rsidP="000411E7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E837A9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38,347</w:t>
            </w:r>
            <w:r w:rsidR="000411E7" w:rsidRPr="009646EA">
              <w:rPr>
                <w:rFonts w:eastAsia="SimSun" w:hint="eastAsia"/>
                <w:color w:val="000000" w:themeColor="text1"/>
                <w:sz w:val="20"/>
                <w:szCs w:val="20"/>
                <w:lang w:val="en-GB" w:eastAsia="zh-CN"/>
              </w:rPr>
              <w:t xml:space="preserve"> t</w:t>
            </w:r>
          </w:p>
          <w:p w14:paraId="2BB240E4" w14:textId="1F5090DF" w:rsidR="000411E7" w:rsidRPr="009646EA" w:rsidRDefault="00E837A9" w:rsidP="000411E7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E837A9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36,004</w:t>
            </w:r>
            <w:r w:rsidR="000411E7" w:rsidRPr="009646EA">
              <w:rPr>
                <w:rFonts w:eastAsia="SimSun" w:hint="eastAsia"/>
                <w:color w:val="000000" w:themeColor="text1"/>
                <w:sz w:val="20"/>
                <w:szCs w:val="20"/>
                <w:lang w:val="en-GB" w:eastAsia="zh-CN"/>
              </w:rPr>
              <w:t xml:space="preserve"> t</w:t>
            </w:r>
          </w:p>
          <w:p w14:paraId="70702F29" w14:textId="77777777" w:rsidR="00AD1FA1" w:rsidRPr="00AD1FA1" w:rsidRDefault="00AD1FA1" w:rsidP="00AD1FA1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38.8 (33.9–43.6)</w:t>
            </w:r>
          </w:p>
          <w:p w14:paraId="1ACE2AE9" w14:textId="77777777" w:rsidR="00AD1FA1" w:rsidRPr="00AD1FA1" w:rsidRDefault="00AD1FA1" w:rsidP="00AD1FA1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-</w:t>
            </w:r>
          </w:p>
          <w:p w14:paraId="7250FF96" w14:textId="77777777" w:rsidR="00AD1FA1" w:rsidRPr="00AD1FA1" w:rsidRDefault="00AD1FA1" w:rsidP="00AD1FA1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30.0 (26.1–34.0)</w:t>
            </w:r>
          </w:p>
          <w:p w14:paraId="286A209E" w14:textId="77777777" w:rsidR="00AD1FA1" w:rsidRPr="00AD1FA1" w:rsidRDefault="00AD1FA1" w:rsidP="00AD1FA1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0.85 (0.57–1.12)</w:t>
            </w:r>
          </w:p>
          <w:p w14:paraId="0A722272" w14:textId="77777777" w:rsidR="00AD1FA1" w:rsidRPr="00AD1FA1" w:rsidRDefault="00AD1FA1" w:rsidP="00AD1FA1">
            <w:pPr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1.80 (1.38–2.23)</w:t>
            </w:r>
          </w:p>
          <w:p w14:paraId="57A0291C" w14:textId="77777777" w:rsidR="000411E7" w:rsidRPr="00965FDE" w:rsidRDefault="00AD1FA1" w:rsidP="00AD1FA1">
            <w:pPr>
              <w:rPr>
                <w:rFonts w:eastAsia="SimSun"/>
                <w:color w:val="FF0000"/>
                <w:sz w:val="20"/>
                <w:szCs w:val="20"/>
                <w:highlight w:val="yellow"/>
                <w:lang w:val="en-GB" w:eastAsia="zh-CN"/>
              </w:rPr>
            </w:pPr>
            <w:r w:rsidRPr="00AD1FA1">
              <w:rPr>
                <w:rFonts w:eastAsia="SimSun"/>
                <w:color w:val="000000" w:themeColor="text1"/>
                <w:sz w:val="20"/>
                <w:szCs w:val="20"/>
                <w:lang w:val="en-GB" w:eastAsia="zh-CN"/>
              </w:rPr>
              <w:t>0.37 (0.28–0.46)</w:t>
            </w: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655EBC4" w14:textId="77777777" w:rsidR="000411E7" w:rsidRPr="00D57CD0" w:rsidRDefault="000411E7" w:rsidP="000411E7">
            <w:pPr>
              <w:keepNext/>
              <w:keepLines/>
              <w:jc w:val="center"/>
              <w:outlineLvl w:val="0"/>
              <w:rPr>
                <w:rFonts w:cs="Arial"/>
                <w:b/>
                <w:bCs/>
                <w:smallCaps/>
                <w:color w:val="FF0000"/>
                <w:kern w:val="32"/>
                <w:sz w:val="20"/>
                <w:szCs w:val="20"/>
                <w:lang w:val="en-GB"/>
              </w:rPr>
            </w:pPr>
          </w:p>
        </w:tc>
      </w:tr>
    </w:tbl>
    <w:p w14:paraId="0B39F01F" w14:textId="6393CE37" w:rsidR="0044138D" w:rsidRPr="0044138D" w:rsidRDefault="00E00FC6" w:rsidP="0044138D">
      <w:pPr>
        <w:keepNext/>
        <w:keepLines/>
        <w:widowControl w:val="0"/>
        <w:spacing w:before="120"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</w:pPr>
      <w:r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en-GB" w:eastAsia="fr-FR"/>
        </w:rPr>
        <w:t>1</w:t>
      </w:r>
      <w:r w:rsidR="00702028"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en-GB" w:eastAsia="fr-FR"/>
        </w:rPr>
        <w:t xml:space="preserve"> </w:t>
      </w:r>
      <w:r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>Boundaries for the Indian Ocean stock assessment are defined as the IOTC area of competence.</w:t>
      </w:r>
    </w:p>
    <w:p w14:paraId="56F4AE81" w14:textId="582F91AE" w:rsidR="0057527B" w:rsidRDefault="00A64B24" w:rsidP="0057527B">
      <w:pPr>
        <w:keepNext/>
        <w:keepLines/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</w:pPr>
      <w:r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en-GB" w:eastAsia="fr-FR"/>
        </w:rPr>
        <w:t>2</w:t>
      </w:r>
      <w:r w:rsidR="00702028"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 xml:space="preserve"> </w:t>
      </w:r>
      <w:r w:rsidR="00CA1E52"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>Proportion of catch estimated or partially estimated</w:t>
      </w:r>
      <w:r w:rsidR="0044138D"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 xml:space="preserve"> by IOTC Secretariat in 201</w:t>
      </w:r>
      <w:r w:rsidR="006B451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>7</w:t>
      </w:r>
      <w:r w:rsidR="0044138D"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 xml:space="preserve">: </w:t>
      </w:r>
      <w:r w:rsidR="006637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>17</w:t>
      </w:r>
      <w:r w:rsidR="00CA1E52" w:rsidRPr="004413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>%</w:t>
      </w:r>
    </w:p>
    <w:p w14:paraId="459E4612" w14:textId="7CF0D483" w:rsidR="0057527B" w:rsidRPr="00265123" w:rsidRDefault="0057527B" w:rsidP="0057527B">
      <w:pPr>
        <w:keepNext/>
        <w:keepLines/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</w:pPr>
      <w:r w:rsidRPr="0057527B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en-GB" w:eastAsia="fr-FR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 xml:space="preserve"> </w:t>
      </w:r>
      <w:r w:rsidRPr="005752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  <w:t>The stock status refers to the most recent years’ data used in the last assessment conducted in 2016.</w:t>
      </w:r>
    </w:p>
    <w:p w14:paraId="2A5B6352" w14:textId="1A130F0B" w:rsidR="0034746F" w:rsidRPr="00265123" w:rsidRDefault="0034746F" w:rsidP="0034746F">
      <w:pPr>
        <w:keepNext/>
        <w:keepLines/>
        <w:widowControl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fr-FR"/>
        </w:rPr>
      </w:pPr>
    </w:p>
    <w:tbl>
      <w:tblPr>
        <w:tblStyle w:val="TableGrid31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666"/>
        <w:gridCol w:w="2977"/>
        <w:gridCol w:w="3216"/>
      </w:tblGrid>
      <w:tr w:rsidR="000411E7" w:rsidRPr="00C970AF" w14:paraId="1E6259AB" w14:textId="77777777" w:rsidTr="000411E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DFD69" w14:textId="77777777" w:rsidR="000411E7" w:rsidRPr="00DA6461" w:rsidRDefault="000411E7" w:rsidP="000411E7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DA6461">
              <w:rPr>
                <w:b/>
                <w:color w:val="000000" w:themeColor="text1"/>
                <w:sz w:val="18"/>
                <w:szCs w:val="18"/>
                <w:lang w:val="en-GB"/>
              </w:rPr>
              <w:t>Colour key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F5699" w14:textId="77777777" w:rsidR="000411E7" w:rsidRPr="00E939E6" w:rsidRDefault="000411E7" w:rsidP="000411E7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Stock overfished(SB</w:t>
            </w:r>
            <w:r w:rsidRPr="00E939E6">
              <w:rPr>
                <w:b/>
                <w:color w:val="000000" w:themeColor="text1"/>
                <w:sz w:val="18"/>
                <w:szCs w:val="18"/>
                <w:vertAlign w:val="subscript"/>
                <w:lang w:val="en-GB"/>
              </w:rPr>
              <w:t>year</w:t>
            </w:r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/SB</w:t>
            </w:r>
            <w:r w:rsidRPr="00E939E6">
              <w:rPr>
                <w:b/>
                <w:color w:val="000000" w:themeColor="text1"/>
                <w:sz w:val="18"/>
                <w:szCs w:val="18"/>
                <w:vertAlign w:val="subscript"/>
                <w:lang w:val="en-GB"/>
              </w:rPr>
              <w:t>MSY</w:t>
            </w:r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&lt; 1)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A00ED" w14:textId="77777777" w:rsidR="000411E7" w:rsidRPr="00E939E6" w:rsidRDefault="000411E7" w:rsidP="000411E7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Stock not overfished (SB</w:t>
            </w:r>
            <w:r w:rsidRPr="00E939E6">
              <w:rPr>
                <w:b/>
                <w:color w:val="000000" w:themeColor="text1"/>
                <w:sz w:val="18"/>
                <w:szCs w:val="18"/>
                <w:vertAlign w:val="subscript"/>
                <w:lang w:val="en-GB"/>
              </w:rPr>
              <w:t>year</w:t>
            </w:r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/SB</w:t>
            </w:r>
            <w:r w:rsidRPr="00E939E6">
              <w:rPr>
                <w:b/>
                <w:color w:val="000000" w:themeColor="text1"/>
                <w:sz w:val="18"/>
                <w:szCs w:val="18"/>
                <w:vertAlign w:val="subscript"/>
                <w:lang w:val="en-GB"/>
              </w:rPr>
              <w:t>MSY</w:t>
            </w:r>
            <w:r w:rsidRPr="00E939E6">
              <w:rPr>
                <w:b/>
                <w:color w:val="000000" w:themeColor="text1"/>
                <w:sz w:val="18"/>
                <w:szCs w:val="18"/>
                <w:lang w:val="en-GB"/>
              </w:rPr>
              <w:t>≥ 1)</w:t>
            </w:r>
          </w:p>
        </w:tc>
      </w:tr>
      <w:tr w:rsidR="000411E7" w:rsidRPr="00C970AF" w14:paraId="3E9E9B9A" w14:textId="77777777" w:rsidTr="000411E7">
        <w:trPr>
          <w:trHeight w:val="224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B93B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Stock subject to overfishing(F</w:t>
            </w:r>
            <w:r w:rsidRPr="00DA6461">
              <w:rPr>
                <w:color w:val="000000" w:themeColor="text1"/>
                <w:sz w:val="18"/>
                <w:szCs w:val="18"/>
                <w:vertAlign w:val="subscript"/>
                <w:lang w:val="en-GB"/>
              </w:rPr>
              <w:t>year</w:t>
            </w:r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/F</w:t>
            </w:r>
            <w:r w:rsidRPr="00DA6461">
              <w:rPr>
                <w:color w:val="000000" w:themeColor="text1"/>
                <w:sz w:val="18"/>
                <w:szCs w:val="18"/>
                <w:vertAlign w:val="subscript"/>
                <w:lang w:val="en-GB"/>
              </w:rPr>
              <w:t>MSY</w:t>
            </w:r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&gt;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CCEA8C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84EB5BB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411E7" w:rsidRPr="00C970AF" w14:paraId="54EB2DE2" w14:textId="77777777" w:rsidTr="000411E7">
        <w:trPr>
          <w:trHeight w:val="26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44686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Stock not subject to overfishing (F</w:t>
            </w:r>
            <w:r w:rsidRPr="00DA6461">
              <w:rPr>
                <w:color w:val="000000" w:themeColor="text1"/>
                <w:sz w:val="18"/>
                <w:szCs w:val="18"/>
                <w:vertAlign w:val="subscript"/>
                <w:lang w:val="en-GB"/>
              </w:rPr>
              <w:t>year</w:t>
            </w:r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/F</w:t>
            </w:r>
            <w:r w:rsidRPr="00DA6461">
              <w:rPr>
                <w:color w:val="000000" w:themeColor="text1"/>
                <w:sz w:val="18"/>
                <w:szCs w:val="18"/>
                <w:vertAlign w:val="subscript"/>
                <w:lang w:val="en-GB"/>
              </w:rPr>
              <w:t>MSY</w:t>
            </w:r>
            <w:r w:rsidRPr="00DA6461">
              <w:rPr>
                <w:color w:val="000000" w:themeColor="text1"/>
                <w:sz w:val="18"/>
                <w:szCs w:val="18"/>
                <w:lang w:val="en-GB"/>
              </w:rPr>
              <w:t>≤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26BE1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817179" w14:textId="77777777" w:rsidR="000411E7" w:rsidRPr="00DA6461" w:rsidRDefault="000411E7" w:rsidP="000411E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5D4C2BC3" w14:textId="77777777" w:rsidR="00AD1FA1" w:rsidRDefault="00AD1FA1" w:rsidP="00AD1FA1">
      <w:pPr>
        <w:keepNext/>
        <w:keepLines/>
        <w:widowControl w:val="0"/>
        <w:spacing w:before="120" w:after="120"/>
        <w:outlineLvl w:val="0"/>
        <w:rPr>
          <w:rFonts w:cs="Arial"/>
          <w:b/>
          <w:bCs/>
          <w:smallCaps/>
          <w:color w:val="000000" w:themeColor="text1"/>
          <w:kern w:val="32"/>
          <w:lang w:val="en-GB"/>
        </w:rPr>
      </w:pPr>
      <w:bookmarkStart w:id="11" w:name="ESFig1"/>
    </w:p>
    <w:p w14:paraId="4E37D0EC" w14:textId="77777777" w:rsidR="00AD1FA1" w:rsidRPr="00AD1FA1" w:rsidRDefault="00AD1FA1" w:rsidP="00702028">
      <w:pPr>
        <w:keepNext/>
        <w:keepLines/>
        <w:widowControl w:val="0"/>
        <w:spacing w:after="120"/>
        <w:outlineLvl w:val="0"/>
        <w:rPr>
          <w:rFonts w:ascii="Times New Roman" w:hAnsi="Times New Roman" w:cs="Times New Roman"/>
          <w:b/>
          <w:bCs/>
          <w:smallCaps/>
          <w:color w:val="000000" w:themeColor="text1"/>
          <w:kern w:val="32"/>
          <w:lang w:val="en-GB"/>
        </w:rPr>
      </w:pPr>
      <w:r w:rsidRPr="00AD1FA1">
        <w:rPr>
          <w:rFonts w:ascii="Times New Roman" w:hAnsi="Times New Roman" w:cs="Times New Roman"/>
          <w:b/>
          <w:bCs/>
          <w:smallCaps/>
          <w:color w:val="000000" w:themeColor="text1"/>
          <w:kern w:val="32"/>
          <w:lang w:val="en-GB"/>
        </w:rPr>
        <w:t>Indian Ocean stock – Management Advice</w:t>
      </w:r>
    </w:p>
    <w:p w14:paraId="77BFE48B" w14:textId="7267F592" w:rsidR="00DC67A3" w:rsidRDefault="00AD1FA1" w:rsidP="00AD1FA1">
      <w:pPr>
        <w:pStyle w:val="IOTCReportNormalNumbered"/>
        <w:numPr>
          <w:ilvl w:val="0"/>
          <w:numId w:val="0"/>
        </w:numPr>
        <w:rPr>
          <w:color w:val="000000" w:themeColor="text1"/>
        </w:rPr>
      </w:pPr>
      <w:r w:rsidRPr="005A41FD">
        <w:rPr>
          <w:b/>
          <w:i/>
          <w:color w:val="000000" w:themeColor="text1"/>
          <w:szCs w:val="22"/>
        </w:rPr>
        <w:t xml:space="preserve">Stock status. </w:t>
      </w:r>
      <w:r w:rsidR="00DC67A3" w:rsidRPr="00596A4A">
        <w:rPr>
          <w:color w:val="000000" w:themeColor="text1"/>
        </w:rPr>
        <w:t xml:space="preserve">No new stock assessment was carried out for </w:t>
      </w:r>
      <w:r w:rsidR="00DC67A3">
        <w:rPr>
          <w:color w:val="000000" w:themeColor="text1"/>
        </w:rPr>
        <w:t>albacore</w:t>
      </w:r>
      <w:r w:rsidR="00DC67A3" w:rsidRPr="00596A4A">
        <w:rPr>
          <w:color w:val="000000" w:themeColor="text1"/>
        </w:rPr>
        <w:t xml:space="preserve"> in 201</w:t>
      </w:r>
      <w:r w:rsidR="00C262CC">
        <w:rPr>
          <w:color w:val="000000" w:themeColor="text1"/>
        </w:rPr>
        <w:t>8</w:t>
      </w:r>
      <w:r w:rsidR="00DC67A3" w:rsidRPr="00596A4A">
        <w:rPr>
          <w:color w:val="000000" w:themeColor="text1"/>
        </w:rPr>
        <w:t xml:space="preserve">, thus, </w:t>
      </w:r>
      <w:r w:rsidR="00DC67A3">
        <w:rPr>
          <w:color w:val="000000" w:themeColor="text1"/>
        </w:rPr>
        <w:t xml:space="preserve">the </w:t>
      </w:r>
      <w:r w:rsidR="00DC67A3" w:rsidRPr="00596A4A">
        <w:rPr>
          <w:color w:val="000000" w:themeColor="text1"/>
        </w:rPr>
        <w:t>stock status is determined on the basis of the 2016 assessment and other indicators presented in 201</w:t>
      </w:r>
      <w:r w:rsidR="00C262CC">
        <w:rPr>
          <w:color w:val="000000" w:themeColor="text1"/>
        </w:rPr>
        <w:t>8</w:t>
      </w:r>
      <w:r w:rsidR="00DC67A3" w:rsidRPr="00596A4A">
        <w:rPr>
          <w:color w:val="000000" w:themeColor="text1"/>
        </w:rPr>
        <w:t xml:space="preserve">. </w:t>
      </w:r>
    </w:p>
    <w:p w14:paraId="21A09672" w14:textId="039C8B35" w:rsidR="0074371F" w:rsidRPr="0074371F" w:rsidRDefault="00AD1FA1" w:rsidP="00AD1FA1">
      <w:pPr>
        <w:pStyle w:val="IOTCReportNormalNumbered"/>
        <w:numPr>
          <w:ilvl w:val="0"/>
          <w:numId w:val="0"/>
        </w:numPr>
        <w:rPr>
          <w:color w:val="000000" w:themeColor="text1"/>
          <w:szCs w:val="22"/>
        </w:rPr>
      </w:pPr>
      <w:r w:rsidRPr="005A41FD">
        <w:rPr>
          <w:color w:val="000000" w:themeColor="text1"/>
          <w:szCs w:val="22"/>
        </w:rPr>
        <w:t xml:space="preserve">Trends in </w:t>
      </w:r>
      <w:r>
        <w:rPr>
          <w:color w:val="000000" w:themeColor="text1"/>
          <w:szCs w:val="22"/>
        </w:rPr>
        <w:t xml:space="preserve">the </w:t>
      </w:r>
      <w:r w:rsidRPr="005A41FD">
        <w:rPr>
          <w:color w:val="000000" w:themeColor="text1"/>
          <w:szCs w:val="22"/>
        </w:rPr>
        <w:t>CPUE series suggest that the longline vulnerable biomass has declined to around 65% of the level</w:t>
      </w:r>
      <w:r>
        <w:rPr>
          <w:color w:val="000000" w:themeColor="text1"/>
          <w:szCs w:val="22"/>
        </w:rPr>
        <w:t>s</w:t>
      </w:r>
      <w:r w:rsidRPr="005A41FD">
        <w:rPr>
          <w:color w:val="000000" w:themeColor="text1"/>
          <w:szCs w:val="22"/>
        </w:rPr>
        <w:t xml:space="preserve"> observed in 1980–82.</w:t>
      </w:r>
      <w:r w:rsidRPr="0069776A">
        <w:rPr>
          <w:color w:val="000000" w:themeColor="text1"/>
          <w:szCs w:val="22"/>
        </w:rPr>
        <w:t xml:space="preserve"> Prior to 1980 there was 20 years of moderate fishing, after which </w:t>
      </w:r>
      <w:r>
        <w:rPr>
          <w:color w:val="000000" w:themeColor="text1"/>
          <w:szCs w:val="22"/>
        </w:rPr>
        <w:t xml:space="preserve">total </w:t>
      </w:r>
      <w:r w:rsidRPr="0069776A">
        <w:rPr>
          <w:color w:val="000000" w:themeColor="text1"/>
          <w:szCs w:val="22"/>
        </w:rPr>
        <w:t>catches</w:t>
      </w:r>
      <w:r>
        <w:rPr>
          <w:color w:val="000000" w:themeColor="text1"/>
          <w:szCs w:val="22"/>
        </w:rPr>
        <w:t xml:space="preserve"> of albacore tuna in the Indian Ocean</w:t>
      </w:r>
      <w:r w:rsidRPr="0069776A">
        <w:rPr>
          <w:color w:val="000000" w:themeColor="text1"/>
          <w:szCs w:val="22"/>
        </w:rPr>
        <w:t xml:space="preserve"> have more than doubled in subsequent years</w:t>
      </w:r>
      <w:r w:rsidR="00186802">
        <w:rPr>
          <w:color w:val="000000" w:themeColor="text1"/>
          <w:szCs w:val="22"/>
        </w:rPr>
        <w:t xml:space="preserve"> (</w:t>
      </w:r>
      <w:r w:rsidR="00186802" w:rsidRPr="006166B1">
        <w:rPr>
          <w:b/>
          <w:color w:val="000000" w:themeColor="text1"/>
        </w:rPr>
        <w:t>Fig.</w:t>
      </w:r>
      <w:r w:rsidR="00A46E9A">
        <w:rPr>
          <w:b/>
          <w:color w:val="000000" w:themeColor="text1"/>
        </w:rPr>
        <w:t xml:space="preserve"> 1</w:t>
      </w:r>
      <w:r w:rsidR="00186802">
        <w:rPr>
          <w:color w:val="000000" w:themeColor="text1"/>
          <w:szCs w:val="22"/>
        </w:rPr>
        <w:t>)</w:t>
      </w:r>
      <w:r w:rsidRPr="0069776A">
        <w:rPr>
          <w:color w:val="000000" w:themeColor="text1"/>
          <w:szCs w:val="22"/>
        </w:rPr>
        <w:t>.  Catches have also increased substantially since 2007</w:t>
      </w:r>
      <w:r w:rsidR="0074371F">
        <w:rPr>
          <w:color w:val="000000" w:themeColor="text1"/>
          <w:szCs w:val="22"/>
        </w:rPr>
        <w:t xml:space="preserve"> for some fleets (i.e., </w:t>
      </w:r>
      <w:r w:rsidRPr="0069776A">
        <w:rPr>
          <w:color w:val="000000" w:themeColor="text1"/>
          <w:szCs w:val="22"/>
        </w:rPr>
        <w:t>Indonesian and Taiwan,China longline fisheries</w:t>
      </w:r>
      <w:r w:rsidR="0074371F">
        <w:rPr>
          <w:color w:val="000000" w:themeColor="text1"/>
          <w:szCs w:val="22"/>
        </w:rPr>
        <w:t>)</w:t>
      </w:r>
      <w:r>
        <w:rPr>
          <w:color w:val="000000" w:themeColor="text1"/>
          <w:szCs w:val="22"/>
        </w:rPr>
        <w:t>,</w:t>
      </w:r>
      <w:r w:rsidRPr="0069776A">
        <w:rPr>
          <w:color w:val="000000" w:themeColor="text1"/>
          <w:szCs w:val="22"/>
        </w:rPr>
        <w:t xml:space="preserve"> although there is substantial uncertainty regarding the reliability of the catch estimates. </w:t>
      </w:r>
      <w:r w:rsidRPr="001B3E3E">
        <w:rPr>
          <w:color w:val="000000" w:themeColor="text1"/>
          <w:szCs w:val="22"/>
        </w:rPr>
        <w:t>Catches in 201</w:t>
      </w:r>
      <w:r w:rsidR="006B451D" w:rsidRPr="00710918">
        <w:rPr>
          <w:color w:val="000000" w:themeColor="text1"/>
          <w:szCs w:val="22"/>
        </w:rPr>
        <w:t>7</w:t>
      </w:r>
      <w:r w:rsidRPr="001B3E3E">
        <w:rPr>
          <w:color w:val="000000" w:themeColor="text1"/>
          <w:szCs w:val="22"/>
        </w:rPr>
        <w:t xml:space="preserve"> </w:t>
      </w:r>
      <w:r w:rsidR="00DC67A3" w:rsidRPr="001B3E3E">
        <w:rPr>
          <w:color w:val="000000" w:themeColor="text1"/>
          <w:szCs w:val="22"/>
        </w:rPr>
        <w:t>were</w:t>
      </w:r>
      <w:r w:rsidRPr="001B3E3E">
        <w:rPr>
          <w:color w:val="000000" w:themeColor="text1"/>
          <w:szCs w:val="22"/>
        </w:rPr>
        <w:t xml:space="preserve"> marginally </w:t>
      </w:r>
      <w:r w:rsidR="006B451D" w:rsidRPr="00710918">
        <w:rPr>
          <w:color w:val="000000" w:themeColor="text1"/>
          <w:szCs w:val="22"/>
        </w:rPr>
        <w:t>below</w:t>
      </w:r>
      <w:r w:rsidR="006B451D" w:rsidRPr="001B3E3E">
        <w:rPr>
          <w:color w:val="000000" w:themeColor="text1"/>
          <w:szCs w:val="22"/>
        </w:rPr>
        <w:t xml:space="preserve"> </w:t>
      </w:r>
      <w:r w:rsidRPr="001B3E3E">
        <w:rPr>
          <w:color w:val="000000" w:themeColor="text1"/>
          <w:szCs w:val="22"/>
        </w:rPr>
        <w:t>the MSY level of the SS3 model.</w:t>
      </w:r>
      <w:r w:rsidRPr="0069776A">
        <w:rPr>
          <w:color w:val="000000" w:themeColor="text1"/>
          <w:szCs w:val="22"/>
        </w:rPr>
        <w:t xml:space="preserve"> Fishing mortality represented as F</w:t>
      </w:r>
      <w:r w:rsidRPr="0069776A">
        <w:rPr>
          <w:color w:val="000000" w:themeColor="text1"/>
          <w:szCs w:val="22"/>
          <w:vertAlign w:val="subscript"/>
        </w:rPr>
        <w:t>2014</w:t>
      </w:r>
      <w:r w:rsidRPr="0069776A">
        <w:rPr>
          <w:color w:val="000000" w:themeColor="text1"/>
          <w:szCs w:val="22"/>
        </w:rPr>
        <w:t>/F</w:t>
      </w:r>
      <w:r w:rsidRPr="0069776A">
        <w:rPr>
          <w:color w:val="000000" w:themeColor="text1"/>
          <w:szCs w:val="22"/>
          <w:vertAlign w:val="subscript"/>
        </w:rPr>
        <w:t>MSY</w:t>
      </w:r>
      <w:r w:rsidRPr="0069776A">
        <w:rPr>
          <w:color w:val="000000" w:themeColor="text1"/>
          <w:szCs w:val="22"/>
        </w:rPr>
        <w:t xml:space="preserve"> is 0.85</w:t>
      </w:r>
      <w:r>
        <w:rPr>
          <w:color w:val="000000" w:themeColor="text1"/>
          <w:szCs w:val="22"/>
        </w:rPr>
        <w:t xml:space="preserve"> </w:t>
      </w:r>
      <w:r w:rsidRPr="005A41FD">
        <w:rPr>
          <w:rFonts w:eastAsia="SimSun"/>
          <w:color w:val="000000" w:themeColor="text1"/>
          <w:szCs w:val="22"/>
          <w:lang w:eastAsia="zh-CN"/>
        </w:rPr>
        <w:t>(0.57–1.12</w:t>
      </w:r>
      <w:r w:rsidRPr="009646EA">
        <w:rPr>
          <w:rFonts w:eastAsia="SimSun"/>
          <w:color w:val="000000" w:themeColor="text1"/>
          <w:sz w:val="20"/>
          <w:lang w:eastAsia="zh-CN"/>
        </w:rPr>
        <w:t>)</w:t>
      </w:r>
      <w:r w:rsidRPr="00433107">
        <w:rPr>
          <w:color w:val="000000" w:themeColor="text1"/>
          <w:szCs w:val="22"/>
        </w:rPr>
        <w:t>. Biomass</w:t>
      </w:r>
      <w:r w:rsidRPr="0069776A">
        <w:rPr>
          <w:color w:val="000000" w:themeColor="text1"/>
          <w:szCs w:val="22"/>
        </w:rPr>
        <w:t xml:space="preserve"> is considered to be </w:t>
      </w:r>
      <w:r>
        <w:rPr>
          <w:color w:val="000000" w:themeColor="text1"/>
          <w:szCs w:val="22"/>
        </w:rPr>
        <w:t>above the</w:t>
      </w:r>
      <w:r w:rsidRPr="0069776A">
        <w:rPr>
          <w:color w:val="000000" w:themeColor="text1"/>
          <w:szCs w:val="22"/>
        </w:rPr>
        <w:t xml:space="preserve"> SB</w:t>
      </w:r>
      <w:r w:rsidRPr="0069776A">
        <w:rPr>
          <w:color w:val="000000" w:themeColor="text1"/>
          <w:szCs w:val="22"/>
          <w:vertAlign w:val="subscript"/>
        </w:rPr>
        <w:t>MSY</w:t>
      </w:r>
      <w:r w:rsidRPr="0069776A">
        <w:rPr>
          <w:color w:val="000000" w:themeColor="text1"/>
          <w:szCs w:val="22"/>
        </w:rPr>
        <w:t xml:space="preserve"> level (SB</w:t>
      </w:r>
      <w:r w:rsidRPr="0069776A">
        <w:rPr>
          <w:color w:val="000000" w:themeColor="text1"/>
          <w:szCs w:val="22"/>
          <w:vertAlign w:val="subscript"/>
        </w:rPr>
        <w:t>2014</w:t>
      </w:r>
      <w:r w:rsidRPr="0069776A">
        <w:rPr>
          <w:color w:val="000000" w:themeColor="text1"/>
          <w:szCs w:val="22"/>
        </w:rPr>
        <w:t>/SB</w:t>
      </w:r>
      <w:r w:rsidRPr="0069776A">
        <w:rPr>
          <w:color w:val="000000" w:themeColor="text1"/>
          <w:szCs w:val="22"/>
          <w:vertAlign w:val="subscript"/>
        </w:rPr>
        <w:t xml:space="preserve">MSY </w:t>
      </w:r>
      <w:r w:rsidRPr="0069776A">
        <w:rPr>
          <w:color w:val="000000" w:themeColor="text1"/>
          <w:szCs w:val="22"/>
        </w:rPr>
        <w:t>=</w:t>
      </w:r>
      <w:r>
        <w:rPr>
          <w:color w:val="000000" w:themeColor="text1"/>
          <w:szCs w:val="22"/>
        </w:rPr>
        <w:t xml:space="preserve"> 1.80 </w:t>
      </w:r>
      <w:r w:rsidRPr="00090E02">
        <w:rPr>
          <w:color w:val="000000" w:themeColor="text1"/>
          <w:szCs w:val="22"/>
        </w:rPr>
        <w:t>(1.38–2.23)</w:t>
      </w:r>
      <w:r w:rsidRPr="0069776A">
        <w:rPr>
          <w:color w:val="000000" w:themeColor="text1"/>
          <w:szCs w:val="22"/>
        </w:rPr>
        <w:t>) from the SS3 model (</w:t>
      </w:r>
      <w:r w:rsidRPr="00DE55AE">
        <w:rPr>
          <w:b/>
          <w:szCs w:val="22"/>
        </w:rPr>
        <w:t>Table 1</w:t>
      </w:r>
      <w:r w:rsidRPr="0069776A">
        <w:rPr>
          <w:color w:val="000000" w:themeColor="text1"/>
          <w:szCs w:val="22"/>
        </w:rPr>
        <w:t xml:space="preserve">, </w:t>
      </w:r>
      <w:r w:rsidRPr="00DE55AE">
        <w:rPr>
          <w:b/>
          <w:szCs w:val="22"/>
        </w:rPr>
        <w:t>Fig.</w:t>
      </w:r>
      <w:r w:rsidR="00A46E9A">
        <w:rPr>
          <w:b/>
          <w:szCs w:val="22"/>
        </w:rPr>
        <w:t xml:space="preserve"> 2</w:t>
      </w:r>
      <w:r w:rsidRPr="0069776A">
        <w:rPr>
          <w:color w:val="000000" w:themeColor="text1"/>
          <w:szCs w:val="22"/>
        </w:rPr>
        <w:t xml:space="preserve">). </w:t>
      </w:r>
      <w:r>
        <w:rPr>
          <w:color w:val="000000" w:themeColor="text1"/>
          <w:szCs w:val="22"/>
        </w:rPr>
        <w:t xml:space="preserve">The results from the other model options were also generally consistent with these estimates of stock status.  </w:t>
      </w:r>
      <w:r w:rsidRPr="0069776A">
        <w:rPr>
          <w:color w:val="000000" w:themeColor="text1"/>
          <w:szCs w:val="22"/>
        </w:rPr>
        <w:t xml:space="preserve">Thus, </w:t>
      </w:r>
      <w:r>
        <w:rPr>
          <w:color w:val="000000" w:themeColor="text1"/>
          <w:szCs w:val="22"/>
        </w:rPr>
        <w:t xml:space="preserve">the </w:t>
      </w:r>
      <w:r w:rsidRPr="0069776A">
        <w:rPr>
          <w:color w:val="000000" w:themeColor="text1"/>
          <w:szCs w:val="22"/>
        </w:rPr>
        <w:t>stock</w:t>
      </w:r>
      <w:r w:rsidRPr="0069776A">
        <w:rPr>
          <w:bCs/>
          <w:color w:val="000000" w:themeColor="text1"/>
          <w:lang w:val="en-AU"/>
        </w:rPr>
        <w:t xml:space="preserve"> status in relation to the Commission’s B</w:t>
      </w:r>
      <w:r w:rsidRPr="0069776A">
        <w:rPr>
          <w:bCs/>
          <w:color w:val="000000" w:themeColor="text1"/>
          <w:vertAlign w:val="subscript"/>
          <w:lang w:val="en-AU"/>
        </w:rPr>
        <w:t>MSY</w:t>
      </w:r>
      <w:r w:rsidRPr="0069776A">
        <w:rPr>
          <w:bCs/>
          <w:color w:val="000000" w:themeColor="text1"/>
          <w:lang w:val="en-AU"/>
        </w:rPr>
        <w:t xml:space="preserve"> and F</w:t>
      </w:r>
      <w:r w:rsidRPr="0069776A">
        <w:rPr>
          <w:bCs/>
          <w:color w:val="000000" w:themeColor="text1"/>
          <w:vertAlign w:val="subscript"/>
          <w:lang w:val="en-AU"/>
        </w:rPr>
        <w:t>MSY</w:t>
      </w:r>
      <w:r w:rsidRPr="0069776A">
        <w:rPr>
          <w:bCs/>
          <w:color w:val="000000" w:themeColor="text1"/>
          <w:lang w:val="en-AU"/>
        </w:rPr>
        <w:t xml:space="preserve"> target reference points indicates that the stock is </w:t>
      </w:r>
      <w:r w:rsidRPr="0069776A">
        <w:rPr>
          <w:b/>
          <w:bCs/>
          <w:color w:val="000000" w:themeColor="text1"/>
          <w:lang w:val="en-AU"/>
        </w:rPr>
        <w:t>not overfished</w:t>
      </w:r>
      <w:r w:rsidRPr="0069776A">
        <w:rPr>
          <w:bCs/>
          <w:color w:val="000000" w:themeColor="text1"/>
          <w:lang w:val="en-AU"/>
        </w:rPr>
        <w:t xml:space="preserve"> and </w:t>
      </w:r>
      <w:r w:rsidRPr="0069776A">
        <w:rPr>
          <w:b/>
          <w:bCs/>
          <w:color w:val="000000" w:themeColor="text1"/>
          <w:lang w:val="en-AU"/>
        </w:rPr>
        <w:t>not</w:t>
      </w:r>
      <w:r w:rsidRPr="0069776A">
        <w:rPr>
          <w:bCs/>
          <w:color w:val="000000" w:themeColor="text1"/>
          <w:lang w:val="en-AU"/>
        </w:rPr>
        <w:t> </w:t>
      </w:r>
      <w:r w:rsidRPr="0069776A">
        <w:rPr>
          <w:b/>
          <w:bCs/>
          <w:color w:val="000000" w:themeColor="text1"/>
          <w:lang w:val="en-AU"/>
        </w:rPr>
        <w:t xml:space="preserve">subject to overfishing </w:t>
      </w:r>
      <w:r w:rsidRPr="0069776A">
        <w:rPr>
          <w:bCs/>
          <w:color w:val="000000" w:themeColor="text1"/>
          <w:lang w:val="en-AU"/>
        </w:rPr>
        <w:t>(</w:t>
      </w:r>
      <w:r w:rsidRPr="00DE55AE">
        <w:rPr>
          <w:b/>
          <w:szCs w:val="22"/>
        </w:rPr>
        <w:t>Table 1</w:t>
      </w:r>
      <w:r w:rsidRPr="0069776A">
        <w:rPr>
          <w:bCs/>
          <w:color w:val="000000" w:themeColor="text1"/>
          <w:lang w:val="en-AU"/>
        </w:rPr>
        <w:t>)</w:t>
      </w:r>
      <w:r w:rsidR="00C01866">
        <w:rPr>
          <w:bCs/>
          <w:color w:val="000000" w:themeColor="text1"/>
          <w:lang w:val="en-AU"/>
        </w:rPr>
        <w:t>.</w:t>
      </w:r>
      <w:r w:rsidRPr="0069776A">
        <w:rPr>
          <w:bCs/>
          <w:color w:val="000000" w:themeColor="text1"/>
          <w:lang w:val="en-AU"/>
        </w:rPr>
        <w:t xml:space="preserve"> </w:t>
      </w:r>
    </w:p>
    <w:p w14:paraId="754100E5" w14:textId="31A7AA4F" w:rsidR="00AD1FA1" w:rsidRDefault="00AD1FA1" w:rsidP="00AD1FA1">
      <w:pPr>
        <w:pStyle w:val="IOTCReportNormalNumbered"/>
        <w:numPr>
          <w:ilvl w:val="0"/>
          <w:numId w:val="0"/>
        </w:numPr>
        <w:rPr>
          <w:color w:val="000000" w:themeColor="text1"/>
        </w:rPr>
      </w:pPr>
      <w:r w:rsidRPr="0069776A">
        <w:rPr>
          <w:b/>
          <w:i/>
          <w:color w:val="000000" w:themeColor="text1"/>
          <w:szCs w:val="22"/>
        </w:rPr>
        <w:t xml:space="preserve">Outlook. </w:t>
      </w:r>
      <w:r w:rsidRPr="0069776A">
        <w:rPr>
          <w:color w:val="000000" w:themeColor="text1"/>
          <w:szCs w:val="22"/>
        </w:rPr>
        <w:t>Maintaining or increasing effort in the core albacore fishing grounds is likely to</w:t>
      </w:r>
      <w:r>
        <w:rPr>
          <w:color w:val="000000" w:themeColor="text1"/>
          <w:szCs w:val="22"/>
        </w:rPr>
        <w:t xml:space="preserve"> result in further decline</w:t>
      </w:r>
      <w:r w:rsidRPr="0069776A">
        <w:rPr>
          <w:color w:val="000000" w:themeColor="text1"/>
          <w:szCs w:val="22"/>
        </w:rPr>
        <w:t xml:space="preserve"> in </w:t>
      </w:r>
      <w:r>
        <w:rPr>
          <w:color w:val="000000" w:themeColor="text1"/>
          <w:szCs w:val="22"/>
        </w:rPr>
        <w:t xml:space="preserve">the </w:t>
      </w:r>
      <w:r w:rsidRPr="0069776A">
        <w:rPr>
          <w:color w:val="000000" w:themeColor="text1"/>
          <w:szCs w:val="22"/>
        </w:rPr>
        <w:t>albacore</w:t>
      </w:r>
      <w:r>
        <w:rPr>
          <w:color w:val="000000" w:themeColor="text1"/>
          <w:szCs w:val="22"/>
        </w:rPr>
        <w:t xml:space="preserve"> tuna</w:t>
      </w:r>
      <w:r w:rsidRPr="003C4F7C">
        <w:rPr>
          <w:color w:val="000000" w:themeColor="text1"/>
          <w:szCs w:val="22"/>
        </w:rPr>
        <w:t xml:space="preserve"> biomass, productivity and CPUE. </w:t>
      </w:r>
      <w:r w:rsidR="001B3E3E">
        <w:rPr>
          <w:color w:val="000000" w:themeColor="text1"/>
          <w:szCs w:val="22"/>
        </w:rPr>
        <w:t>The</w:t>
      </w:r>
      <w:r w:rsidRPr="003C4F7C">
        <w:rPr>
          <w:color w:val="000000" w:themeColor="text1"/>
          <w:szCs w:val="22"/>
        </w:rPr>
        <w:t xml:space="preserve"> impacts of piracy in the western Indian Ocean have resulted in the displacement of a substantial portion of longline fishing effort into the traditional albacore fishing areas in the southern and eastern Indian Ocean. </w:t>
      </w:r>
      <w:r w:rsidRPr="001B3E3E">
        <w:rPr>
          <w:color w:val="000000" w:themeColor="text1"/>
          <w:szCs w:val="22"/>
        </w:rPr>
        <w:t xml:space="preserve">With the </w:t>
      </w:r>
      <w:r w:rsidR="00C262CC" w:rsidRPr="001B3E3E">
        <w:rPr>
          <w:color w:val="000000" w:themeColor="text1"/>
          <w:szCs w:val="22"/>
        </w:rPr>
        <w:t xml:space="preserve">decline in </w:t>
      </w:r>
      <w:r w:rsidRPr="001B3E3E">
        <w:rPr>
          <w:color w:val="000000" w:themeColor="text1"/>
          <w:szCs w:val="22"/>
        </w:rPr>
        <w:t xml:space="preserve">the </w:t>
      </w:r>
      <w:r w:rsidR="00C262CC" w:rsidRPr="001B3E3E">
        <w:rPr>
          <w:color w:val="000000" w:themeColor="text1"/>
          <w:szCs w:val="22"/>
        </w:rPr>
        <w:t>threat</w:t>
      </w:r>
      <w:r w:rsidR="00C262CC" w:rsidRPr="002A669B">
        <w:rPr>
          <w:color w:val="000000" w:themeColor="text1"/>
          <w:szCs w:val="22"/>
        </w:rPr>
        <w:t xml:space="preserve"> </w:t>
      </w:r>
      <w:r w:rsidRPr="002A669B">
        <w:rPr>
          <w:color w:val="000000" w:themeColor="text1"/>
          <w:szCs w:val="22"/>
        </w:rPr>
        <w:t>of piracy in recent years</w:t>
      </w:r>
      <w:r w:rsidR="001B3E3E" w:rsidRPr="00710918">
        <w:rPr>
          <w:color w:val="000000" w:themeColor="text1"/>
          <w:szCs w:val="22"/>
        </w:rPr>
        <w:t xml:space="preserve"> – </w:t>
      </w:r>
      <w:r w:rsidR="006B451D" w:rsidRPr="00710918">
        <w:rPr>
          <w:color w:val="000000" w:themeColor="text1"/>
          <w:szCs w:val="22"/>
        </w:rPr>
        <w:t>and the presumption that longline fishing effort in the western Indian Ocean may return to levels similar to years pre-pirac</w:t>
      </w:r>
      <w:r w:rsidR="001B3E3E" w:rsidRPr="00710918">
        <w:rPr>
          <w:color w:val="000000" w:themeColor="text1"/>
          <w:szCs w:val="22"/>
        </w:rPr>
        <w:t xml:space="preserve">y – </w:t>
      </w:r>
      <w:r w:rsidRPr="001B3E3E">
        <w:rPr>
          <w:color w:val="000000" w:themeColor="text1"/>
          <w:szCs w:val="22"/>
        </w:rPr>
        <w:t xml:space="preserve">it is unlikely that catch and effort on albacore will increase in the near future. </w:t>
      </w:r>
      <w:r w:rsidRPr="001B3E3E">
        <w:rPr>
          <w:color w:val="000000" w:themeColor="text1"/>
        </w:rPr>
        <w:t>There is a moderate</w:t>
      </w:r>
      <w:r w:rsidRPr="002A669B">
        <w:rPr>
          <w:color w:val="000000" w:themeColor="text1"/>
        </w:rPr>
        <w:t xml:space="preserve"> probability of exceeding MSY-based reference points by </w:t>
      </w:r>
      <w:r w:rsidRPr="001B3E3E">
        <w:rPr>
          <w:color w:val="000000" w:themeColor="text1"/>
        </w:rPr>
        <w:t>2017 if catches are maintained at 2014 levels (14% probability that SB</w:t>
      </w:r>
      <w:r w:rsidRPr="001B3E3E">
        <w:rPr>
          <w:color w:val="000000" w:themeColor="text1"/>
          <w:vertAlign w:val="subscript"/>
        </w:rPr>
        <w:t>2017</w:t>
      </w:r>
      <w:r w:rsidRPr="001B3E3E">
        <w:rPr>
          <w:color w:val="000000" w:themeColor="text1"/>
        </w:rPr>
        <w:t>&lt;SB</w:t>
      </w:r>
      <w:r w:rsidRPr="001B3E3E">
        <w:rPr>
          <w:color w:val="000000" w:themeColor="text1"/>
          <w:vertAlign w:val="subscript"/>
        </w:rPr>
        <w:t>MSY</w:t>
      </w:r>
      <w:r w:rsidRPr="001B3E3E">
        <w:rPr>
          <w:color w:val="000000" w:themeColor="text1"/>
        </w:rPr>
        <w:t>, and 33% probability that F</w:t>
      </w:r>
      <w:r w:rsidRPr="001B3E3E">
        <w:rPr>
          <w:color w:val="000000" w:themeColor="text1"/>
          <w:vertAlign w:val="subscript"/>
        </w:rPr>
        <w:t>2017</w:t>
      </w:r>
      <w:r w:rsidRPr="001B3E3E">
        <w:rPr>
          <w:color w:val="000000" w:themeColor="text1"/>
        </w:rPr>
        <w:t>&gt;F</w:t>
      </w:r>
      <w:r w:rsidRPr="001B3E3E">
        <w:rPr>
          <w:color w:val="000000" w:themeColor="text1"/>
          <w:vertAlign w:val="subscript"/>
        </w:rPr>
        <w:t>MSY</w:t>
      </w:r>
      <w:r w:rsidRPr="001B3E3E">
        <w:rPr>
          <w:color w:val="000000" w:themeColor="text1"/>
        </w:rPr>
        <w:t>) (</w:t>
      </w:r>
      <w:r w:rsidRPr="001B3E3E">
        <w:rPr>
          <w:b/>
        </w:rPr>
        <w:t>Table 2</w:t>
      </w:r>
      <w:r w:rsidRPr="001B3E3E">
        <w:rPr>
          <w:color w:val="000000" w:themeColor="text1"/>
        </w:rPr>
        <w:t>).</w:t>
      </w:r>
      <w:r w:rsidRPr="00C106D6">
        <w:rPr>
          <w:color w:val="000000" w:themeColor="text1"/>
        </w:rPr>
        <w:t xml:space="preserve"> </w:t>
      </w:r>
    </w:p>
    <w:p w14:paraId="5910F3EE" w14:textId="32BF5185" w:rsidR="00A256A9" w:rsidRPr="0069776A" w:rsidRDefault="00C01866" w:rsidP="00C01866">
      <w:pPr>
        <w:pStyle w:val="IOTCReportNormalNumbered"/>
        <w:numPr>
          <w:ilvl w:val="0"/>
          <w:numId w:val="0"/>
        </w:numPr>
        <w:rPr>
          <w:color w:val="FF0000"/>
          <w:szCs w:val="22"/>
        </w:rPr>
      </w:pPr>
      <w:r w:rsidRPr="006166B1">
        <w:rPr>
          <w:b/>
          <w:i/>
          <w:color w:val="000000" w:themeColor="text1"/>
        </w:rPr>
        <w:lastRenderedPageBreak/>
        <w:t>Management advice.</w:t>
      </w:r>
      <w:r>
        <w:rPr>
          <w:b/>
          <w:i/>
          <w:color w:val="000000" w:themeColor="text1"/>
        </w:rPr>
        <w:t xml:space="preserve"> </w:t>
      </w:r>
      <w:r>
        <w:rPr>
          <w:bCs/>
          <w:color w:val="000000" w:themeColor="text1"/>
          <w:lang w:val="en-AU"/>
        </w:rPr>
        <w:t>A</w:t>
      </w:r>
      <w:r w:rsidRPr="0069776A">
        <w:rPr>
          <w:bCs/>
          <w:color w:val="000000" w:themeColor="text1"/>
          <w:lang w:val="en-AU"/>
        </w:rPr>
        <w:t>lthough considerable uncertainty remains in the SS3 assessment</w:t>
      </w:r>
      <w:r w:rsidR="00C262CC">
        <w:rPr>
          <w:bCs/>
          <w:color w:val="000000" w:themeColor="text1"/>
          <w:lang w:val="en-AU"/>
        </w:rPr>
        <w:t xml:space="preserve"> conducted in 2016</w:t>
      </w:r>
      <w:r w:rsidRPr="0069776A">
        <w:rPr>
          <w:bCs/>
          <w:color w:val="000000" w:themeColor="text1"/>
          <w:lang w:val="en-AU"/>
        </w:rPr>
        <w:t>,</w:t>
      </w:r>
      <w:r>
        <w:rPr>
          <w:bCs/>
          <w:color w:val="000000" w:themeColor="text1"/>
          <w:lang w:val="en-AU"/>
        </w:rPr>
        <w:t xml:space="preserve"> particularly due to the lack of biological information on Indian Ocean albacore tuna stocks,</w:t>
      </w:r>
      <w:r w:rsidRPr="0069776A">
        <w:rPr>
          <w:bCs/>
          <w:color w:val="000000" w:themeColor="text1"/>
          <w:lang w:val="en-AU"/>
        </w:rPr>
        <w:t xml:space="preserve"> a precautionary approach to the management of </w:t>
      </w:r>
      <w:r w:rsidRPr="0069776A">
        <w:t xml:space="preserve">albacore </w:t>
      </w:r>
      <w:r>
        <w:t xml:space="preserve">tuna </w:t>
      </w:r>
      <w:r w:rsidRPr="0069776A">
        <w:t>should</w:t>
      </w:r>
      <w:r w:rsidRPr="0069776A">
        <w:rPr>
          <w:bCs/>
          <w:color w:val="000000" w:themeColor="text1"/>
          <w:lang w:val="en-AU"/>
        </w:rPr>
        <w:t xml:space="preserve"> be applied by </w:t>
      </w:r>
      <w:r w:rsidRPr="0069776A">
        <w:rPr>
          <w:color w:val="000000" w:themeColor="text1"/>
          <w:szCs w:val="22"/>
        </w:rPr>
        <w:t>capping total catch levels to</w:t>
      </w:r>
      <w:r>
        <w:rPr>
          <w:color w:val="000000" w:themeColor="text1"/>
          <w:szCs w:val="22"/>
        </w:rPr>
        <w:t xml:space="preserve"> MSY levels (</w:t>
      </w:r>
      <w:r w:rsidR="00AA2C86">
        <w:rPr>
          <w:color w:val="000000" w:themeColor="text1"/>
          <w:szCs w:val="22"/>
        </w:rPr>
        <w:t>38</w:t>
      </w:r>
      <w:r w:rsidRPr="0069776A">
        <w:rPr>
          <w:color w:val="000000" w:themeColor="text1"/>
          <w:szCs w:val="22"/>
        </w:rPr>
        <w:t>,</w:t>
      </w:r>
      <w:r w:rsidR="00AA2C86">
        <w:rPr>
          <w:color w:val="000000" w:themeColor="text1"/>
          <w:szCs w:val="22"/>
        </w:rPr>
        <w:t>8</w:t>
      </w:r>
      <w:r w:rsidRPr="0069776A">
        <w:rPr>
          <w:color w:val="000000" w:themeColor="text1"/>
          <w:szCs w:val="22"/>
        </w:rPr>
        <w:t xml:space="preserve">00 t; </w:t>
      </w:r>
      <w:r w:rsidRPr="00DE55AE">
        <w:rPr>
          <w:b/>
          <w:szCs w:val="22"/>
        </w:rPr>
        <w:t>Table 2</w:t>
      </w:r>
      <w:r w:rsidRPr="0069776A">
        <w:rPr>
          <w:color w:val="000000" w:themeColor="text1"/>
          <w:szCs w:val="22"/>
        </w:rPr>
        <w:t>).</w:t>
      </w:r>
    </w:p>
    <w:p w14:paraId="0D0830B4" w14:textId="77777777" w:rsidR="00C01866" w:rsidRPr="00D6788A" w:rsidRDefault="00C01866" w:rsidP="00AD1FA1">
      <w:pPr>
        <w:pStyle w:val="IOTCReportNormalNumbered"/>
        <w:numPr>
          <w:ilvl w:val="0"/>
          <w:numId w:val="0"/>
        </w:numPr>
        <w:rPr>
          <w:b/>
          <w:i/>
          <w:color w:val="000000" w:themeColor="text1"/>
          <w:sz w:val="12"/>
        </w:rPr>
      </w:pPr>
    </w:p>
    <w:p w14:paraId="0E4116F3" w14:textId="77777777" w:rsidR="00AD1FA1" w:rsidRPr="0069776A" w:rsidRDefault="00AD1FA1" w:rsidP="00AD1FA1">
      <w:pPr>
        <w:pStyle w:val="IOTCReportNormalNumbered"/>
        <w:numPr>
          <w:ilvl w:val="0"/>
          <w:numId w:val="0"/>
        </w:numPr>
        <w:rPr>
          <w:color w:val="000000" w:themeColor="text1"/>
          <w:szCs w:val="22"/>
        </w:rPr>
      </w:pPr>
      <w:r w:rsidRPr="0069776A">
        <w:rPr>
          <w:color w:val="000000" w:themeColor="text1"/>
          <w:szCs w:val="22"/>
        </w:rPr>
        <w:t>The following should be noted:</w:t>
      </w:r>
    </w:p>
    <w:p w14:paraId="721A2C89" w14:textId="77777777" w:rsidR="00AD1FA1" w:rsidRPr="0069776A" w:rsidRDefault="00AD1FA1" w:rsidP="00AD1FA1">
      <w:pPr>
        <w:pStyle w:val="IOTCReportNormalNumbered"/>
        <w:numPr>
          <w:ilvl w:val="0"/>
          <w:numId w:val="2"/>
        </w:numPr>
        <w:spacing w:before="0"/>
        <w:ind w:left="1134" w:hanging="425"/>
        <w:rPr>
          <w:color w:val="000000" w:themeColor="text1"/>
          <w:szCs w:val="22"/>
        </w:rPr>
      </w:pPr>
      <w:r w:rsidRPr="0069776A">
        <w:rPr>
          <w:color w:val="000000" w:themeColor="text1"/>
          <w:szCs w:val="22"/>
        </w:rPr>
        <w:t>The two primary sources of data that drive the assessment, total catches and CPUE</w:t>
      </w:r>
      <w:r>
        <w:rPr>
          <w:color w:val="000000" w:themeColor="text1"/>
          <w:szCs w:val="22"/>
        </w:rPr>
        <w:t>,</w:t>
      </w:r>
      <w:r w:rsidRPr="0069776A">
        <w:rPr>
          <w:color w:val="000000" w:themeColor="text1"/>
          <w:szCs w:val="22"/>
        </w:rPr>
        <w:t xml:space="preserve"> are highly uncertain and should be developed further as a priority.</w:t>
      </w:r>
    </w:p>
    <w:p w14:paraId="712B6FD0" w14:textId="66BDE974" w:rsidR="00AD1FA1" w:rsidRPr="002A669B" w:rsidRDefault="0074371F" w:rsidP="00AD1FA1">
      <w:pPr>
        <w:pStyle w:val="IOTCReportNormalNumbered"/>
        <w:numPr>
          <w:ilvl w:val="0"/>
          <w:numId w:val="2"/>
        </w:numPr>
        <w:spacing w:before="0"/>
        <w:ind w:left="1134" w:hanging="425"/>
        <w:rPr>
          <w:color w:val="000000" w:themeColor="text1"/>
          <w:szCs w:val="22"/>
        </w:rPr>
      </w:pPr>
      <w:r w:rsidRPr="002A669B">
        <w:rPr>
          <w:color w:val="000000" w:themeColor="text1"/>
          <w:szCs w:val="22"/>
        </w:rPr>
        <w:t>C</w:t>
      </w:r>
      <w:r w:rsidR="00AD1FA1" w:rsidRPr="002A669B">
        <w:rPr>
          <w:color w:val="000000" w:themeColor="text1"/>
          <w:szCs w:val="22"/>
        </w:rPr>
        <w:t xml:space="preserve">atches </w:t>
      </w:r>
      <w:r w:rsidRPr="002A669B">
        <w:rPr>
          <w:color w:val="000000" w:themeColor="text1"/>
          <w:szCs w:val="22"/>
        </w:rPr>
        <w:t>in 201</w:t>
      </w:r>
      <w:r w:rsidR="002A669B">
        <w:rPr>
          <w:color w:val="000000" w:themeColor="text1"/>
          <w:szCs w:val="22"/>
        </w:rPr>
        <w:t>4</w:t>
      </w:r>
      <w:r w:rsidRPr="002A669B">
        <w:rPr>
          <w:color w:val="000000" w:themeColor="text1"/>
          <w:szCs w:val="22"/>
        </w:rPr>
        <w:t xml:space="preserve"> </w:t>
      </w:r>
      <w:r w:rsidR="00AD1FA1" w:rsidRPr="002A669B">
        <w:rPr>
          <w:color w:val="000000" w:themeColor="text1"/>
          <w:szCs w:val="22"/>
        </w:rPr>
        <w:t>(</w:t>
      </w:r>
      <w:r w:rsidRPr="002A669B">
        <w:rPr>
          <w:bCs/>
          <w:kern w:val="24"/>
          <w:szCs w:val="22"/>
          <w:lang w:eastAsia="en-AU"/>
        </w:rPr>
        <w:t>39,507</w:t>
      </w:r>
      <w:r w:rsidRPr="002A669B">
        <w:rPr>
          <w:color w:val="000000" w:themeColor="text1"/>
          <w:szCs w:val="22"/>
        </w:rPr>
        <w:t xml:space="preserve"> t</w:t>
      </w:r>
      <w:r w:rsidR="00DD766B" w:rsidRPr="002A669B">
        <w:rPr>
          <w:color w:val="000000" w:themeColor="text1"/>
          <w:szCs w:val="22"/>
        </w:rPr>
        <w:t xml:space="preserve">) marginally </w:t>
      </w:r>
      <w:r w:rsidRPr="002A669B">
        <w:rPr>
          <w:color w:val="000000" w:themeColor="text1"/>
          <w:szCs w:val="22"/>
        </w:rPr>
        <w:t>exceeded</w:t>
      </w:r>
      <w:r w:rsidR="00AD1FA1" w:rsidRPr="002A669B">
        <w:rPr>
          <w:color w:val="000000" w:themeColor="text1"/>
          <w:szCs w:val="22"/>
        </w:rPr>
        <w:t xml:space="preserve"> MSY levels</w:t>
      </w:r>
      <w:r w:rsidR="002A669B">
        <w:rPr>
          <w:color w:val="000000" w:themeColor="text1"/>
          <w:szCs w:val="22"/>
        </w:rPr>
        <w:t>.</w:t>
      </w:r>
    </w:p>
    <w:p w14:paraId="2A6D7C12" w14:textId="6239B03D" w:rsidR="00AD1FA1" w:rsidRPr="002A669B" w:rsidRDefault="00AD1FA1" w:rsidP="00710918">
      <w:pPr>
        <w:pStyle w:val="IOTCReportNormalNumbered"/>
        <w:numPr>
          <w:ilvl w:val="0"/>
          <w:numId w:val="2"/>
        </w:numPr>
        <w:spacing w:before="0"/>
        <w:ind w:left="1134" w:hanging="425"/>
        <w:rPr>
          <w:color w:val="000000" w:themeColor="text1"/>
          <w:szCs w:val="22"/>
        </w:rPr>
      </w:pPr>
      <w:r w:rsidRPr="002A669B">
        <w:rPr>
          <w:color w:val="000000" w:themeColor="text1"/>
          <w:szCs w:val="22"/>
        </w:rPr>
        <w:t xml:space="preserve">The </w:t>
      </w:r>
      <w:r w:rsidR="0074371F" w:rsidRPr="002A669B">
        <w:rPr>
          <w:color w:val="000000" w:themeColor="text1"/>
          <w:szCs w:val="22"/>
        </w:rPr>
        <w:t>catch estimates for 201</w:t>
      </w:r>
      <w:r w:rsidR="00C262CC" w:rsidRPr="002A669B">
        <w:rPr>
          <w:color w:val="000000" w:themeColor="text1"/>
          <w:szCs w:val="22"/>
        </w:rPr>
        <w:t>7</w:t>
      </w:r>
      <w:r w:rsidR="0074371F" w:rsidRPr="002A669B">
        <w:rPr>
          <w:color w:val="000000" w:themeColor="text1"/>
          <w:szCs w:val="22"/>
        </w:rPr>
        <w:t xml:space="preserve"> (</w:t>
      </w:r>
      <w:r w:rsidR="002A669B" w:rsidRPr="002A669B">
        <w:rPr>
          <w:color w:val="000000" w:themeColor="text1"/>
          <w:szCs w:val="22"/>
        </w:rPr>
        <w:t xml:space="preserve">38,347 </w:t>
      </w:r>
      <w:r w:rsidRPr="002A669B">
        <w:rPr>
          <w:color w:val="000000" w:themeColor="text1"/>
          <w:szCs w:val="22"/>
        </w:rPr>
        <w:t xml:space="preserve">t) are </w:t>
      </w:r>
      <w:r w:rsidR="002A669B">
        <w:rPr>
          <w:color w:val="000000" w:themeColor="text1"/>
          <w:szCs w:val="22"/>
        </w:rPr>
        <w:t xml:space="preserve">marginally </w:t>
      </w:r>
      <w:r w:rsidRPr="002A669B">
        <w:rPr>
          <w:color w:val="000000" w:themeColor="text1"/>
          <w:szCs w:val="22"/>
        </w:rPr>
        <w:t>below the current estimated MSY levels</w:t>
      </w:r>
      <w:r w:rsidR="002A669B">
        <w:rPr>
          <w:color w:val="000000" w:themeColor="text1"/>
          <w:szCs w:val="22"/>
        </w:rPr>
        <w:t xml:space="preserve"> (</w:t>
      </w:r>
      <w:r w:rsidR="002A669B" w:rsidRPr="00710918">
        <w:rPr>
          <w:b/>
          <w:color w:val="000000" w:themeColor="text1"/>
          <w:szCs w:val="22"/>
        </w:rPr>
        <w:t>Table 1</w:t>
      </w:r>
      <w:r w:rsidR="002A669B">
        <w:rPr>
          <w:color w:val="000000" w:themeColor="text1"/>
          <w:szCs w:val="22"/>
        </w:rPr>
        <w:t>).</w:t>
      </w:r>
    </w:p>
    <w:p w14:paraId="453D7B9B" w14:textId="77777777" w:rsidR="00AD1FA1" w:rsidRPr="0069776A" w:rsidRDefault="00AD1FA1" w:rsidP="00AD1FA1">
      <w:pPr>
        <w:pStyle w:val="IOTCReportNormalNumbered"/>
        <w:numPr>
          <w:ilvl w:val="0"/>
          <w:numId w:val="2"/>
        </w:numPr>
        <w:spacing w:before="0"/>
        <w:ind w:left="1134" w:hanging="425"/>
        <w:rPr>
          <w:color w:val="000000" w:themeColor="text1"/>
          <w:szCs w:val="22"/>
        </w:rPr>
      </w:pPr>
      <w:r w:rsidRPr="0069776A">
        <w:rPr>
          <w:color w:val="000000" w:themeColor="text1"/>
          <w:szCs w:val="22"/>
        </w:rPr>
        <w:t>A Kobe 2 Strategy matrix was calculated to quantify the risk of different future catch scenarios, using the projections from the SS3 model (</w:t>
      </w:r>
      <w:r w:rsidRPr="00DE55AE">
        <w:rPr>
          <w:b/>
          <w:szCs w:val="22"/>
        </w:rPr>
        <w:t>Table 2</w:t>
      </w:r>
      <w:r w:rsidRPr="0069776A">
        <w:rPr>
          <w:color w:val="000000" w:themeColor="text1"/>
          <w:szCs w:val="22"/>
        </w:rPr>
        <w:t>).</w:t>
      </w:r>
    </w:p>
    <w:p w14:paraId="62BBC492" w14:textId="5A2AF305" w:rsidR="00AD1FA1" w:rsidRPr="0088483F" w:rsidRDefault="00AD1FA1" w:rsidP="00AD1FA1">
      <w:pPr>
        <w:pStyle w:val="IOTCReportNormalNumbered"/>
        <w:numPr>
          <w:ilvl w:val="0"/>
          <w:numId w:val="2"/>
        </w:numPr>
        <w:spacing w:before="0"/>
        <w:ind w:left="1134" w:hanging="425"/>
        <w:rPr>
          <w:color w:val="000000" w:themeColor="text1"/>
          <w:szCs w:val="22"/>
        </w:rPr>
      </w:pPr>
      <w:r w:rsidRPr="0088483F">
        <w:rPr>
          <w:color w:val="000000" w:themeColor="text1"/>
          <w:szCs w:val="22"/>
        </w:rPr>
        <w:t xml:space="preserve">Provisional reference points: </w:t>
      </w:r>
      <w:r w:rsidR="00C262CC">
        <w:rPr>
          <w:color w:val="000000" w:themeColor="text1"/>
          <w:szCs w:val="22"/>
        </w:rPr>
        <w:t>n</w:t>
      </w:r>
      <w:r w:rsidRPr="0088483F">
        <w:rPr>
          <w:color w:val="000000" w:themeColor="text1"/>
          <w:szCs w:val="22"/>
        </w:rPr>
        <w:t>oting that the Commission in 201</w:t>
      </w:r>
      <w:r>
        <w:rPr>
          <w:color w:val="000000" w:themeColor="text1"/>
          <w:szCs w:val="22"/>
        </w:rPr>
        <w:t>5</w:t>
      </w:r>
      <w:r w:rsidRPr="0088483F">
        <w:rPr>
          <w:color w:val="000000" w:themeColor="text1"/>
          <w:szCs w:val="22"/>
        </w:rPr>
        <w:t xml:space="preserve"> adopted Resolution 15/10 </w:t>
      </w:r>
      <w:r w:rsidRPr="0088483F">
        <w:rPr>
          <w:i/>
          <w:color w:val="000000" w:themeColor="text1"/>
          <w:szCs w:val="22"/>
        </w:rPr>
        <w:t>On interim target and limit reference points and a decision framework</w:t>
      </w:r>
      <w:r w:rsidRPr="0088483F">
        <w:rPr>
          <w:color w:val="000000" w:themeColor="text1"/>
          <w:szCs w:val="22"/>
        </w:rPr>
        <w:t>, the following should be noted:</w:t>
      </w:r>
    </w:p>
    <w:p w14:paraId="5870F805" w14:textId="5F8E6752" w:rsidR="00AD1FA1" w:rsidRPr="0088483F" w:rsidRDefault="00AD1FA1" w:rsidP="00AD1FA1">
      <w:pPr>
        <w:pStyle w:val="IOTCReportNormalNumbered"/>
        <w:numPr>
          <w:ilvl w:val="1"/>
          <w:numId w:val="2"/>
        </w:numPr>
        <w:spacing w:before="0"/>
        <w:rPr>
          <w:color w:val="000000" w:themeColor="text1"/>
          <w:szCs w:val="22"/>
        </w:rPr>
      </w:pPr>
      <w:r w:rsidRPr="0088483F">
        <w:rPr>
          <w:b/>
          <w:color w:val="000000" w:themeColor="text1"/>
          <w:szCs w:val="22"/>
        </w:rPr>
        <w:t>Fishing mortality</w:t>
      </w:r>
      <w:r w:rsidRPr="0088483F">
        <w:rPr>
          <w:color w:val="000000" w:themeColor="text1"/>
          <w:szCs w:val="22"/>
        </w:rPr>
        <w:t>: Current fishing mortality is considered to be below the provisional target reference point of F</w:t>
      </w:r>
      <w:r w:rsidRPr="0088483F">
        <w:rPr>
          <w:color w:val="000000" w:themeColor="text1"/>
          <w:szCs w:val="22"/>
          <w:vertAlign w:val="subscript"/>
        </w:rPr>
        <w:t>MSY</w:t>
      </w:r>
      <w:r w:rsidRPr="0088483F">
        <w:rPr>
          <w:color w:val="000000" w:themeColor="text1"/>
          <w:szCs w:val="22"/>
        </w:rPr>
        <w:t>, and the provisional limit reference point of 1.4*F</w:t>
      </w:r>
      <w:r w:rsidRPr="0088483F">
        <w:rPr>
          <w:color w:val="000000" w:themeColor="text1"/>
          <w:szCs w:val="22"/>
          <w:vertAlign w:val="subscript"/>
        </w:rPr>
        <w:t xml:space="preserve">MSY </w:t>
      </w:r>
      <w:r w:rsidRPr="0088483F">
        <w:rPr>
          <w:color w:val="000000" w:themeColor="text1"/>
          <w:szCs w:val="22"/>
        </w:rPr>
        <w:t>(</w:t>
      </w:r>
      <w:r w:rsidRPr="00DE55AE">
        <w:rPr>
          <w:b/>
          <w:szCs w:val="22"/>
        </w:rPr>
        <w:t xml:space="preserve">Fig. </w:t>
      </w:r>
      <w:r w:rsidR="00A46E9A">
        <w:rPr>
          <w:b/>
          <w:szCs w:val="22"/>
        </w:rPr>
        <w:t>2</w:t>
      </w:r>
      <w:r w:rsidRPr="0088483F">
        <w:rPr>
          <w:color w:val="000000" w:themeColor="text1"/>
          <w:szCs w:val="22"/>
        </w:rPr>
        <w:t>).</w:t>
      </w:r>
    </w:p>
    <w:p w14:paraId="00E7AFA3" w14:textId="751E9718" w:rsidR="00AD1FA1" w:rsidRDefault="00AD1FA1" w:rsidP="00AD1FA1">
      <w:pPr>
        <w:pStyle w:val="IOTCReportNormalNumbered"/>
        <w:numPr>
          <w:ilvl w:val="1"/>
          <w:numId w:val="2"/>
        </w:numPr>
        <w:spacing w:before="0"/>
        <w:rPr>
          <w:color w:val="000000" w:themeColor="text1"/>
          <w:szCs w:val="22"/>
        </w:rPr>
      </w:pPr>
      <w:r w:rsidRPr="0088483F">
        <w:rPr>
          <w:b/>
          <w:color w:val="000000" w:themeColor="text1"/>
          <w:szCs w:val="22"/>
        </w:rPr>
        <w:t>Biomass</w:t>
      </w:r>
      <w:r w:rsidRPr="0088483F">
        <w:rPr>
          <w:color w:val="000000" w:themeColor="text1"/>
          <w:szCs w:val="22"/>
        </w:rPr>
        <w:t xml:space="preserve">: Current spawning biomass is considered to be </w:t>
      </w:r>
      <w:r>
        <w:rPr>
          <w:color w:val="000000" w:themeColor="text1"/>
          <w:szCs w:val="22"/>
        </w:rPr>
        <w:t>above</w:t>
      </w:r>
      <w:r w:rsidRPr="0088483F">
        <w:rPr>
          <w:color w:val="000000" w:themeColor="text1"/>
          <w:szCs w:val="22"/>
        </w:rPr>
        <w:t xml:space="preserve"> the target reference point of SB</w:t>
      </w:r>
      <w:r w:rsidRPr="0088483F">
        <w:rPr>
          <w:color w:val="000000" w:themeColor="text1"/>
          <w:szCs w:val="22"/>
          <w:vertAlign w:val="subscript"/>
        </w:rPr>
        <w:t>MSY</w:t>
      </w:r>
      <w:r w:rsidRPr="0088483F">
        <w:rPr>
          <w:color w:val="000000" w:themeColor="text1"/>
          <w:szCs w:val="22"/>
        </w:rPr>
        <w:t>, and therefore above the limit reference point of 0.4*SB</w:t>
      </w:r>
      <w:r w:rsidRPr="0088483F">
        <w:rPr>
          <w:color w:val="000000" w:themeColor="text1"/>
          <w:szCs w:val="22"/>
          <w:vertAlign w:val="subscript"/>
        </w:rPr>
        <w:t>MSY</w:t>
      </w:r>
      <w:r w:rsidRPr="0088483F">
        <w:rPr>
          <w:color w:val="000000" w:themeColor="text1"/>
          <w:szCs w:val="22"/>
        </w:rPr>
        <w:t xml:space="preserve"> (</w:t>
      </w:r>
      <w:r w:rsidRPr="00DE55AE">
        <w:rPr>
          <w:b/>
          <w:szCs w:val="22"/>
        </w:rPr>
        <w:t xml:space="preserve">Fig. </w:t>
      </w:r>
      <w:r w:rsidR="00A46E9A">
        <w:rPr>
          <w:b/>
          <w:szCs w:val="22"/>
        </w:rPr>
        <w:t>2</w:t>
      </w:r>
      <w:r w:rsidRPr="0088483F">
        <w:rPr>
          <w:color w:val="000000" w:themeColor="text1"/>
          <w:szCs w:val="22"/>
        </w:rPr>
        <w:t>).</w:t>
      </w:r>
    </w:p>
    <w:p w14:paraId="15B1A6D5" w14:textId="4364EDC3" w:rsidR="00010B32" w:rsidRPr="00C41431" w:rsidRDefault="00010B32" w:rsidP="00D6788A">
      <w:pPr>
        <w:pStyle w:val="IOTCReportNormalNumbered"/>
        <w:numPr>
          <w:ilvl w:val="0"/>
          <w:numId w:val="2"/>
        </w:numPr>
        <w:spacing w:before="0"/>
        <w:ind w:left="1134" w:hanging="425"/>
        <w:rPr>
          <w:rFonts w:eastAsia="Calibri"/>
        </w:rPr>
      </w:pPr>
      <w:r w:rsidRPr="00C41431">
        <w:rPr>
          <w:rFonts w:eastAsia="Calibri"/>
          <w:b/>
        </w:rPr>
        <w:t>Main fishing gear (average catches 201</w:t>
      </w:r>
      <w:r w:rsidR="005F4AB4">
        <w:rPr>
          <w:rFonts w:eastAsia="Calibri"/>
          <w:b/>
        </w:rPr>
        <w:t>3</w:t>
      </w:r>
      <w:r w:rsidRPr="00C41431">
        <w:rPr>
          <w:rFonts w:eastAsia="Calibri"/>
          <w:b/>
        </w:rPr>
        <w:t>–1</w:t>
      </w:r>
      <w:r w:rsidR="005F4AB4">
        <w:rPr>
          <w:rFonts w:eastAsia="Calibri"/>
          <w:b/>
        </w:rPr>
        <w:t>7</w:t>
      </w:r>
      <w:r w:rsidRPr="00C41431">
        <w:rPr>
          <w:rFonts w:eastAsia="Calibri"/>
          <w:b/>
        </w:rPr>
        <w:t>)</w:t>
      </w:r>
      <w:r w:rsidRPr="00C41431">
        <w:rPr>
          <w:rFonts w:eastAsia="Calibri"/>
        </w:rPr>
        <w:t xml:space="preserve">: </w:t>
      </w:r>
      <w:r w:rsidR="003E141F">
        <w:t>A</w:t>
      </w:r>
      <w:r w:rsidR="003E141F" w:rsidRPr="003E141F">
        <w:t xml:space="preserve">lbacore tuna are currently caught almost exclusively using drifting </w:t>
      </w:r>
      <w:r w:rsidR="003E141F">
        <w:t xml:space="preserve">longliners, </w:t>
      </w:r>
      <w:r w:rsidR="003E141F" w:rsidRPr="003E141F">
        <w:t xml:space="preserve">with </w:t>
      </w:r>
      <w:r w:rsidR="003E141F">
        <w:t xml:space="preserve">the </w:t>
      </w:r>
      <w:r w:rsidR="003E141F" w:rsidRPr="003E141F">
        <w:t>remaining catches recorded using purse seines and other gears.  Catches from the longline fisheries are split between deep-freezing longliners, and fresh-tuna longliners</w:t>
      </w:r>
      <w:r w:rsidR="0073555C" w:rsidRPr="0073555C">
        <w:rPr>
          <w:rFonts w:eastAsia="Calibri"/>
        </w:rPr>
        <w:t xml:space="preserve"> </w:t>
      </w:r>
      <w:r w:rsidRPr="00C41431">
        <w:rPr>
          <w:rFonts w:eastAsia="Calibri"/>
        </w:rPr>
        <w:t>(Fig. 1).</w:t>
      </w:r>
    </w:p>
    <w:p w14:paraId="5B59E43D" w14:textId="77D6E971" w:rsidR="00010B32" w:rsidRDefault="00010B32" w:rsidP="00D6788A">
      <w:pPr>
        <w:pStyle w:val="IOTCReportNormalNumbered"/>
        <w:numPr>
          <w:ilvl w:val="0"/>
          <w:numId w:val="2"/>
        </w:numPr>
        <w:spacing w:before="0"/>
        <w:ind w:left="1134" w:hanging="425"/>
        <w:rPr>
          <w:rFonts w:eastAsia="Calibri"/>
        </w:rPr>
      </w:pPr>
      <w:r w:rsidRPr="008464DA">
        <w:rPr>
          <w:rFonts w:eastAsia="Calibri"/>
          <w:b/>
        </w:rPr>
        <w:t>Main fleets (average catches 201</w:t>
      </w:r>
      <w:r w:rsidR="005F4AB4">
        <w:rPr>
          <w:rFonts w:eastAsia="Calibri"/>
          <w:b/>
        </w:rPr>
        <w:t>3</w:t>
      </w:r>
      <w:r w:rsidRPr="008464DA">
        <w:rPr>
          <w:rFonts w:eastAsia="Calibri"/>
          <w:b/>
        </w:rPr>
        <w:t>–1</w:t>
      </w:r>
      <w:r w:rsidR="005F4AB4">
        <w:rPr>
          <w:rFonts w:eastAsia="Calibri"/>
          <w:b/>
        </w:rPr>
        <w:t>7</w:t>
      </w:r>
      <w:r w:rsidRPr="008464DA">
        <w:rPr>
          <w:rFonts w:eastAsia="Calibri"/>
          <w:b/>
        </w:rPr>
        <w:t>)</w:t>
      </w:r>
      <w:r w:rsidRPr="008464DA">
        <w:rPr>
          <w:rFonts w:eastAsia="Calibri"/>
        </w:rPr>
        <w:t xml:space="preserve">: </w:t>
      </w:r>
      <w:r w:rsidR="0073555C">
        <w:rPr>
          <w:rFonts w:eastAsia="Calibri"/>
        </w:rPr>
        <w:t xml:space="preserve">The majority of </w:t>
      </w:r>
      <w:r w:rsidR="003E141F">
        <w:rPr>
          <w:rFonts w:eastAsia="Calibri"/>
        </w:rPr>
        <w:t xml:space="preserve">albacore </w:t>
      </w:r>
      <w:r w:rsidR="0073555C">
        <w:rPr>
          <w:rFonts w:eastAsia="Calibri"/>
        </w:rPr>
        <w:t>catches are attributed to vessels flagged to distant water fishing nations (</w:t>
      </w:r>
      <w:r w:rsidR="003E141F">
        <w:rPr>
          <w:rFonts w:eastAsia="Calibri"/>
        </w:rPr>
        <w:t>i.e.,</w:t>
      </w:r>
      <w:r w:rsidR="0073555C">
        <w:rPr>
          <w:rFonts w:eastAsia="Calibri"/>
        </w:rPr>
        <w:t xml:space="preserve"> Taiwan,China</w:t>
      </w:r>
      <w:r w:rsidR="003E141F">
        <w:rPr>
          <w:rFonts w:eastAsia="Calibri"/>
        </w:rPr>
        <w:t xml:space="preserve"> and Japan</w:t>
      </w:r>
      <w:r w:rsidR="0073555C">
        <w:rPr>
          <w:rFonts w:eastAsia="Calibri"/>
        </w:rPr>
        <w:t>)</w:t>
      </w:r>
      <w:r w:rsidR="003E141F">
        <w:rPr>
          <w:rFonts w:eastAsia="Calibri"/>
        </w:rPr>
        <w:t>, followed by</w:t>
      </w:r>
      <w:r w:rsidR="0073555C">
        <w:rPr>
          <w:rFonts w:eastAsia="Calibri"/>
        </w:rPr>
        <w:t xml:space="preserve"> coastal countries such as Indonesia and Malay</w:t>
      </w:r>
      <w:r w:rsidR="003E141F">
        <w:rPr>
          <w:rFonts w:eastAsia="Calibri"/>
        </w:rPr>
        <w:t xml:space="preserve">sia. </w:t>
      </w:r>
    </w:p>
    <w:p w14:paraId="030FF188" w14:textId="77777777" w:rsidR="00010B32" w:rsidRDefault="00010B32" w:rsidP="00D6788A">
      <w:pPr>
        <w:pStyle w:val="IOTCReportNormalNumbered"/>
        <w:numPr>
          <w:ilvl w:val="0"/>
          <w:numId w:val="0"/>
        </w:numPr>
        <w:spacing w:before="0"/>
        <w:ind w:left="502" w:hanging="502"/>
        <w:rPr>
          <w:color w:val="000000" w:themeColor="text1"/>
          <w:szCs w:val="22"/>
        </w:rPr>
      </w:pPr>
    </w:p>
    <w:p w14:paraId="5349AF32" w14:textId="77777777" w:rsidR="00AD1FA1" w:rsidRDefault="00AD1FA1" w:rsidP="00AD1FA1">
      <w:pPr>
        <w:pStyle w:val="IOTCReportNormalNumbered"/>
        <w:numPr>
          <w:ilvl w:val="0"/>
          <w:numId w:val="0"/>
        </w:numPr>
        <w:spacing w:before="0"/>
        <w:ind w:left="1440"/>
        <w:rPr>
          <w:color w:val="000000" w:themeColor="text1"/>
          <w:szCs w:val="22"/>
        </w:rPr>
      </w:pPr>
    </w:p>
    <w:tbl>
      <w:tblPr>
        <w:tblW w:w="10661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61"/>
      </w:tblGrid>
      <w:tr w:rsidR="00A46E9A" w:rsidRPr="006E566E" w14:paraId="293EAE80" w14:textId="77777777" w:rsidTr="0057527B">
        <w:trPr>
          <w:trHeight w:val="1467"/>
          <w:jc w:val="center"/>
        </w:trPr>
        <w:tc>
          <w:tcPr>
            <w:tcW w:w="10661" w:type="dxa"/>
            <w:shd w:val="clear" w:color="auto" w:fill="auto"/>
            <w:tcMar>
              <w:left w:w="115" w:type="dxa"/>
              <w:right w:w="115" w:type="dxa"/>
            </w:tcMar>
          </w:tcPr>
          <w:p w14:paraId="5FFA87F5" w14:textId="1FD8FA5B" w:rsidR="00A46E9A" w:rsidRPr="006E566E" w:rsidRDefault="0057527B" w:rsidP="003E4D5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n-US"/>
              </w:rPr>
              <w:drawing>
                <wp:inline distT="0" distB="0" distL="0" distR="0" wp14:anchorId="4E639B2F" wp14:editId="2D56F0CC">
                  <wp:extent cx="3794914" cy="2752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423" cy="2767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E9A" w:rsidRPr="006E566E" w14:paraId="1696ECED" w14:textId="77777777" w:rsidTr="0057527B">
        <w:trPr>
          <w:trHeight w:val="540"/>
          <w:jc w:val="center"/>
        </w:trPr>
        <w:tc>
          <w:tcPr>
            <w:tcW w:w="10661" w:type="dxa"/>
            <w:shd w:val="clear" w:color="auto" w:fill="auto"/>
            <w:tcMar>
              <w:left w:w="115" w:type="dxa"/>
              <w:right w:w="115" w:type="dxa"/>
            </w:tcMar>
          </w:tcPr>
          <w:p w14:paraId="31B0603E" w14:textId="0AC68532" w:rsidR="00A46E9A" w:rsidRDefault="00A46E9A" w:rsidP="00D67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57527B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Fig. 1.</w:t>
            </w:r>
            <w:r w:rsidRPr="0057527B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Albacor</w:t>
            </w:r>
            <w:r w:rsidR="0074371F" w:rsidRPr="0057527B">
              <w:rPr>
                <w:rFonts w:ascii="Times New Roman" w:eastAsia="Times New Roman" w:hAnsi="Times New Roman" w:cs="Times New Roman"/>
                <w:noProof/>
                <w:lang w:val="en-US"/>
              </w:rPr>
              <w:t>e: Catches of albacore by gear</w:t>
            </w:r>
            <w:r w:rsidR="00B43D5E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(1950-201</w:t>
            </w:r>
            <w:r w:rsidR="002A669B">
              <w:rPr>
                <w:rFonts w:ascii="Times New Roman" w:eastAsia="Times New Roman" w:hAnsi="Times New Roman" w:cs="Times New Roman"/>
                <w:noProof/>
                <w:lang w:val="en-US"/>
              </w:rPr>
              <w:t>7</w:t>
            </w:r>
            <w:r w:rsidR="00B43D5E">
              <w:rPr>
                <w:rFonts w:ascii="Times New Roman" w:eastAsia="Times New Roman" w:hAnsi="Times New Roman" w:cs="Times New Roman"/>
                <w:noProof/>
                <w:lang w:val="en-US"/>
              </w:rPr>
              <w:t>)</w:t>
            </w:r>
            <w:r w:rsidR="007F44DC">
              <w:rPr>
                <w:rStyle w:val="FootnoteReference"/>
                <w:rFonts w:ascii="Times New Roman" w:eastAsia="Times New Roman" w:hAnsi="Times New Roman" w:cs="Times New Roman"/>
                <w:noProof/>
                <w:lang w:val="en-US"/>
              </w:rPr>
              <w:footnoteReference w:id="1"/>
            </w:r>
            <w:r w:rsidR="0074371F" w:rsidRPr="0057527B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.  </w:t>
            </w:r>
          </w:p>
          <w:p w14:paraId="5669094F" w14:textId="77777777" w:rsidR="00A46E9A" w:rsidRPr="006E566E" w:rsidRDefault="00A46E9A" w:rsidP="0061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</w:tbl>
    <w:p w14:paraId="2C54B68D" w14:textId="77777777" w:rsidR="00A46E9A" w:rsidRDefault="00A46E9A" w:rsidP="00AD1FA1">
      <w:pPr>
        <w:pStyle w:val="IOTCReportNormalNumbered"/>
        <w:numPr>
          <w:ilvl w:val="0"/>
          <w:numId w:val="0"/>
        </w:numPr>
        <w:spacing w:before="0"/>
        <w:ind w:left="1440"/>
        <w:rPr>
          <w:color w:val="000000" w:themeColor="text1"/>
          <w:szCs w:val="22"/>
        </w:rPr>
      </w:pPr>
    </w:p>
    <w:p w14:paraId="48EC0CC7" w14:textId="77777777" w:rsidR="00A46E9A" w:rsidRDefault="00A46E9A" w:rsidP="00AD1FA1">
      <w:pPr>
        <w:pStyle w:val="IOTCReportNormalNumbered"/>
        <w:numPr>
          <w:ilvl w:val="0"/>
          <w:numId w:val="0"/>
        </w:numPr>
        <w:spacing w:before="0"/>
        <w:ind w:left="1440"/>
        <w:rPr>
          <w:color w:val="000000" w:themeColor="text1"/>
          <w:szCs w:val="22"/>
        </w:rPr>
      </w:pPr>
    </w:p>
    <w:p w14:paraId="22B2F8B3" w14:textId="77777777" w:rsidR="00A46E9A" w:rsidRPr="0088483F" w:rsidRDefault="00A46E9A" w:rsidP="00AD1FA1">
      <w:pPr>
        <w:pStyle w:val="IOTCReportNormalNumbered"/>
        <w:numPr>
          <w:ilvl w:val="0"/>
          <w:numId w:val="0"/>
        </w:numPr>
        <w:spacing w:before="0"/>
        <w:ind w:left="1440"/>
        <w:rPr>
          <w:color w:val="000000" w:themeColor="text1"/>
          <w:szCs w:val="22"/>
        </w:rPr>
      </w:pPr>
    </w:p>
    <w:p w14:paraId="4CD2E6BC" w14:textId="77777777" w:rsidR="00AD1FA1" w:rsidRPr="00D57CD0" w:rsidRDefault="00AD1FA1" w:rsidP="00AD1FA1">
      <w:pPr>
        <w:keepNext/>
        <w:keepLines/>
        <w:widowControl w:val="0"/>
        <w:spacing w:before="120" w:after="120"/>
        <w:jc w:val="center"/>
        <w:outlineLvl w:val="0"/>
        <w:rPr>
          <w:rFonts w:cs="Arial"/>
          <w:b/>
          <w:bCs/>
          <w:smallCaps/>
          <w:color w:val="FF0000"/>
          <w:kern w:val="32"/>
          <w:lang w:val="en-GB"/>
        </w:rPr>
      </w:pPr>
      <w:r>
        <w:rPr>
          <w:rFonts w:cs="Arial"/>
          <w:b/>
          <w:bCs/>
          <w:smallCaps/>
          <w:noProof/>
          <w:color w:val="FF0000"/>
          <w:kern w:val="32"/>
          <w:lang w:val="en-US"/>
        </w:rPr>
        <w:lastRenderedPageBreak/>
        <w:drawing>
          <wp:inline distT="0" distB="0" distL="0" distR="0" wp14:anchorId="3D2921F8" wp14:editId="37CCCAAE">
            <wp:extent cx="3588327" cy="3588327"/>
            <wp:effectExtent l="0" t="0" r="0" b="0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647" cy="3586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A89DF" w14:textId="3197598C" w:rsidR="00AD1FA1" w:rsidRPr="00AD1FA1" w:rsidRDefault="00AD1FA1" w:rsidP="00AD1FA1">
      <w:pPr>
        <w:keepNext/>
        <w:keepLines/>
        <w:tabs>
          <w:tab w:val="right" w:pos="993"/>
        </w:tabs>
        <w:spacing w:before="120" w:after="120" w:line="240" w:lineRule="auto"/>
        <w:jc w:val="both"/>
        <w:outlineLvl w:val="2"/>
        <w:rPr>
          <w:rFonts w:ascii="Times New Roman" w:eastAsia="MS Mincho" w:hAnsi="Times New Roman" w:cs="Times New Roman"/>
          <w:color w:val="000000" w:themeColor="text1"/>
          <w:lang w:eastAsia="ja-JP"/>
        </w:rPr>
      </w:pPr>
      <w:r w:rsidRPr="00AD1FA1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 xml:space="preserve">Fig. </w:t>
      </w:r>
      <w:r w:rsidR="00A46E9A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2</w:t>
      </w:r>
      <w:r w:rsidRPr="00AD1FA1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.</w:t>
      </w:r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Albacore: SS3 Aggregated Indian Ocean assessment Kobe plot. Blue circles indicate the trajectory of the point estimates for the SB ratio and F ratio for each year 1950–2014 (the grey lines represent the 80 percentiles of the 2014 estimate). Target (F</w:t>
      </w:r>
      <w:r w:rsidRPr="00AD1FA1">
        <w:rPr>
          <w:rFonts w:ascii="Times New Roman" w:eastAsia="MS Mincho" w:hAnsi="Times New Roman" w:cs="Times New Roman"/>
          <w:color w:val="000000" w:themeColor="text1"/>
          <w:vertAlign w:val="subscript"/>
          <w:lang w:eastAsia="ja-JP"/>
        </w:rPr>
        <w:t>targ</w:t>
      </w:r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and SB</w:t>
      </w:r>
      <w:r w:rsidRPr="00AD1FA1">
        <w:rPr>
          <w:rFonts w:ascii="Times New Roman" w:eastAsia="MS Mincho" w:hAnsi="Times New Roman" w:cs="Times New Roman"/>
          <w:color w:val="000000" w:themeColor="text1"/>
          <w:vertAlign w:val="subscript"/>
          <w:lang w:eastAsia="ja-JP"/>
        </w:rPr>
        <w:t>targ</w:t>
      </w:r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>) and limit (F</w:t>
      </w:r>
      <w:r w:rsidRPr="00AD1FA1">
        <w:rPr>
          <w:rFonts w:ascii="Times New Roman" w:eastAsia="MS Mincho" w:hAnsi="Times New Roman" w:cs="Times New Roman"/>
          <w:color w:val="000000" w:themeColor="text1"/>
          <w:vertAlign w:val="subscript"/>
          <w:lang w:eastAsia="ja-JP"/>
        </w:rPr>
        <w:t>lim</w:t>
      </w:r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and SB</w:t>
      </w:r>
      <w:r w:rsidRPr="00AD1FA1">
        <w:rPr>
          <w:rFonts w:ascii="Times New Roman" w:eastAsia="MS Mincho" w:hAnsi="Times New Roman" w:cs="Times New Roman"/>
          <w:color w:val="000000" w:themeColor="text1"/>
          <w:vertAlign w:val="subscript"/>
          <w:lang w:eastAsia="ja-JP"/>
        </w:rPr>
        <w:t>lim</w:t>
      </w:r>
      <w:r w:rsidRPr="00AD1FA1">
        <w:rPr>
          <w:rFonts w:ascii="Times New Roman" w:eastAsia="MS Mincho" w:hAnsi="Times New Roman" w:cs="Times New Roman"/>
          <w:color w:val="000000" w:themeColor="text1"/>
          <w:lang w:eastAsia="ja-JP"/>
        </w:rPr>
        <w:t>) reference points are shown.</w:t>
      </w:r>
    </w:p>
    <w:p w14:paraId="07CF0856" w14:textId="77777777" w:rsidR="00B22096" w:rsidRPr="00B22096" w:rsidRDefault="00B22096" w:rsidP="00FA3D61">
      <w:pPr>
        <w:keepNext/>
        <w:keepLine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lang w:val="en-US" w:eastAsia="fr-FR"/>
        </w:rPr>
      </w:pPr>
      <w:bookmarkStart w:id="12" w:name="ESTable2"/>
      <w:bookmarkEnd w:id="9"/>
      <w:bookmarkEnd w:id="11"/>
    </w:p>
    <w:p w14:paraId="2C7F8C82" w14:textId="447E49CA" w:rsidR="00FA3D61" w:rsidRPr="00FA3D61" w:rsidRDefault="00B22096" w:rsidP="00FA3D61">
      <w:pPr>
        <w:keepNext/>
        <w:keepLines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TABLE</w:t>
      </w:r>
      <w:r w:rsidR="00FA3D61" w:rsidRPr="00FA3D61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Albacore: </w:t>
      </w:r>
      <w:r w:rsidR="00FA3D61" w:rsidRPr="00FA3D61">
        <w:rPr>
          <w:rFonts w:ascii="Times New Roman" w:eastAsia="Times New Roman" w:hAnsi="Times New Roman" w:cs="Times New Roman"/>
          <w:color w:val="000000"/>
          <w:lang w:val="en-US" w:eastAsia="fr-FR"/>
        </w:rPr>
        <w:t>SS3 aggregated Indian Ocean assessment Kobe II Strategy Matrix.</w:t>
      </w:r>
      <w:r w:rsidR="00FA3D61" w:rsidRPr="00FA3D61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 xml:space="preserve"> </w:t>
      </w:r>
      <w:r w:rsidR="00FA3D61" w:rsidRPr="00FA3D61">
        <w:rPr>
          <w:rFonts w:ascii="Times New Roman" w:eastAsia="Times New Roman" w:hAnsi="Times New Roman" w:cs="Times New Roman"/>
          <w:color w:val="000000"/>
          <w:lang w:val="en-GB" w:eastAsia="en-GB"/>
        </w:rPr>
        <w:t>Probability (</w:t>
      </w:r>
      <w:r w:rsidR="00FA3D61" w:rsidRPr="00FA3D61">
        <w:rPr>
          <w:rFonts w:ascii="Times New Roman" w:eastAsia="Times New Roman" w:hAnsi="Times New Roman" w:cs="Times New Roman"/>
          <w:color w:val="000000"/>
          <w:kern w:val="24"/>
          <w:lang w:eastAsia="en-AU"/>
        </w:rPr>
        <w:t xml:space="preserve">percentage) </w:t>
      </w:r>
      <w:r w:rsidR="00FA3D61" w:rsidRPr="00FA3D61">
        <w:rPr>
          <w:rFonts w:ascii="Times New Roman" w:eastAsia="Times New Roman" w:hAnsi="Times New Roman" w:cs="Times New Roman"/>
          <w:color w:val="000000"/>
          <w:lang w:val="en-GB" w:eastAsia="en-GB"/>
        </w:rPr>
        <w:t>of violating the MSY-based target (top) and limit (bottom) reference points for constant catch projections (2014 catch levels</w:t>
      </w:r>
      <w:r w:rsidR="0060641A">
        <w:rPr>
          <w:rFonts w:ascii="Times New Roman" w:eastAsia="Times New Roman" w:hAnsi="Times New Roman" w:cs="Times New Roman"/>
          <w:color w:val="000000"/>
          <w:lang w:val="en-GB" w:eastAsia="en-GB"/>
        </w:rPr>
        <w:t>*</w:t>
      </w:r>
      <w:r w:rsidR="00FA3D61" w:rsidRPr="00FA3D61">
        <w:rPr>
          <w:rFonts w:ascii="Times New Roman" w:eastAsia="Times New Roman" w:hAnsi="Times New Roman" w:cs="Times New Roman"/>
          <w:color w:val="000000"/>
          <w:lang w:val="en-GB" w:eastAsia="en-GB"/>
        </w:rPr>
        <w:t>, ± 10%, ± 20%, ± 30%, and ± 40%) projected for 3 and 10 years.</w:t>
      </w:r>
    </w:p>
    <w:tbl>
      <w:tblPr>
        <w:tblW w:w="1039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3"/>
        <w:gridCol w:w="34"/>
        <w:gridCol w:w="986"/>
        <w:gridCol w:w="900"/>
        <w:gridCol w:w="842"/>
        <w:gridCol w:w="842"/>
        <w:gridCol w:w="900"/>
        <w:gridCol w:w="842"/>
        <w:gridCol w:w="900"/>
        <w:gridCol w:w="900"/>
        <w:gridCol w:w="844"/>
        <w:gridCol w:w="6"/>
      </w:tblGrid>
      <w:tr w:rsidR="00FA3D61" w:rsidRPr="00FA3D61" w14:paraId="770196CF" w14:textId="77777777" w:rsidTr="0042723F">
        <w:trPr>
          <w:trHeight w:val="567"/>
          <w:jc w:val="center"/>
        </w:trPr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2"/>
          <w:p w14:paraId="343E12B8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Reference point and projection timeframe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FF39" w14:textId="5B4F3451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Alternative catch projections (relative to the catch level for 2014</w:t>
            </w:r>
            <w:r w:rsidR="006064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*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) and probability (%) of violating MSY-based target reference points</w:t>
            </w:r>
          </w:p>
          <w:p w14:paraId="402C1A8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(SB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en-AU"/>
              </w:rPr>
              <w:t>targ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 = SB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en-AU"/>
              </w:rPr>
              <w:t>MSY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; F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en-AU"/>
              </w:rPr>
              <w:t>targ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 = F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en-AU"/>
              </w:rPr>
              <w:t>MSY</w:t>
            </w: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FA3D61" w:rsidRPr="00FA3D61" w14:paraId="1239D471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7C2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04C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60%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A6418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70%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26EB4B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C180C66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0942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861442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110%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FB8A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120%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A97A8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130%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8F8F77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140%</w:t>
            </w:r>
          </w:p>
        </w:tc>
      </w:tr>
      <w:tr w:rsidR="00FA3D61" w:rsidRPr="00FA3D61" w14:paraId="5147C75E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7A879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27175B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(23,821)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7B90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(27,791)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2198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(31,761)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9738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(35,731)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10F8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(39,701)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E7F7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(43,671)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C0F7B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(47,641)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4ABE1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(51,611)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A90F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(55,581)</w:t>
            </w:r>
          </w:p>
        </w:tc>
      </w:tr>
      <w:tr w:rsidR="00FA3D61" w:rsidRPr="00FA3D61" w14:paraId="266BDAB3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3C1C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SB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2017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&lt; S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MSY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6EBA5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ADAE1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BBD95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4E0C8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048D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69D46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C390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3CC81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95558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44</w:t>
            </w:r>
          </w:p>
        </w:tc>
      </w:tr>
      <w:tr w:rsidR="00FA3D61" w:rsidRPr="00FA3D61" w14:paraId="3C01A57F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D4A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2017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&gt; 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MSY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8CDE9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02E0C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2336A5D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98429C3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18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2C54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2962DE9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C3665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FB4AE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71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87357F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77</w:t>
            </w:r>
          </w:p>
        </w:tc>
      </w:tr>
      <w:tr w:rsidR="00FA3D61" w:rsidRPr="00FA3D61" w14:paraId="52A7E7B5" w14:textId="77777777" w:rsidTr="0042723F">
        <w:trPr>
          <w:gridAfter w:val="1"/>
          <w:wAfter w:w="6" w:type="dxa"/>
          <w:trHeight w:val="138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D706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3CB8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31B4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839956F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42690B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AFB66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CDB4B0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91BC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ADCBB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AC2EA6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</w:p>
        </w:tc>
      </w:tr>
      <w:tr w:rsidR="00FA3D61" w:rsidRPr="00FA3D61" w14:paraId="769D7816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E69F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SB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2024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&lt; S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MSY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C0967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16B44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34CE80B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9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86ECDC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31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84433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42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CBD1F43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12CC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62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F048F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NA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7AEC3E2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92</w:t>
            </w:r>
          </w:p>
        </w:tc>
      </w:tr>
      <w:tr w:rsidR="00FA3D61" w:rsidRPr="00FA3D61" w14:paraId="7203B8FC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CCAC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sz w:val="20"/>
                <w:szCs w:val="20"/>
                <w:lang w:val="en-GB" w:eastAsia="fr-FR"/>
              </w:rPr>
              <w:t>F</w:t>
            </w:r>
            <w:r w:rsidRPr="00FA3D61">
              <w:rPr>
                <w:rFonts w:ascii="Times New Roman" w:eastAsia="PMingLiU" w:hAnsi="Times New Roman" w:cs="Times New Roman"/>
                <w:bCs/>
                <w:sz w:val="20"/>
                <w:szCs w:val="20"/>
                <w:vertAlign w:val="subscript"/>
                <w:lang w:val="en-GB" w:eastAsia="fr-FR"/>
              </w:rPr>
              <w:t>2024</w:t>
            </w:r>
            <w:r w:rsidRPr="00FA3D6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en-AU"/>
              </w:rPr>
              <w:t xml:space="preserve"> &gt; F</w:t>
            </w:r>
            <w:r w:rsidRPr="00FA3D61">
              <w:rPr>
                <w:rFonts w:ascii="Times New Roman" w:eastAsia="PMingLiU" w:hAnsi="Times New Roman" w:cs="Times New Roman"/>
                <w:bCs/>
                <w:sz w:val="20"/>
                <w:szCs w:val="20"/>
                <w:vertAlign w:val="subscript"/>
                <w:lang w:val="en-GB" w:eastAsia="fr-FR"/>
              </w:rPr>
              <w:t>MSY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C8C85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7A055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ECACC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6DFEE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995E8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39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8ED94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F09D3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8D34C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70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ED6CF" w14:textId="77777777" w:rsidR="00FA3D61" w:rsidRPr="00FA3D61" w:rsidRDefault="00FA3D61" w:rsidP="00FA3D6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100</w:t>
            </w:r>
          </w:p>
        </w:tc>
      </w:tr>
      <w:tr w:rsidR="00FA3D61" w:rsidRPr="00FA3D61" w14:paraId="5656C063" w14:textId="77777777" w:rsidTr="0042723F">
        <w:trPr>
          <w:gridAfter w:val="1"/>
          <w:wAfter w:w="6" w:type="dxa"/>
          <w:trHeight w:val="567"/>
          <w:jc w:val="center"/>
        </w:trPr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C8A1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Reference point and projection timeframe</w:t>
            </w:r>
          </w:p>
        </w:tc>
        <w:tc>
          <w:tcPr>
            <w:tcW w:w="79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98505" w14:textId="0896E05F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Alternative catch projections (relative to the catch level for 2014</w:t>
            </w:r>
            <w:r w:rsidR="00606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*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) and probability (%) of violating MSY-based limit reference points</w:t>
            </w:r>
          </w:p>
          <w:p w14:paraId="1860D84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(SB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en-AU"/>
              </w:rPr>
              <w:t>lim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 = 0.4 </w:t>
            </w:r>
            <w:r w:rsidR="00A36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S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B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en-AU"/>
              </w:rPr>
              <w:t>MSY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; F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en-AU"/>
              </w:rPr>
              <w:t>Lim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 = 1.4 F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en-AU"/>
              </w:rPr>
              <w:t>MSY</w:t>
            </w: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)</w:t>
            </w:r>
          </w:p>
        </w:tc>
      </w:tr>
      <w:tr w:rsidR="00FA3D61" w:rsidRPr="00FA3D61" w14:paraId="7076464A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F7B9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4F3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60%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5C7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70%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A8A7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E8CCF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C70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C2B9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110%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F83B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120%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D33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130%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0A2E6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140%</w:t>
            </w:r>
          </w:p>
        </w:tc>
      </w:tr>
      <w:tr w:rsidR="00FA3D61" w:rsidRPr="00FA3D61" w14:paraId="74344C36" w14:textId="77777777" w:rsidTr="0042723F">
        <w:trPr>
          <w:gridAfter w:val="1"/>
          <w:wAfter w:w="6" w:type="dxa"/>
          <w:trHeight w:val="112"/>
          <w:jc w:val="center"/>
        </w:trPr>
        <w:tc>
          <w:tcPr>
            <w:tcW w:w="2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384F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FAEFF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(23,821)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A9553C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(27,791)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7CE8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(31,761)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A713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(35,731)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583CC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(39,701)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E1408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(43,671)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35876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(47,641)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593B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(51,611)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1909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AU"/>
              </w:rPr>
              <w:t>(55,581)</w:t>
            </w:r>
          </w:p>
        </w:tc>
      </w:tr>
      <w:tr w:rsidR="00FA3D61" w:rsidRPr="00FA3D61" w14:paraId="366DEB2A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BAB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SB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2017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&lt; S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Lim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3C52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EB49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20B3F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6515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C690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6F2C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BF0E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6253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D76A8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</w:t>
            </w:r>
          </w:p>
        </w:tc>
      </w:tr>
      <w:tr w:rsidR="00FA3D61" w:rsidRPr="00FA3D61" w14:paraId="22606B1F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85D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2017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&gt; 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Lim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1A1C9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83CFC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7488CC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54C9B3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B2AF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6DB9F4B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AD31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1FBB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34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0218E6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46</w:t>
            </w:r>
          </w:p>
        </w:tc>
      </w:tr>
      <w:tr w:rsidR="00FA3D61" w:rsidRPr="00FA3D61" w14:paraId="47F136C5" w14:textId="77777777" w:rsidTr="0042723F">
        <w:trPr>
          <w:gridAfter w:val="1"/>
          <w:wAfter w:w="6" w:type="dxa"/>
          <w:trHeight w:val="138"/>
          <w:jc w:val="center"/>
        </w:trPr>
        <w:tc>
          <w:tcPr>
            <w:tcW w:w="2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A411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07D8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D74C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7758EA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3EE2B0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68D2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7910B2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47FD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89A2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78E44C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3D61" w:rsidRPr="00FA3D61" w14:paraId="76C5ED59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116A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SB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2024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&lt; S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B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Lim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BCDED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BC5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48114C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706A82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13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CB67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6A0706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43D57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1EF0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NA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22A95E9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65</w:t>
            </w:r>
          </w:p>
        </w:tc>
      </w:tr>
      <w:tr w:rsidR="00FA3D61" w:rsidRPr="00FA3D61" w14:paraId="2EB9D910" w14:textId="77777777" w:rsidTr="0042723F">
        <w:trPr>
          <w:gridAfter w:val="1"/>
          <w:wAfter w:w="6" w:type="dxa"/>
          <w:trHeight w:val="283"/>
          <w:jc w:val="center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6A24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2024</w:t>
            </w:r>
            <w:r w:rsidRPr="00FA3D6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 xml:space="preserve"> &gt; F</w:t>
            </w:r>
            <w:r w:rsidRPr="00FA3D61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fr-FR"/>
              </w:rPr>
              <w:t>Lim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7B5D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75C3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4C91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E3A2E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AD8F2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17469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BB855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B8D10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60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F8623" w14:textId="77777777" w:rsidR="00FA3D61" w:rsidRPr="00FA3D61" w:rsidRDefault="00FA3D61" w:rsidP="00FA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FA3D6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100</w:t>
            </w:r>
          </w:p>
        </w:tc>
      </w:tr>
    </w:tbl>
    <w:bookmarkEnd w:id="10"/>
    <w:p w14:paraId="3BE19E3A" w14:textId="2DBA334F" w:rsidR="0060641A" w:rsidRPr="00710918" w:rsidRDefault="0060641A" w:rsidP="0060641A">
      <w:pPr>
        <w:spacing w:before="120" w:line="360" w:lineRule="auto"/>
        <w:rPr>
          <w:rFonts w:ascii="Times New Roman" w:eastAsia="MS Mincho" w:hAnsi="Times New Roman" w:cs="Times New Roman"/>
          <w:i/>
          <w:color w:val="000000" w:themeColor="text1"/>
          <w:sz w:val="18"/>
          <w:lang w:eastAsia="ja-JP"/>
        </w:rPr>
      </w:pPr>
      <w:r w:rsidRPr="00710918">
        <w:rPr>
          <w:rFonts w:ascii="Times New Roman" w:eastAsia="MS Mincho" w:hAnsi="Times New Roman" w:cs="Times New Roman"/>
          <w:i/>
          <w:color w:val="000000" w:themeColor="text1"/>
          <w:sz w:val="18"/>
          <w:lang w:eastAsia="ja-JP"/>
        </w:rPr>
        <w:t>* Catches for 2014, at the time of the last albacore assessment conducted in 2016.</w:t>
      </w:r>
    </w:p>
    <w:p w14:paraId="3D25423D" w14:textId="77777777" w:rsidR="00200A64" w:rsidRPr="00620829" w:rsidRDefault="00200A64" w:rsidP="00A46E9A">
      <w:pPr>
        <w:rPr>
          <w:rFonts w:ascii="Times New Roman" w:eastAsia="Times New Roman" w:hAnsi="Times New Roman" w:cs="Arial"/>
          <w:b/>
          <w:bCs/>
          <w:smallCaps/>
          <w:color w:val="FF0000"/>
          <w:kern w:val="32"/>
          <w:sz w:val="24"/>
          <w:szCs w:val="20"/>
          <w:lang w:val="en-GB" w:eastAsia="fr-FR"/>
        </w:rPr>
      </w:pPr>
    </w:p>
    <w:sectPr w:rsidR="00200A64" w:rsidRPr="00620829" w:rsidSect="006B43F4">
      <w:headerReference w:type="default" r:id="rId12"/>
      <w:footerReference w:type="defaul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2FA18" w14:textId="77777777" w:rsidR="00282437" w:rsidRDefault="00282437" w:rsidP="00C33BC0">
      <w:pPr>
        <w:spacing w:after="0" w:line="240" w:lineRule="auto"/>
      </w:pPr>
      <w:r>
        <w:separator/>
      </w:r>
    </w:p>
  </w:endnote>
  <w:endnote w:type="continuationSeparator" w:id="0">
    <w:p w14:paraId="78CC679B" w14:textId="77777777" w:rsidR="00282437" w:rsidRDefault="00282437" w:rsidP="00C3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ITC 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7668" w14:textId="2D69D135" w:rsidR="0042723F" w:rsidRPr="00545983" w:rsidRDefault="0042723F" w:rsidP="0075036F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val="en-GB"/>
      </w:rPr>
    </w:pPr>
    <w:r w:rsidRPr="00545983">
      <w:rPr>
        <w:rFonts w:ascii="Times New Roman" w:eastAsia="Times New Roman" w:hAnsi="Times New Roman" w:cs="Times New Roman"/>
        <w:szCs w:val="20"/>
        <w:lang w:val="en-GB"/>
      </w:rPr>
      <w:t xml:space="preserve">Page </w: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begin"/>
    </w:r>
    <w:r w:rsidRPr="00545983">
      <w:rPr>
        <w:rFonts w:ascii="Times New Roman" w:eastAsia="Times New Roman" w:hAnsi="Times New Roman" w:cs="Times New Roman"/>
        <w:b/>
        <w:bCs/>
        <w:szCs w:val="20"/>
        <w:lang w:val="en-GB"/>
      </w:rPr>
      <w:instrText xml:space="preserve"> PAGE </w:instrTex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separate"/>
    </w:r>
    <w:r w:rsidR="00124228">
      <w:rPr>
        <w:rFonts w:ascii="Times New Roman" w:eastAsia="Times New Roman" w:hAnsi="Times New Roman" w:cs="Times New Roman"/>
        <w:b/>
        <w:bCs/>
        <w:noProof/>
        <w:szCs w:val="20"/>
        <w:lang w:val="en-GB"/>
      </w:rPr>
      <w:t>1</w: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end"/>
    </w:r>
    <w:r w:rsidRPr="00545983">
      <w:rPr>
        <w:rFonts w:ascii="Times New Roman" w:eastAsia="Times New Roman" w:hAnsi="Times New Roman" w:cs="Times New Roman"/>
        <w:szCs w:val="20"/>
        <w:lang w:val="en-GB"/>
      </w:rPr>
      <w:t xml:space="preserve"> of </w: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begin"/>
    </w:r>
    <w:r w:rsidRPr="00545983">
      <w:rPr>
        <w:rFonts w:ascii="Times New Roman" w:eastAsia="Times New Roman" w:hAnsi="Times New Roman" w:cs="Times New Roman"/>
        <w:b/>
        <w:bCs/>
        <w:szCs w:val="20"/>
        <w:lang w:val="en-GB"/>
      </w:rPr>
      <w:instrText xml:space="preserve"> NUMPAGES  </w:instrTex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separate"/>
    </w:r>
    <w:r w:rsidR="00124228">
      <w:rPr>
        <w:rFonts w:ascii="Times New Roman" w:eastAsia="Times New Roman" w:hAnsi="Times New Roman" w:cs="Times New Roman"/>
        <w:b/>
        <w:bCs/>
        <w:noProof/>
        <w:szCs w:val="20"/>
        <w:lang w:val="en-GB"/>
      </w:rPr>
      <w:t>3</w:t>
    </w:r>
    <w:r w:rsidR="00EE1933" w:rsidRPr="00545983">
      <w:rPr>
        <w:rFonts w:ascii="Times New Roman" w:eastAsia="Times New Roman" w:hAnsi="Times New Roman" w:cs="Times New Roman"/>
        <w:b/>
        <w:bCs/>
        <w:sz w:val="24"/>
        <w:szCs w:val="2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DB6C" w14:textId="77777777" w:rsidR="00282437" w:rsidRDefault="00282437" w:rsidP="00C33BC0">
      <w:pPr>
        <w:spacing w:after="0" w:line="240" w:lineRule="auto"/>
      </w:pPr>
      <w:r>
        <w:separator/>
      </w:r>
    </w:p>
  </w:footnote>
  <w:footnote w:type="continuationSeparator" w:id="0">
    <w:p w14:paraId="57A3C263" w14:textId="77777777" w:rsidR="00282437" w:rsidRDefault="00282437" w:rsidP="00C33BC0">
      <w:pPr>
        <w:spacing w:after="0" w:line="240" w:lineRule="auto"/>
      </w:pPr>
      <w:r>
        <w:continuationSeparator/>
      </w:r>
    </w:p>
  </w:footnote>
  <w:footnote w:id="1">
    <w:p w14:paraId="3BE94864" w14:textId="028947C3" w:rsidR="007F44DC" w:rsidRPr="00D6788A" w:rsidRDefault="007F44D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6788A">
        <w:rPr>
          <w:rFonts w:ascii="Times New Roman" w:eastAsia="Times New Roman" w:hAnsi="Times New Roman" w:cs="Times New Roman"/>
          <w:b/>
          <w:noProof/>
          <w:lang w:val="en-US"/>
        </w:rPr>
        <w:t>Definition of fisheries</w:t>
      </w:r>
      <w:r w:rsidRPr="0057527B">
        <w:rPr>
          <w:rFonts w:ascii="Times New Roman" w:eastAsia="Times New Roman" w:hAnsi="Times New Roman" w:cs="Times New Roman"/>
          <w:noProof/>
          <w:lang w:val="en-US"/>
        </w:rPr>
        <w:t>: Driftnet (</w:t>
      </w:r>
      <w:r w:rsidRPr="008F0757">
        <w:rPr>
          <w:rFonts w:ascii="Times New Roman" w:eastAsia="Times New Roman" w:hAnsi="Times New Roman" w:cs="Times New Roman"/>
          <w:b/>
          <w:noProof/>
          <w:lang w:val="en-US"/>
        </w:rPr>
        <w:t>DN; Taiwan,China</w:t>
      </w:r>
      <w:r w:rsidRPr="0057527B">
        <w:rPr>
          <w:rFonts w:ascii="Times New Roman" w:eastAsia="Times New Roman" w:hAnsi="Times New Roman" w:cs="Times New Roman"/>
          <w:noProof/>
          <w:lang w:val="en-US"/>
        </w:rPr>
        <w:t>); Freezing-longline (</w:t>
      </w:r>
      <w:r w:rsidRPr="008F0757">
        <w:rPr>
          <w:rFonts w:ascii="Times New Roman" w:eastAsia="Times New Roman" w:hAnsi="Times New Roman" w:cs="Times New Roman"/>
          <w:b/>
          <w:noProof/>
          <w:lang w:val="en-US"/>
        </w:rPr>
        <w:t>LL</w:t>
      </w:r>
      <w:r w:rsidRPr="0057527B">
        <w:rPr>
          <w:rFonts w:ascii="Times New Roman" w:eastAsia="Times New Roman" w:hAnsi="Times New Roman" w:cs="Times New Roman"/>
          <w:noProof/>
          <w:lang w:val="en-US"/>
        </w:rPr>
        <w:t>); Fresh-tuna longline (</w:t>
      </w:r>
      <w:r w:rsidRPr="008F0757">
        <w:rPr>
          <w:rFonts w:ascii="Times New Roman" w:eastAsia="Times New Roman" w:hAnsi="Times New Roman" w:cs="Times New Roman"/>
          <w:b/>
          <w:noProof/>
          <w:lang w:val="en-US"/>
        </w:rPr>
        <w:t>FLL</w:t>
      </w:r>
      <w:r w:rsidRPr="0057527B">
        <w:rPr>
          <w:rFonts w:ascii="Times New Roman" w:eastAsia="Times New Roman" w:hAnsi="Times New Roman" w:cs="Times New Roman"/>
          <w:noProof/>
          <w:lang w:val="en-US"/>
        </w:rPr>
        <w:t>); Purse seine (</w:t>
      </w:r>
      <w:r w:rsidRPr="008F0757">
        <w:rPr>
          <w:rFonts w:ascii="Times New Roman" w:eastAsia="Times New Roman" w:hAnsi="Times New Roman" w:cs="Times New Roman"/>
          <w:b/>
          <w:noProof/>
          <w:lang w:val="en-US"/>
        </w:rPr>
        <w:t>PS</w:t>
      </w:r>
      <w:r w:rsidRPr="0057527B">
        <w:rPr>
          <w:rFonts w:ascii="Times New Roman" w:eastAsia="Times New Roman" w:hAnsi="Times New Roman" w:cs="Times New Roman"/>
          <w:noProof/>
          <w:lang w:val="en-US"/>
        </w:rPr>
        <w:t>); Other gears nei (</w:t>
      </w:r>
      <w:r w:rsidRPr="008F0757">
        <w:rPr>
          <w:rFonts w:ascii="Times New Roman" w:eastAsia="Times New Roman" w:hAnsi="Times New Roman" w:cs="Times New Roman"/>
          <w:b/>
          <w:noProof/>
          <w:lang w:val="en-US"/>
        </w:rPr>
        <w:t>OT</w:t>
      </w:r>
      <w:r w:rsidRPr="0057527B">
        <w:rPr>
          <w:rFonts w:ascii="Times New Roman" w:eastAsia="Times New Roman" w:hAnsi="Times New Roman" w:cs="Times New Roman"/>
          <w:noProof/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96AC" w14:textId="22AEFF9D" w:rsidR="0042723F" w:rsidRPr="00921D73" w:rsidRDefault="00F62818" w:rsidP="00921D73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773"/>
      </w:tabs>
      <w:rPr>
        <w:rFonts w:ascii="Times New Roman" w:hAnsi="Times New Roman" w:cs="Times New Roman"/>
        <w:sz w:val="32"/>
        <w:lang w:val="en-US"/>
      </w:rPr>
    </w:pPr>
    <w:r w:rsidRPr="00F62818">
      <w:rPr>
        <w:rFonts w:ascii="Times New Roman" w:hAnsi="Times New Roman" w:cs="Times New Roman"/>
        <w:sz w:val="32"/>
        <w:lang w:val="en-US"/>
      </w:rPr>
      <w:t>IOTC-2018-SC21-ES01</w:t>
    </w:r>
    <w:r>
      <w:rPr>
        <w:rFonts w:ascii="Times New Roman" w:hAnsi="Times New Roman" w:cs="Times New Roman"/>
        <w:sz w:val="32"/>
        <w:lang w:val="en-US"/>
      </w:rPr>
      <w:t>:</w:t>
    </w:r>
    <w:r w:rsidRPr="00F62818">
      <w:rPr>
        <w:rFonts w:ascii="Times New Roman" w:hAnsi="Times New Roman" w:cs="Times New Roman"/>
        <w:sz w:val="32"/>
        <w:lang w:val="en-US"/>
      </w:rPr>
      <w:t xml:space="preserve"> </w:t>
    </w:r>
    <w:r w:rsidR="00921D73">
      <w:rPr>
        <w:rFonts w:ascii="Times New Roman" w:hAnsi="Times New Roman" w:cs="Times New Roman"/>
        <w:sz w:val="32"/>
        <w:lang w:val="en-US"/>
      </w:rPr>
      <w:t>Albacore</w:t>
    </w:r>
    <w:r w:rsidR="00921D73" w:rsidRPr="00431D1F">
      <w:rPr>
        <w:rFonts w:ascii="Times New Roman" w:hAnsi="Times New Roman" w:cs="Times New Roman"/>
        <w:sz w:val="32"/>
        <w:lang w:val="en-US"/>
      </w:rPr>
      <w:t xml:space="preserve"> </w:t>
    </w:r>
    <w:r w:rsidR="00921D73">
      <w:rPr>
        <w:rFonts w:ascii="Times New Roman" w:hAnsi="Times New Roman" w:cs="Times New Roman"/>
        <w:sz w:val="32"/>
        <w:lang w:val="en-US"/>
      </w:rPr>
      <w:tab/>
    </w:r>
    <w:r w:rsidR="00702028">
      <w:rPr>
        <w:rFonts w:ascii="Times New Roman" w:hAnsi="Times New Roman" w:cs="Times New Roman"/>
        <w:sz w:val="28"/>
        <w:lang w:val="en-US"/>
      </w:rPr>
      <w:t xml:space="preserve">Updated: </w:t>
    </w:r>
    <w:r w:rsidR="00B402C8">
      <w:rPr>
        <w:rFonts w:ascii="Times New Roman" w:hAnsi="Times New Roman" w:cs="Times New Roman"/>
        <w:sz w:val="28"/>
        <w:lang w:val="en-US"/>
      </w:rPr>
      <w:t>November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9ED"/>
    <w:multiLevelType w:val="hybridMultilevel"/>
    <w:tmpl w:val="F2649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475A"/>
    <w:multiLevelType w:val="hybridMultilevel"/>
    <w:tmpl w:val="E952B180"/>
    <w:lvl w:ilvl="0" w:tplc="817A97CE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5F921FA3"/>
    <w:multiLevelType w:val="hybridMultilevel"/>
    <w:tmpl w:val="CAC09CC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F0317F3"/>
    <w:multiLevelType w:val="hybridMultilevel"/>
    <w:tmpl w:val="012C759C"/>
    <w:lvl w:ilvl="0" w:tplc="817A97CE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78936E0F"/>
    <w:multiLevelType w:val="hybridMultilevel"/>
    <w:tmpl w:val="1532A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16FDF"/>
    <w:multiLevelType w:val="hybridMultilevel"/>
    <w:tmpl w:val="789C5802"/>
    <w:lvl w:ilvl="0" w:tplc="D7D0D87A">
      <w:start w:val="1"/>
      <w:numFmt w:val="decimal"/>
      <w:pStyle w:val="IOTCReportNormalNumbered"/>
      <w:lvlText w:val="%1."/>
      <w:lvlJc w:val="left"/>
      <w:pPr>
        <w:ind w:left="502" w:hanging="502"/>
      </w:pPr>
      <w:rPr>
        <w:rFonts w:hint="default"/>
        <w:b w:val="0"/>
        <w:i w:val="0"/>
      </w:rPr>
    </w:lvl>
    <w:lvl w:ilvl="1" w:tplc="04090017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17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C367AA7"/>
    <w:multiLevelType w:val="hybridMultilevel"/>
    <w:tmpl w:val="5EC8AE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C0"/>
    <w:rsid w:val="00010B32"/>
    <w:rsid w:val="0003789D"/>
    <w:rsid w:val="000411E7"/>
    <w:rsid w:val="00045145"/>
    <w:rsid w:val="00064FF1"/>
    <w:rsid w:val="000B7514"/>
    <w:rsid w:val="000D564C"/>
    <w:rsid w:val="000E3C58"/>
    <w:rsid w:val="000F769E"/>
    <w:rsid w:val="00104960"/>
    <w:rsid w:val="00106A3B"/>
    <w:rsid w:val="00124228"/>
    <w:rsid w:val="00150319"/>
    <w:rsid w:val="00170172"/>
    <w:rsid w:val="001734F1"/>
    <w:rsid w:val="00183A9A"/>
    <w:rsid w:val="00186802"/>
    <w:rsid w:val="00186E9F"/>
    <w:rsid w:val="001900B2"/>
    <w:rsid w:val="001918C1"/>
    <w:rsid w:val="001B3E3E"/>
    <w:rsid w:val="001C2F90"/>
    <w:rsid w:val="001D29A4"/>
    <w:rsid w:val="001E3B07"/>
    <w:rsid w:val="001F43A8"/>
    <w:rsid w:val="00200A64"/>
    <w:rsid w:val="002020E9"/>
    <w:rsid w:val="00206AF6"/>
    <w:rsid w:val="00234A9D"/>
    <w:rsid w:val="00246258"/>
    <w:rsid w:val="00265123"/>
    <w:rsid w:val="00282437"/>
    <w:rsid w:val="00293F8A"/>
    <w:rsid w:val="002A669B"/>
    <w:rsid w:val="002B56A4"/>
    <w:rsid w:val="002D2FA5"/>
    <w:rsid w:val="002E4C6A"/>
    <w:rsid w:val="002E6D83"/>
    <w:rsid w:val="002F7496"/>
    <w:rsid w:val="0032069C"/>
    <w:rsid w:val="003369A9"/>
    <w:rsid w:val="0034058D"/>
    <w:rsid w:val="00340725"/>
    <w:rsid w:val="0034746F"/>
    <w:rsid w:val="00363256"/>
    <w:rsid w:val="00363DD3"/>
    <w:rsid w:val="00364C8D"/>
    <w:rsid w:val="003722D9"/>
    <w:rsid w:val="00372991"/>
    <w:rsid w:val="00382BCD"/>
    <w:rsid w:val="003871B1"/>
    <w:rsid w:val="003979BF"/>
    <w:rsid w:val="003E141F"/>
    <w:rsid w:val="003F2595"/>
    <w:rsid w:val="0042723F"/>
    <w:rsid w:val="0044138D"/>
    <w:rsid w:val="00475341"/>
    <w:rsid w:val="004766BE"/>
    <w:rsid w:val="004A073A"/>
    <w:rsid w:val="004A6965"/>
    <w:rsid w:val="004C157E"/>
    <w:rsid w:val="004E2B94"/>
    <w:rsid w:val="005117DA"/>
    <w:rsid w:val="005214EE"/>
    <w:rsid w:val="00523B46"/>
    <w:rsid w:val="0053577D"/>
    <w:rsid w:val="00537521"/>
    <w:rsid w:val="005458A6"/>
    <w:rsid w:val="00545983"/>
    <w:rsid w:val="005601E2"/>
    <w:rsid w:val="00564924"/>
    <w:rsid w:val="0057527B"/>
    <w:rsid w:val="005860E4"/>
    <w:rsid w:val="005A1289"/>
    <w:rsid w:val="005C0FBF"/>
    <w:rsid w:val="005F4AB4"/>
    <w:rsid w:val="005F4CE4"/>
    <w:rsid w:val="006006DE"/>
    <w:rsid w:val="0060641A"/>
    <w:rsid w:val="006166B1"/>
    <w:rsid w:val="00620829"/>
    <w:rsid w:val="00657EE7"/>
    <w:rsid w:val="00663771"/>
    <w:rsid w:val="0067099C"/>
    <w:rsid w:val="00677530"/>
    <w:rsid w:val="00690E48"/>
    <w:rsid w:val="006B43F4"/>
    <w:rsid w:val="006B451D"/>
    <w:rsid w:val="006C0096"/>
    <w:rsid w:val="006C6C85"/>
    <w:rsid w:val="006F303A"/>
    <w:rsid w:val="006F5188"/>
    <w:rsid w:val="00701CE3"/>
    <w:rsid w:val="00702028"/>
    <w:rsid w:val="00710918"/>
    <w:rsid w:val="00711E7E"/>
    <w:rsid w:val="007274AA"/>
    <w:rsid w:val="0073555C"/>
    <w:rsid w:val="0074371F"/>
    <w:rsid w:val="0075036F"/>
    <w:rsid w:val="00777F3C"/>
    <w:rsid w:val="0078547F"/>
    <w:rsid w:val="007A023A"/>
    <w:rsid w:val="007B5DF8"/>
    <w:rsid w:val="007C0780"/>
    <w:rsid w:val="007F422F"/>
    <w:rsid w:val="007F44DC"/>
    <w:rsid w:val="00807548"/>
    <w:rsid w:val="00874ED6"/>
    <w:rsid w:val="00883C8C"/>
    <w:rsid w:val="008872C0"/>
    <w:rsid w:val="0089036B"/>
    <w:rsid w:val="008927BD"/>
    <w:rsid w:val="00893C85"/>
    <w:rsid w:val="008B1167"/>
    <w:rsid w:val="008D2F92"/>
    <w:rsid w:val="008E79EC"/>
    <w:rsid w:val="008F722F"/>
    <w:rsid w:val="00913B66"/>
    <w:rsid w:val="00917DCF"/>
    <w:rsid w:val="00921D73"/>
    <w:rsid w:val="00956334"/>
    <w:rsid w:val="00957F33"/>
    <w:rsid w:val="00995F02"/>
    <w:rsid w:val="009B7282"/>
    <w:rsid w:val="009C1A1D"/>
    <w:rsid w:val="009D41CD"/>
    <w:rsid w:val="009D665E"/>
    <w:rsid w:val="009F0256"/>
    <w:rsid w:val="00A256A9"/>
    <w:rsid w:val="00A36EC1"/>
    <w:rsid w:val="00A46E9A"/>
    <w:rsid w:val="00A52672"/>
    <w:rsid w:val="00A64B24"/>
    <w:rsid w:val="00AA2C86"/>
    <w:rsid w:val="00AA7D51"/>
    <w:rsid w:val="00AD1FA1"/>
    <w:rsid w:val="00AF379E"/>
    <w:rsid w:val="00B07F7E"/>
    <w:rsid w:val="00B22096"/>
    <w:rsid w:val="00B31D50"/>
    <w:rsid w:val="00B330B4"/>
    <w:rsid w:val="00B402C8"/>
    <w:rsid w:val="00B43D5E"/>
    <w:rsid w:val="00B67CFE"/>
    <w:rsid w:val="00B71650"/>
    <w:rsid w:val="00B85EFB"/>
    <w:rsid w:val="00BC0BE4"/>
    <w:rsid w:val="00BE0721"/>
    <w:rsid w:val="00C01866"/>
    <w:rsid w:val="00C215CE"/>
    <w:rsid w:val="00C248A5"/>
    <w:rsid w:val="00C24DA0"/>
    <w:rsid w:val="00C262CC"/>
    <w:rsid w:val="00C33BC0"/>
    <w:rsid w:val="00C346C0"/>
    <w:rsid w:val="00C50DB9"/>
    <w:rsid w:val="00C55C22"/>
    <w:rsid w:val="00C607F0"/>
    <w:rsid w:val="00C66493"/>
    <w:rsid w:val="00C666B9"/>
    <w:rsid w:val="00C81DC9"/>
    <w:rsid w:val="00C87633"/>
    <w:rsid w:val="00CA083E"/>
    <w:rsid w:val="00CA1E52"/>
    <w:rsid w:val="00CA3DB2"/>
    <w:rsid w:val="00D207DD"/>
    <w:rsid w:val="00D44EC6"/>
    <w:rsid w:val="00D6788A"/>
    <w:rsid w:val="00D9620E"/>
    <w:rsid w:val="00D979D7"/>
    <w:rsid w:val="00DB3503"/>
    <w:rsid w:val="00DC3DEE"/>
    <w:rsid w:val="00DC4F80"/>
    <w:rsid w:val="00DC67A3"/>
    <w:rsid w:val="00DC7072"/>
    <w:rsid w:val="00DD3ABC"/>
    <w:rsid w:val="00DD766B"/>
    <w:rsid w:val="00DE3A2C"/>
    <w:rsid w:val="00DE5BA5"/>
    <w:rsid w:val="00DF3C3B"/>
    <w:rsid w:val="00DF3ECA"/>
    <w:rsid w:val="00E00FC6"/>
    <w:rsid w:val="00E27FD2"/>
    <w:rsid w:val="00E57308"/>
    <w:rsid w:val="00E62D9E"/>
    <w:rsid w:val="00E65D73"/>
    <w:rsid w:val="00E66277"/>
    <w:rsid w:val="00E837A9"/>
    <w:rsid w:val="00E875FD"/>
    <w:rsid w:val="00EB0695"/>
    <w:rsid w:val="00EB213F"/>
    <w:rsid w:val="00EB2182"/>
    <w:rsid w:val="00EE1933"/>
    <w:rsid w:val="00F066B7"/>
    <w:rsid w:val="00F10698"/>
    <w:rsid w:val="00F25FD8"/>
    <w:rsid w:val="00F36AC1"/>
    <w:rsid w:val="00F41D45"/>
    <w:rsid w:val="00F463D9"/>
    <w:rsid w:val="00F52FC6"/>
    <w:rsid w:val="00F62818"/>
    <w:rsid w:val="00F80060"/>
    <w:rsid w:val="00FA3D61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1188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FC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TCReportNormalNumbered">
    <w:name w:val="IOTC Report Normal Numbered"/>
    <w:basedOn w:val="Normal"/>
    <w:qFormat/>
    <w:rsid w:val="00C33BC0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C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3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C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3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C0"/>
    <w:rPr>
      <w:lang w:val="en-AU"/>
    </w:rPr>
  </w:style>
  <w:style w:type="table" w:customStyle="1" w:styleId="TableGrid5">
    <w:name w:val="Table Grid5"/>
    <w:basedOn w:val="TableNormal"/>
    <w:next w:val="TableGrid"/>
    <w:uiPriority w:val="59"/>
    <w:rsid w:val="0034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4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4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46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46F"/>
    <w:rPr>
      <w:b/>
      <w:bCs/>
      <w:sz w:val="20"/>
      <w:szCs w:val="20"/>
      <w:lang w:val="en-AU"/>
    </w:rPr>
  </w:style>
  <w:style w:type="table" w:customStyle="1" w:styleId="TableGrid7">
    <w:name w:val="Table Grid7"/>
    <w:basedOn w:val="TableNormal"/>
    <w:next w:val="TableGrid"/>
    <w:uiPriority w:val="59"/>
    <w:rsid w:val="00883C8C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14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293F8A"/>
    <w:pPr>
      <w:spacing w:after="0" w:line="240" w:lineRule="auto"/>
    </w:pPr>
    <w:rPr>
      <w:lang w:val="en-AU"/>
    </w:rPr>
  </w:style>
  <w:style w:type="table" w:customStyle="1" w:styleId="TableGrid315210">
    <w:name w:val="Table Grid315210"/>
    <w:basedOn w:val="TableNormal"/>
    <w:next w:val="TableGrid"/>
    <w:uiPriority w:val="59"/>
    <w:rsid w:val="002F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3">
    <w:name w:val="Table Grid663"/>
    <w:basedOn w:val="TableNormal"/>
    <w:next w:val="TableGrid"/>
    <w:uiPriority w:val="59"/>
    <w:rsid w:val="00C215C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F44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4DC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F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5CC9-E6AF-4CD2-8F03-304B78C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DWilson</dc:creator>
  <cp:lastModifiedBy>DeBruyn, Paul (FAOSC)</cp:lastModifiedBy>
  <cp:revision>3</cp:revision>
  <cp:lastPrinted>2017-02-06T12:58:00Z</cp:lastPrinted>
  <dcterms:created xsi:type="dcterms:W3CDTF">2018-11-28T05:27:00Z</dcterms:created>
  <dcterms:modified xsi:type="dcterms:W3CDTF">2018-11-30T10:02:00Z</dcterms:modified>
</cp:coreProperties>
</file>