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59DEA" w14:textId="77777777" w:rsidR="00454BD2" w:rsidRPr="009B294D" w:rsidRDefault="00454BD2" w:rsidP="00F134DE">
      <w:pPr>
        <w:rPr>
          <w:rFonts w:ascii="Calibri" w:hAnsi="Calibri" w:cs="Calibri"/>
          <w:color w:val="000000" w:themeColor="text1"/>
        </w:rPr>
      </w:pPr>
    </w:p>
    <w:p w14:paraId="7B37F4BE" w14:textId="77777777" w:rsidR="00392973" w:rsidRPr="009B294D" w:rsidRDefault="00392973" w:rsidP="00F134DE">
      <w:pPr>
        <w:tabs>
          <w:tab w:val="left" w:pos="3272"/>
        </w:tabs>
        <w:rPr>
          <w:rFonts w:ascii="Calibri" w:hAnsi="Calibri" w:cs="Calibri"/>
          <w:color w:val="000000" w:themeColor="text1"/>
        </w:rPr>
      </w:pPr>
    </w:p>
    <w:p w14:paraId="2CB51BF4" w14:textId="77777777" w:rsidR="00392973" w:rsidRPr="009B294D" w:rsidRDefault="00392973" w:rsidP="00F134DE">
      <w:pPr>
        <w:rPr>
          <w:rFonts w:ascii="Calibri" w:hAnsi="Calibri" w:cs="Calibri"/>
          <w:color w:val="000000" w:themeColor="text1"/>
        </w:rPr>
      </w:pPr>
    </w:p>
    <w:p w14:paraId="3AFE2E17" w14:textId="77777777" w:rsidR="00392973" w:rsidRPr="009B294D" w:rsidRDefault="00392973" w:rsidP="00F134DE">
      <w:pPr>
        <w:rPr>
          <w:rFonts w:ascii="Calibri" w:hAnsi="Calibri" w:cs="Calibri"/>
          <w:color w:val="000000" w:themeColor="text1"/>
        </w:rPr>
      </w:pPr>
    </w:p>
    <w:p w14:paraId="443B0903" w14:textId="77777777" w:rsidR="00392973" w:rsidRPr="009B294D" w:rsidRDefault="00392973" w:rsidP="00F134DE">
      <w:pPr>
        <w:rPr>
          <w:rFonts w:ascii="Calibri" w:hAnsi="Calibri" w:cs="Calibri"/>
          <w:color w:val="000000" w:themeColor="text1"/>
        </w:rPr>
      </w:pPr>
    </w:p>
    <w:p w14:paraId="27D59E12" w14:textId="77777777" w:rsidR="00392973" w:rsidRPr="009B294D" w:rsidRDefault="00392973" w:rsidP="00F134DE">
      <w:pPr>
        <w:rPr>
          <w:rFonts w:ascii="Calibri" w:hAnsi="Calibri" w:cs="Calibri"/>
          <w:color w:val="000000" w:themeColor="text1"/>
        </w:rPr>
      </w:pPr>
    </w:p>
    <w:p w14:paraId="491DD42F" w14:textId="77777777" w:rsidR="00392973" w:rsidRPr="009B294D" w:rsidRDefault="00392973" w:rsidP="00F134DE">
      <w:pPr>
        <w:rPr>
          <w:rFonts w:ascii="Calibri" w:hAnsi="Calibri" w:cs="Calibri"/>
          <w:color w:val="000000" w:themeColor="text1"/>
        </w:rPr>
      </w:pPr>
    </w:p>
    <w:p w14:paraId="1861D908" w14:textId="01D0271C" w:rsidR="00392973" w:rsidRPr="009B294D" w:rsidRDefault="00392973" w:rsidP="00D83BEB">
      <w:pPr>
        <w:ind w:left="2694"/>
        <w:rPr>
          <w:rFonts w:ascii="Calibri" w:hAnsi="Calibri" w:cs="Calibri"/>
          <w:color w:val="000000" w:themeColor="text1"/>
          <w:sz w:val="40"/>
          <w:szCs w:val="40"/>
        </w:rPr>
      </w:pPr>
      <w:bookmarkStart w:id="0" w:name="_Toc288920140"/>
      <w:r w:rsidRPr="009B294D">
        <w:rPr>
          <w:rFonts w:ascii="Calibri" w:hAnsi="Calibri" w:cs="Calibri"/>
          <w:color w:val="000000" w:themeColor="text1"/>
          <w:sz w:val="40"/>
          <w:szCs w:val="40"/>
        </w:rPr>
        <w:t xml:space="preserve">Report of the </w:t>
      </w:r>
      <w:r w:rsidR="00DB339D">
        <w:rPr>
          <w:rFonts w:ascii="Calibri" w:hAnsi="Calibri" w:cs="Calibri"/>
          <w:color w:val="000000" w:themeColor="text1"/>
          <w:sz w:val="40"/>
          <w:szCs w:val="40"/>
        </w:rPr>
        <w:t>2</w:t>
      </w:r>
      <w:r w:rsidR="00767287">
        <w:rPr>
          <w:rFonts w:ascii="Calibri" w:hAnsi="Calibri" w:cs="Calibri"/>
          <w:color w:val="000000" w:themeColor="text1"/>
          <w:sz w:val="40"/>
          <w:szCs w:val="40"/>
        </w:rPr>
        <w:t>3</w:t>
      </w:r>
      <w:r w:rsidR="00767287">
        <w:rPr>
          <w:rFonts w:ascii="Calibri" w:hAnsi="Calibri" w:cs="Calibri"/>
          <w:color w:val="000000" w:themeColor="text1"/>
          <w:sz w:val="40"/>
          <w:szCs w:val="40"/>
          <w:vertAlign w:val="superscript"/>
        </w:rPr>
        <w:t>rd</w:t>
      </w:r>
      <w:r w:rsidR="00860AF3">
        <w:rPr>
          <w:rFonts w:ascii="Calibri" w:hAnsi="Calibri" w:cs="Calibri"/>
          <w:color w:val="000000" w:themeColor="text1"/>
          <w:sz w:val="40"/>
          <w:szCs w:val="40"/>
        </w:rPr>
        <w:t xml:space="preserve"> </w:t>
      </w:r>
      <w:r w:rsidRPr="009B294D">
        <w:rPr>
          <w:rFonts w:ascii="Calibri" w:hAnsi="Calibri" w:cs="Calibri"/>
          <w:color w:val="000000" w:themeColor="text1"/>
          <w:sz w:val="40"/>
          <w:szCs w:val="40"/>
        </w:rPr>
        <w:t xml:space="preserve">Session of the </w:t>
      </w:r>
      <w:r w:rsidR="0032017C" w:rsidRPr="009B294D">
        <w:rPr>
          <w:rFonts w:ascii="Calibri" w:hAnsi="Calibri" w:cs="Calibri"/>
          <w:color w:val="000000" w:themeColor="text1"/>
          <w:sz w:val="40"/>
          <w:szCs w:val="40"/>
        </w:rPr>
        <w:t>IOTC Working Party on Billfish</w:t>
      </w:r>
      <w:bookmarkEnd w:id="0"/>
    </w:p>
    <w:p w14:paraId="49EF7DC8" w14:textId="77777777" w:rsidR="00D42E5F" w:rsidRPr="009B294D" w:rsidRDefault="00D42E5F" w:rsidP="00D42E5F">
      <w:pPr>
        <w:rPr>
          <w:rFonts w:ascii="Calibri" w:hAnsi="Calibri" w:cs="Calibri"/>
          <w:color w:val="000000" w:themeColor="text1"/>
        </w:rPr>
      </w:pPr>
    </w:p>
    <w:tbl>
      <w:tblPr>
        <w:tblpPr w:leftFromText="142" w:rightFromText="142" w:vertAnchor="text" w:horzAnchor="margin" w:tblpY="8958"/>
        <w:tblW w:w="10054" w:type="dxa"/>
        <w:tblBorders>
          <w:top w:val="single" w:sz="12" w:space="0" w:color="auto"/>
          <w:bottom w:val="single" w:sz="12" w:space="0" w:color="auto"/>
        </w:tblBorders>
        <w:tblLayout w:type="fixed"/>
        <w:tblLook w:val="0000" w:firstRow="0" w:lastRow="0" w:firstColumn="0" w:lastColumn="0" w:noHBand="0" w:noVBand="0"/>
      </w:tblPr>
      <w:tblGrid>
        <w:gridCol w:w="5243"/>
        <w:gridCol w:w="4811"/>
      </w:tblGrid>
      <w:tr w:rsidR="00F71C10" w:rsidRPr="009B294D" w14:paraId="4D14EE77" w14:textId="77777777" w:rsidTr="00F71C10">
        <w:trPr>
          <w:cantSplit/>
          <w:trHeight w:val="210"/>
        </w:trPr>
        <w:tc>
          <w:tcPr>
            <w:tcW w:w="5243" w:type="dxa"/>
          </w:tcPr>
          <w:p w14:paraId="592C5139" w14:textId="77777777" w:rsidR="00F71C10" w:rsidRPr="009B294D" w:rsidRDefault="00F71C10" w:rsidP="00F71C10">
            <w:pPr>
              <w:tabs>
                <w:tab w:val="left" w:pos="4320"/>
              </w:tabs>
              <w:spacing w:before="6" w:after="6"/>
              <w:rPr>
                <w:rFonts w:ascii="Calibri" w:hAnsi="Calibri" w:cs="Calibri"/>
                <w:b/>
                <w:smallCaps/>
                <w:color w:val="000000" w:themeColor="text1"/>
                <w:sz w:val="20"/>
              </w:rPr>
            </w:pPr>
            <w:bookmarkStart w:id="1" w:name="_Toc214437296"/>
            <w:r w:rsidRPr="009B294D">
              <w:rPr>
                <w:rFonts w:ascii="Calibri" w:hAnsi="Calibri" w:cs="Calibri"/>
                <w:b/>
                <w:smallCaps/>
                <w:color w:val="000000" w:themeColor="text1"/>
                <w:sz w:val="20"/>
              </w:rPr>
              <w:t>Distribution:</w:t>
            </w:r>
          </w:p>
        </w:tc>
        <w:tc>
          <w:tcPr>
            <w:tcW w:w="4811" w:type="dxa"/>
          </w:tcPr>
          <w:p w14:paraId="1434EA80" w14:textId="77777777" w:rsidR="00F71C10" w:rsidRPr="009B294D" w:rsidRDefault="00F71C10" w:rsidP="00F71C10">
            <w:pPr>
              <w:tabs>
                <w:tab w:val="left" w:pos="4320"/>
              </w:tabs>
              <w:spacing w:before="6" w:after="6"/>
              <w:rPr>
                <w:rFonts w:ascii="Calibri" w:hAnsi="Calibri" w:cs="Calibri"/>
                <w:b/>
                <w:color w:val="000000" w:themeColor="text1"/>
                <w:sz w:val="20"/>
              </w:rPr>
            </w:pPr>
            <w:r w:rsidRPr="009B294D">
              <w:rPr>
                <w:rFonts w:ascii="Calibri" w:hAnsi="Calibri" w:cs="Calibri"/>
                <w:b/>
                <w:smallCaps/>
                <w:color w:val="000000" w:themeColor="text1"/>
                <w:sz w:val="20"/>
              </w:rPr>
              <w:t>Bibliographic entry</w:t>
            </w:r>
          </w:p>
        </w:tc>
      </w:tr>
      <w:tr w:rsidR="00F71C10" w:rsidRPr="009B294D" w14:paraId="3293AF27" w14:textId="77777777" w:rsidTr="00F71C10">
        <w:trPr>
          <w:cantSplit/>
        </w:trPr>
        <w:tc>
          <w:tcPr>
            <w:tcW w:w="5243" w:type="dxa"/>
          </w:tcPr>
          <w:p w14:paraId="370D2D63" w14:textId="77777777" w:rsidR="00F71C10" w:rsidRPr="009B294D" w:rsidRDefault="00F71C10" w:rsidP="00F71C10">
            <w:pPr>
              <w:tabs>
                <w:tab w:val="left" w:pos="4320"/>
              </w:tabs>
              <w:spacing w:before="6" w:after="6"/>
              <w:ind w:left="289"/>
              <w:rPr>
                <w:rFonts w:ascii="Calibri" w:hAnsi="Calibri" w:cs="Calibri"/>
                <w:color w:val="000000" w:themeColor="text1"/>
                <w:sz w:val="20"/>
                <w:szCs w:val="20"/>
              </w:rPr>
            </w:pPr>
            <w:r w:rsidRPr="009B294D">
              <w:rPr>
                <w:rFonts w:ascii="Calibri" w:hAnsi="Calibri" w:cs="Calibri"/>
                <w:color w:val="000000" w:themeColor="text1"/>
                <w:sz w:val="20"/>
                <w:szCs w:val="20"/>
              </w:rPr>
              <w:t>Participants in the Session</w:t>
            </w:r>
          </w:p>
          <w:p w14:paraId="0F9306DC" w14:textId="77777777" w:rsidR="00F71C10" w:rsidRPr="009B294D" w:rsidRDefault="00F71C10" w:rsidP="00F71C10">
            <w:pPr>
              <w:tabs>
                <w:tab w:val="left" w:pos="4320"/>
              </w:tabs>
              <w:spacing w:before="6" w:after="6"/>
              <w:ind w:left="289"/>
              <w:rPr>
                <w:rFonts w:ascii="Calibri" w:hAnsi="Calibri" w:cs="Calibri"/>
                <w:color w:val="000000" w:themeColor="text1"/>
                <w:sz w:val="20"/>
                <w:szCs w:val="20"/>
              </w:rPr>
            </w:pPr>
            <w:r w:rsidRPr="009B294D">
              <w:rPr>
                <w:rFonts w:ascii="Calibri" w:hAnsi="Calibri" w:cs="Calibri"/>
                <w:color w:val="000000" w:themeColor="text1"/>
                <w:sz w:val="20"/>
                <w:szCs w:val="20"/>
              </w:rPr>
              <w:t>Members of the Commission</w:t>
            </w:r>
          </w:p>
          <w:p w14:paraId="167ADBE0" w14:textId="77777777" w:rsidR="00F71C10" w:rsidRPr="009B294D" w:rsidRDefault="00F71C10" w:rsidP="00F71C10">
            <w:pPr>
              <w:tabs>
                <w:tab w:val="left" w:pos="4320"/>
              </w:tabs>
              <w:spacing w:before="6" w:after="6"/>
              <w:ind w:left="289"/>
              <w:rPr>
                <w:rFonts w:ascii="Calibri" w:hAnsi="Calibri" w:cs="Calibri"/>
                <w:color w:val="000000" w:themeColor="text1"/>
                <w:sz w:val="20"/>
                <w:szCs w:val="20"/>
              </w:rPr>
            </w:pPr>
            <w:r w:rsidRPr="009B294D">
              <w:rPr>
                <w:rFonts w:ascii="Calibri" w:hAnsi="Calibri" w:cs="Calibri"/>
                <w:color w:val="000000" w:themeColor="text1"/>
                <w:sz w:val="20"/>
                <w:szCs w:val="20"/>
              </w:rPr>
              <w:t>Other interested Nations and International Organizations</w:t>
            </w:r>
          </w:p>
          <w:p w14:paraId="0251CB76" w14:textId="77777777" w:rsidR="00F71C10" w:rsidRPr="009B294D" w:rsidRDefault="00F71C10" w:rsidP="00F71C10">
            <w:pPr>
              <w:tabs>
                <w:tab w:val="left" w:pos="4320"/>
              </w:tabs>
              <w:spacing w:before="6" w:after="6"/>
              <w:ind w:left="289"/>
              <w:rPr>
                <w:rFonts w:ascii="Calibri" w:hAnsi="Calibri" w:cs="Calibri"/>
                <w:color w:val="000000" w:themeColor="text1"/>
                <w:sz w:val="20"/>
                <w:szCs w:val="20"/>
              </w:rPr>
            </w:pPr>
            <w:r w:rsidRPr="009B294D">
              <w:rPr>
                <w:rFonts w:ascii="Calibri" w:hAnsi="Calibri" w:cs="Calibri"/>
                <w:color w:val="000000" w:themeColor="text1"/>
                <w:sz w:val="20"/>
                <w:szCs w:val="20"/>
              </w:rPr>
              <w:t>FAO Fisheries Department</w:t>
            </w:r>
          </w:p>
          <w:p w14:paraId="16F7325B" w14:textId="77777777" w:rsidR="00F71C10" w:rsidRPr="009B294D" w:rsidRDefault="00F71C10" w:rsidP="00F71C10">
            <w:pPr>
              <w:tabs>
                <w:tab w:val="left" w:pos="4320"/>
              </w:tabs>
              <w:spacing w:before="6" w:after="6"/>
              <w:ind w:left="289"/>
              <w:rPr>
                <w:rFonts w:ascii="Calibri" w:hAnsi="Calibri" w:cs="Calibri"/>
                <w:color w:val="000000" w:themeColor="text1"/>
                <w:sz w:val="18"/>
              </w:rPr>
            </w:pPr>
            <w:r w:rsidRPr="009B294D">
              <w:rPr>
                <w:rFonts w:ascii="Calibri" w:hAnsi="Calibri" w:cs="Calibri"/>
                <w:color w:val="000000" w:themeColor="text1"/>
                <w:sz w:val="20"/>
                <w:szCs w:val="20"/>
              </w:rPr>
              <w:t>FAO Regional Fishery Officers</w:t>
            </w:r>
          </w:p>
        </w:tc>
        <w:tc>
          <w:tcPr>
            <w:tcW w:w="4811" w:type="dxa"/>
          </w:tcPr>
          <w:p w14:paraId="2453814A" w14:textId="1A884437" w:rsidR="00F71C10" w:rsidRPr="009B294D" w:rsidRDefault="00F71C10" w:rsidP="00F71C10">
            <w:pPr>
              <w:pStyle w:val="Header"/>
              <w:spacing w:before="6" w:after="6"/>
              <w:rPr>
                <w:rFonts w:ascii="Calibri" w:hAnsi="Calibri" w:cs="Calibri"/>
                <w:i/>
                <w:color w:val="000000" w:themeColor="text1"/>
                <w:sz w:val="20"/>
              </w:rPr>
            </w:pPr>
            <w:r w:rsidRPr="009B294D">
              <w:rPr>
                <w:rFonts w:ascii="Calibri" w:hAnsi="Calibri" w:cs="Calibri"/>
                <w:color w:val="000000" w:themeColor="text1"/>
                <w:sz w:val="20"/>
              </w:rPr>
              <w:t>IOTC–WPB</w:t>
            </w:r>
            <w:r w:rsidR="00DB339D">
              <w:rPr>
                <w:rFonts w:ascii="Calibri" w:hAnsi="Calibri" w:cs="Calibri"/>
                <w:color w:val="000000" w:themeColor="text1"/>
                <w:sz w:val="20"/>
              </w:rPr>
              <w:t>2</w:t>
            </w:r>
            <w:r w:rsidR="00767287">
              <w:rPr>
                <w:rFonts w:ascii="Calibri" w:hAnsi="Calibri" w:cs="Calibri"/>
                <w:color w:val="000000" w:themeColor="text1"/>
                <w:sz w:val="20"/>
              </w:rPr>
              <w:t>3</w:t>
            </w:r>
            <w:r w:rsidRPr="009B294D">
              <w:rPr>
                <w:rFonts w:ascii="Calibri" w:hAnsi="Calibri" w:cs="Calibri"/>
                <w:color w:val="000000" w:themeColor="text1"/>
                <w:sz w:val="20"/>
              </w:rPr>
              <w:t xml:space="preserve"> 20</w:t>
            </w:r>
            <w:r>
              <w:rPr>
                <w:rFonts w:ascii="Calibri" w:hAnsi="Calibri" w:cs="Calibri"/>
                <w:color w:val="000000" w:themeColor="text1"/>
                <w:sz w:val="20"/>
              </w:rPr>
              <w:t>2</w:t>
            </w:r>
            <w:r w:rsidR="00767287">
              <w:rPr>
                <w:rFonts w:ascii="Calibri" w:hAnsi="Calibri" w:cs="Calibri"/>
                <w:color w:val="000000" w:themeColor="text1"/>
                <w:sz w:val="20"/>
              </w:rPr>
              <w:t>5</w:t>
            </w:r>
            <w:r w:rsidRPr="009B294D">
              <w:rPr>
                <w:rFonts w:ascii="Calibri" w:hAnsi="Calibri" w:cs="Calibri"/>
                <w:color w:val="000000" w:themeColor="text1"/>
                <w:sz w:val="20"/>
              </w:rPr>
              <w:t xml:space="preserve">. Report of the </w:t>
            </w:r>
            <w:r w:rsidR="00DB339D">
              <w:rPr>
                <w:rFonts w:ascii="Calibri" w:hAnsi="Calibri" w:cs="Calibri"/>
                <w:color w:val="000000" w:themeColor="text1"/>
                <w:sz w:val="20"/>
              </w:rPr>
              <w:t>2</w:t>
            </w:r>
            <w:r w:rsidR="00767287">
              <w:rPr>
                <w:rFonts w:ascii="Calibri" w:hAnsi="Calibri" w:cs="Calibri"/>
                <w:color w:val="000000" w:themeColor="text1"/>
                <w:sz w:val="20"/>
              </w:rPr>
              <w:t>3</w:t>
            </w:r>
            <w:r w:rsidR="00767287">
              <w:rPr>
                <w:rFonts w:ascii="Calibri" w:hAnsi="Calibri" w:cs="Calibri"/>
                <w:color w:val="000000" w:themeColor="text1"/>
                <w:sz w:val="20"/>
                <w:vertAlign w:val="superscript"/>
              </w:rPr>
              <w:t>rd</w:t>
            </w:r>
            <w:r w:rsidR="00860AF3">
              <w:rPr>
                <w:rFonts w:ascii="Calibri" w:hAnsi="Calibri" w:cs="Calibri"/>
                <w:color w:val="000000" w:themeColor="text1"/>
                <w:sz w:val="20"/>
              </w:rPr>
              <w:t xml:space="preserve"> </w:t>
            </w:r>
            <w:r w:rsidRPr="009B294D">
              <w:rPr>
                <w:rFonts w:ascii="Calibri" w:hAnsi="Calibri" w:cs="Calibri"/>
                <w:color w:val="000000" w:themeColor="text1"/>
                <w:sz w:val="20"/>
              </w:rPr>
              <w:t>Session of the IOTC Working Party on Billfish</w:t>
            </w:r>
            <w:r>
              <w:rPr>
                <w:rFonts w:ascii="Calibri" w:hAnsi="Calibri" w:cs="Calibri"/>
                <w:color w:val="000000" w:themeColor="text1"/>
                <w:sz w:val="20"/>
              </w:rPr>
              <w:t>,</w:t>
            </w:r>
            <w:r>
              <w:t xml:space="preserve"> </w:t>
            </w:r>
            <w:r w:rsidR="00767287">
              <w:rPr>
                <w:rFonts w:ascii="Calibri" w:hAnsi="Calibri" w:cs="Calibri"/>
                <w:color w:val="000000" w:themeColor="text1"/>
                <w:sz w:val="20"/>
              </w:rPr>
              <w:t>IRD</w:t>
            </w:r>
            <w:r w:rsidR="009F2BEA" w:rsidRPr="009F2BEA">
              <w:rPr>
                <w:rFonts w:ascii="Calibri" w:hAnsi="Calibri" w:cs="Calibri"/>
                <w:color w:val="000000" w:themeColor="text1"/>
                <w:sz w:val="20"/>
              </w:rPr>
              <w:t xml:space="preserve">, </w:t>
            </w:r>
            <w:r w:rsidR="00767287">
              <w:rPr>
                <w:rFonts w:ascii="Calibri" w:hAnsi="Calibri" w:cs="Calibri"/>
                <w:color w:val="000000" w:themeColor="text1"/>
                <w:sz w:val="20"/>
              </w:rPr>
              <w:t>Sete, France</w:t>
            </w:r>
            <w:r w:rsidRPr="009B294D">
              <w:rPr>
                <w:rFonts w:ascii="Calibri" w:hAnsi="Calibri" w:cs="Calibri"/>
                <w:color w:val="000000" w:themeColor="text1"/>
                <w:sz w:val="20"/>
              </w:rPr>
              <w:t>, 20</w:t>
            </w:r>
            <w:r>
              <w:rPr>
                <w:rFonts w:ascii="Calibri" w:hAnsi="Calibri" w:cs="Calibri"/>
                <w:color w:val="000000" w:themeColor="text1"/>
                <w:sz w:val="20"/>
              </w:rPr>
              <w:t>2</w:t>
            </w:r>
            <w:r w:rsidR="00767287">
              <w:rPr>
                <w:rFonts w:ascii="Calibri" w:hAnsi="Calibri" w:cs="Calibri"/>
                <w:color w:val="000000" w:themeColor="text1"/>
                <w:sz w:val="20"/>
              </w:rPr>
              <w:t>5</w:t>
            </w:r>
            <w:r w:rsidRPr="009B294D">
              <w:rPr>
                <w:rFonts w:ascii="Calibri" w:hAnsi="Calibri" w:cs="Calibri"/>
                <w:color w:val="000000" w:themeColor="text1"/>
                <w:sz w:val="20"/>
              </w:rPr>
              <w:t xml:space="preserve">. </w:t>
            </w:r>
            <w:r w:rsidRPr="009B294D">
              <w:rPr>
                <w:rFonts w:ascii="Calibri" w:hAnsi="Calibri" w:cs="Calibri"/>
                <w:color w:val="000000" w:themeColor="text1"/>
                <w:sz w:val="20"/>
              </w:rPr>
              <w:br/>
            </w:r>
            <w:r w:rsidRPr="009B294D">
              <w:rPr>
                <w:rFonts w:ascii="Calibri" w:hAnsi="Calibri" w:cs="Calibri"/>
                <w:i/>
                <w:color w:val="000000" w:themeColor="text1"/>
                <w:sz w:val="20"/>
              </w:rPr>
              <w:t>IOTC–20</w:t>
            </w:r>
            <w:r>
              <w:rPr>
                <w:rFonts w:ascii="Calibri" w:hAnsi="Calibri" w:cs="Calibri"/>
                <w:i/>
                <w:color w:val="000000" w:themeColor="text1"/>
                <w:sz w:val="20"/>
              </w:rPr>
              <w:t>2</w:t>
            </w:r>
            <w:r w:rsidR="00767287">
              <w:rPr>
                <w:rFonts w:ascii="Calibri" w:hAnsi="Calibri" w:cs="Calibri"/>
                <w:i/>
                <w:color w:val="000000" w:themeColor="text1"/>
                <w:sz w:val="20"/>
              </w:rPr>
              <w:t>5</w:t>
            </w:r>
            <w:r w:rsidRPr="009B294D">
              <w:rPr>
                <w:rFonts w:ascii="Calibri" w:hAnsi="Calibri" w:cs="Calibri"/>
                <w:i/>
                <w:color w:val="000000" w:themeColor="text1"/>
                <w:sz w:val="20"/>
              </w:rPr>
              <w:t>–WPB</w:t>
            </w:r>
            <w:r w:rsidR="00DB339D">
              <w:rPr>
                <w:rFonts w:ascii="Calibri" w:hAnsi="Calibri" w:cs="Calibri"/>
                <w:i/>
                <w:color w:val="000000" w:themeColor="text1"/>
                <w:sz w:val="20"/>
              </w:rPr>
              <w:t>2</w:t>
            </w:r>
            <w:r w:rsidR="00767287">
              <w:rPr>
                <w:rFonts w:ascii="Calibri" w:hAnsi="Calibri" w:cs="Calibri"/>
                <w:i/>
                <w:color w:val="000000" w:themeColor="text1"/>
                <w:sz w:val="20"/>
              </w:rPr>
              <w:t>3</w:t>
            </w:r>
            <w:r w:rsidRPr="009B294D">
              <w:rPr>
                <w:rFonts w:ascii="Calibri" w:hAnsi="Calibri" w:cs="Calibri"/>
                <w:i/>
                <w:color w:val="000000" w:themeColor="text1"/>
                <w:sz w:val="20"/>
              </w:rPr>
              <w:t xml:space="preserve">–R[E]: </w:t>
            </w:r>
            <w:r w:rsidR="008E1AD4">
              <w:rPr>
                <w:rFonts w:ascii="Calibri" w:hAnsi="Calibri" w:cs="Calibri"/>
                <w:i/>
                <w:sz w:val="20"/>
              </w:rPr>
              <w:t>6</w:t>
            </w:r>
            <w:r w:rsidR="00B24DB6">
              <w:rPr>
                <w:rFonts w:ascii="Calibri" w:eastAsiaTheme="minorEastAsia" w:hAnsi="Calibri" w:cs="Calibri" w:hint="eastAsia"/>
                <w:i/>
                <w:sz w:val="20"/>
                <w:lang w:eastAsia="zh-CN"/>
              </w:rPr>
              <w:t>5</w:t>
            </w:r>
            <w:r w:rsidR="00AD1948" w:rsidRPr="008E1AD4">
              <w:rPr>
                <w:rFonts w:ascii="Calibri" w:hAnsi="Calibri" w:cs="Calibri"/>
                <w:i/>
                <w:sz w:val="20"/>
              </w:rPr>
              <w:t xml:space="preserve"> </w:t>
            </w:r>
            <w:r w:rsidRPr="008E1AD4">
              <w:rPr>
                <w:rFonts w:ascii="Calibri" w:hAnsi="Calibri" w:cs="Calibri"/>
                <w:i/>
                <w:color w:val="000000" w:themeColor="text1"/>
                <w:sz w:val="20"/>
              </w:rPr>
              <w:t>pp.</w:t>
            </w:r>
          </w:p>
        </w:tc>
      </w:tr>
    </w:tbl>
    <w:p w14:paraId="03B92D43" w14:textId="6C412E1C" w:rsidR="00392973" w:rsidRPr="009B294D" w:rsidRDefault="00767287" w:rsidP="00F134DE">
      <w:pPr>
        <w:pBdr>
          <w:top w:val="single" w:sz="4" w:space="1" w:color="auto"/>
        </w:pBdr>
        <w:ind w:left="2700"/>
        <w:rPr>
          <w:rFonts w:ascii="Calibri" w:hAnsi="Calibri" w:cs="Calibri"/>
          <w:color w:val="000000" w:themeColor="text1"/>
          <w:sz w:val="28"/>
          <w:szCs w:val="28"/>
          <w:lang w:val="fr-FR"/>
        </w:rPr>
      </w:pPr>
      <w:r>
        <w:rPr>
          <w:rFonts w:ascii="Calibri" w:hAnsi="Calibri" w:cs="Calibri"/>
          <w:sz w:val="28"/>
          <w:szCs w:val="28"/>
          <w:lang w:val="fr-FR"/>
        </w:rPr>
        <w:t xml:space="preserve">IRD, </w:t>
      </w:r>
      <w:r w:rsidR="00405FD7">
        <w:rPr>
          <w:rFonts w:ascii="Calibri" w:hAnsi="Calibri" w:cs="Calibri"/>
          <w:sz w:val="28"/>
          <w:szCs w:val="28"/>
          <w:lang w:val="fr-FR"/>
        </w:rPr>
        <w:t>Sète</w:t>
      </w:r>
      <w:r>
        <w:rPr>
          <w:rFonts w:ascii="Calibri" w:hAnsi="Calibri" w:cs="Calibri"/>
          <w:sz w:val="28"/>
          <w:szCs w:val="28"/>
          <w:lang w:val="fr-FR"/>
        </w:rPr>
        <w:t>,</w:t>
      </w:r>
      <w:r w:rsidRPr="00313CEB">
        <w:rPr>
          <w:rFonts w:ascii="Calibri" w:hAnsi="Calibri" w:cs="Calibri"/>
          <w:sz w:val="28"/>
          <w:szCs w:val="28"/>
          <w:lang w:val="fr-FR"/>
        </w:rPr>
        <w:t xml:space="preserve"> </w:t>
      </w:r>
      <w:r>
        <w:rPr>
          <w:rFonts w:ascii="Calibri" w:hAnsi="Calibri" w:cs="Calibri"/>
          <w:sz w:val="28"/>
          <w:szCs w:val="28"/>
          <w:lang w:val="fr-FR"/>
        </w:rPr>
        <w:t>France</w:t>
      </w:r>
      <w:r w:rsidR="004620AB" w:rsidRPr="009B294D">
        <w:rPr>
          <w:rFonts w:ascii="Calibri" w:hAnsi="Calibri" w:cs="Calibri"/>
          <w:color w:val="000000" w:themeColor="text1"/>
          <w:sz w:val="28"/>
          <w:szCs w:val="28"/>
          <w:lang w:val="fr-FR"/>
        </w:rPr>
        <w:t xml:space="preserve">, </w:t>
      </w:r>
      <w:r>
        <w:rPr>
          <w:rFonts w:ascii="Calibri" w:hAnsi="Calibri" w:cs="Calibri"/>
          <w:color w:val="000000" w:themeColor="text1"/>
          <w:sz w:val="28"/>
          <w:szCs w:val="28"/>
          <w:lang w:val="fr-FR"/>
        </w:rPr>
        <w:t>15</w:t>
      </w:r>
      <w:r w:rsidR="00A9147A" w:rsidRPr="009B294D">
        <w:rPr>
          <w:rFonts w:ascii="Calibri" w:hAnsi="Calibri" w:cs="Calibri"/>
          <w:color w:val="000000" w:themeColor="text1"/>
          <w:sz w:val="28"/>
          <w:szCs w:val="28"/>
          <w:lang w:val="fr-FR"/>
        </w:rPr>
        <w:t>–</w:t>
      </w:r>
      <w:r>
        <w:rPr>
          <w:rFonts w:ascii="Calibri" w:hAnsi="Calibri" w:cs="Calibri"/>
          <w:color w:val="000000" w:themeColor="text1"/>
          <w:sz w:val="28"/>
          <w:szCs w:val="28"/>
          <w:lang w:val="fr-FR"/>
        </w:rPr>
        <w:t>18</w:t>
      </w:r>
      <w:r w:rsidR="000050DC" w:rsidRPr="004678B5">
        <w:rPr>
          <w:rFonts w:ascii="Calibri" w:hAnsi="Calibri" w:cs="Calibri"/>
          <w:color w:val="000000" w:themeColor="text1"/>
          <w:sz w:val="28"/>
          <w:szCs w:val="28"/>
        </w:rPr>
        <w:t xml:space="preserve"> </w:t>
      </w:r>
      <w:r w:rsidR="004620AB" w:rsidRPr="009B768C">
        <w:rPr>
          <w:rFonts w:ascii="Calibri" w:hAnsi="Calibri" w:cs="Calibri"/>
          <w:color w:val="000000" w:themeColor="text1"/>
          <w:sz w:val="28"/>
          <w:szCs w:val="28"/>
          <w:lang w:val="fr-FR"/>
        </w:rPr>
        <w:t>September</w:t>
      </w:r>
      <w:r w:rsidR="004620AB" w:rsidRPr="009B294D">
        <w:rPr>
          <w:rFonts w:ascii="Calibri" w:hAnsi="Calibri" w:cs="Calibri"/>
          <w:color w:val="000000" w:themeColor="text1"/>
          <w:sz w:val="28"/>
          <w:szCs w:val="28"/>
          <w:lang w:val="fr-FR"/>
        </w:rPr>
        <w:t xml:space="preserve"> 20</w:t>
      </w:r>
      <w:bookmarkEnd w:id="1"/>
      <w:r w:rsidR="00F71C10">
        <w:rPr>
          <w:rFonts w:ascii="Calibri" w:hAnsi="Calibri" w:cs="Calibri"/>
          <w:color w:val="000000" w:themeColor="text1"/>
          <w:sz w:val="28"/>
          <w:szCs w:val="28"/>
          <w:lang w:val="fr-FR"/>
        </w:rPr>
        <w:t>2</w:t>
      </w:r>
      <w:r>
        <w:rPr>
          <w:rFonts w:ascii="Calibri" w:hAnsi="Calibri" w:cs="Calibri"/>
          <w:color w:val="000000" w:themeColor="text1"/>
          <w:sz w:val="28"/>
          <w:szCs w:val="28"/>
          <w:lang w:val="fr-FR"/>
        </w:rPr>
        <w:t>5</w:t>
      </w:r>
    </w:p>
    <w:p w14:paraId="592BF539" w14:textId="77777777" w:rsidR="00D42E5F" w:rsidRPr="009B768C" w:rsidRDefault="00454BD2" w:rsidP="002B27A9">
      <w:pPr>
        <w:rPr>
          <w:sz w:val="19"/>
          <w:szCs w:val="19"/>
          <w:lang w:val="fr-FR"/>
        </w:rPr>
      </w:pPr>
      <w:r w:rsidRPr="009B768C">
        <w:rPr>
          <w:lang w:val="fr-FR"/>
        </w:rPr>
        <w:br w:type="page"/>
      </w:r>
    </w:p>
    <w:p w14:paraId="066B68C6" w14:textId="77777777" w:rsidR="006E4FB5" w:rsidRPr="009B294D" w:rsidRDefault="006E4FB5" w:rsidP="007F4AB5">
      <w:pPr>
        <w:pStyle w:val="BRSVERSOPAGE"/>
        <w:spacing w:before="60" w:afterLines="60" w:after="144"/>
        <w:rPr>
          <w:rFonts w:ascii="Calibri" w:hAnsi="Calibri" w:cs="Calibri"/>
          <w:szCs w:val="19"/>
        </w:rPr>
      </w:pPr>
      <w:r w:rsidRPr="009B294D">
        <w:rPr>
          <w:rFonts w:ascii="Calibri" w:hAnsi="Calibri" w:cs="Calibri"/>
          <w:noProof/>
          <w:lang w:val="en-ZA" w:eastAsia="en-ZA"/>
        </w:rPr>
        <w:lastRenderedPageBreak/>
        <w:drawing>
          <wp:inline distT="0" distB="0" distL="0" distR="0" wp14:anchorId="757A13ED" wp14:editId="675B6288">
            <wp:extent cx="3463200" cy="284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OTC Letterhead.png"/>
                    <pic:cNvPicPr/>
                  </pic:nvPicPr>
                  <pic:blipFill rotWithShape="1">
                    <a:blip r:embed="rId11">
                      <a:extLst>
                        <a:ext uri="{28A0092B-C50C-407E-A947-70E740481C1C}">
                          <a14:useLocalDpi xmlns:a14="http://schemas.microsoft.com/office/drawing/2010/main" val="0"/>
                        </a:ext>
                      </a:extLst>
                    </a:blip>
                    <a:srcRect t="-1" b="2047"/>
                    <a:stretch/>
                  </pic:blipFill>
                  <pic:spPr bwMode="auto">
                    <a:xfrm>
                      <a:off x="0" y="0"/>
                      <a:ext cx="3463200" cy="284400"/>
                    </a:xfrm>
                    <a:prstGeom prst="rect">
                      <a:avLst/>
                    </a:prstGeom>
                    <a:ln>
                      <a:noFill/>
                    </a:ln>
                    <a:extLst>
                      <a:ext uri="{53640926-AAD7-44D8-BBD7-CCE9431645EC}">
                        <a14:shadowObscured xmlns:a14="http://schemas.microsoft.com/office/drawing/2010/main"/>
                      </a:ext>
                    </a:extLst>
                  </pic:spPr>
                </pic:pic>
              </a:graphicData>
            </a:graphic>
          </wp:inline>
        </w:drawing>
      </w:r>
    </w:p>
    <w:p w14:paraId="619F17F8" w14:textId="77777777" w:rsidR="00E44CA4" w:rsidRPr="009B294D" w:rsidRDefault="00E44CA4" w:rsidP="007F4AB5">
      <w:pPr>
        <w:pStyle w:val="VersoPage"/>
        <w:spacing w:afterLines="60" w:after="144" w:line="240" w:lineRule="auto"/>
        <w:jc w:val="both"/>
        <w:rPr>
          <w:rFonts w:ascii="Calibri" w:hAnsi="Calibri" w:cs="Calibri"/>
          <w:color w:val="000000" w:themeColor="text1"/>
          <w:sz w:val="19"/>
          <w:szCs w:val="19"/>
          <w:lang w:val="en-US"/>
        </w:rPr>
      </w:pPr>
      <w:r w:rsidRPr="009B294D">
        <w:rPr>
          <w:rFonts w:ascii="Calibri" w:hAnsi="Calibri" w:cs="Calibri"/>
          <w:color w:val="000000" w:themeColor="text1"/>
          <w:sz w:val="19"/>
          <w:szCs w:val="19"/>
          <w:lang w:val="en-US"/>
        </w:rPr>
        <w:t>The designations employed and the presentation of material in this publication and its lists do not imply the expression of any opinion whatsoever on the part of the Indian Ocean Tuna Commission (IOTC) or the Food and Agriculture Organization (FAO) of the United Nations concerning the legal or development status of any country, territory, city or area or of its authorities, or concerning the delimitation of its frontiers or boundaries.</w:t>
      </w:r>
    </w:p>
    <w:p w14:paraId="2F676D18" w14:textId="77777777" w:rsidR="00E44CA4" w:rsidRPr="009B294D" w:rsidRDefault="00E44CA4" w:rsidP="007F4AB5">
      <w:pPr>
        <w:pStyle w:val="VersoPage"/>
        <w:spacing w:afterLines="60" w:after="144" w:line="240" w:lineRule="auto"/>
        <w:jc w:val="both"/>
        <w:rPr>
          <w:rFonts w:ascii="Calibri" w:hAnsi="Calibri" w:cs="Calibri"/>
          <w:color w:val="000000" w:themeColor="text1"/>
          <w:sz w:val="19"/>
          <w:szCs w:val="19"/>
        </w:rPr>
      </w:pPr>
      <w:r w:rsidRPr="009B294D">
        <w:rPr>
          <w:rFonts w:ascii="Calibri" w:hAnsi="Calibri" w:cs="Calibri"/>
          <w:color w:val="000000" w:themeColor="text1"/>
          <w:sz w:val="19"/>
          <w:szCs w:val="19"/>
        </w:rPr>
        <w:t>This work is copyright. Fair dealing for study, research, news reporting, criticism or review is permitted. Selected passages, tables or diagrams may be reproduced for such purposes provided acknowledgment of the source is included. Major extracts or the entire document may not be reproduced by any process without the written permission of the Executive Secretary, IOTC.</w:t>
      </w:r>
    </w:p>
    <w:p w14:paraId="2DD1100E" w14:textId="77777777" w:rsidR="00E44CA4" w:rsidRPr="009B294D" w:rsidRDefault="00E44CA4" w:rsidP="007F4AB5">
      <w:pPr>
        <w:pStyle w:val="VersoPage"/>
        <w:spacing w:afterLines="60" w:after="144" w:line="240" w:lineRule="auto"/>
        <w:jc w:val="both"/>
        <w:rPr>
          <w:rFonts w:ascii="Calibri" w:hAnsi="Calibri" w:cs="Calibri"/>
          <w:color w:val="000000" w:themeColor="text1"/>
          <w:sz w:val="19"/>
          <w:szCs w:val="19"/>
        </w:rPr>
      </w:pPr>
      <w:r w:rsidRPr="009B294D">
        <w:rPr>
          <w:rFonts w:ascii="Calibri" w:hAnsi="Calibri" w:cs="Calibri"/>
          <w:color w:val="000000" w:themeColor="text1"/>
          <w:sz w:val="19"/>
          <w:szCs w:val="19"/>
        </w:rPr>
        <w:t>The Indian Ocean Tuna Commission has exercised due care and skill in the preparation and compilation of the information and data set out in this publication. Notwithstanding, the Indian Ocean Tuna Commission, employees and advisers disclaim all liability, including liability for negligence, for any loss, damage, injury, expense or cost incurred by any person as a result of accessing, using or relying upon any of the information or data set out in this publication to the maximum extent permitted by law.</w:t>
      </w:r>
    </w:p>
    <w:p w14:paraId="4861B6DC" w14:textId="77777777" w:rsidR="00E44CA4" w:rsidRPr="009B294D" w:rsidRDefault="00E44CA4" w:rsidP="007F4AB5">
      <w:pPr>
        <w:pStyle w:val="VersoPage"/>
        <w:spacing w:afterLines="60" w:after="144" w:line="240" w:lineRule="auto"/>
        <w:jc w:val="both"/>
        <w:rPr>
          <w:rFonts w:ascii="Calibri" w:hAnsi="Calibri" w:cs="Calibri"/>
          <w:color w:val="000000" w:themeColor="text1"/>
          <w:sz w:val="19"/>
          <w:szCs w:val="19"/>
        </w:rPr>
      </w:pPr>
    </w:p>
    <w:p w14:paraId="67B10497" w14:textId="77777777" w:rsidR="00E44CA4" w:rsidRPr="009B294D" w:rsidRDefault="00E44CA4" w:rsidP="007F4AB5">
      <w:pPr>
        <w:pStyle w:val="VersoPage"/>
        <w:spacing w:afterLines="60" w:after="144" w:line="240" w:lineRule="auto"/>
        <w:ind w:left="1134" w:hanging="1134"/>
        <w:rPr>
          <w:rFonts w:ascii="Calibri" w:hAnsi="Calibri" w:cs="Calibri"/>
          <w:color w:val="000000" w:themeColor="text1"/>
          <w:sz w:val="19"/>
          <w:szCs w:val="19"/>
        </w:rPr>
      </w:pPr>
      <w:r w:rsidRPr="009B294D">
        <w:rPr>
          <w:rFonts w:ascii="Calibri" w:hAnsi="Calibri" w:cs="Calibri"/>
          <w:color w:val="000000" w:themeColor="text1"/>
          <w:sz w:val="19"/>
          <w:szCs w:val="19"/>
        </w:rPr>
        <w:t xml:space="preserve">Contact details: </w:t>
      </w:r>
    </w:p>
    <w:p w14:paraId="0D09F990" w14:textId="0FCD38F6" w:rsidR="00E44CA4" w:rsidRPr="009B294D" w:rsidRDefault="00E44CA4" w:rsidP="00E44CA4">
      <w:pPr>
        <w:pStyle w:val="VersoPage"/>
        <w:spacing w:after="0" w:line="240" w:lineRule="auto"/>
        <w:ind w:left="1138"/>
        <w:rPr>
          <w:rFonts w:ascii="Calibri" w:hAnsi="Calibri" w:cs="Calibri"/>
          <w:color w:val="000000" w:themeColor="text1"/>
          <w:sz w:val="19"/>
          <w:szCs w:val="19"/>
        </w:rPr>
      </w:pPr>
      <w:r w:rsidRPr="009B294D">
        <w:rPr>
          <w:rFonts w:ascii="Calibri" w:hAnsi="Calibri" w:cs="Calibri"/>
          <w:color w:val="000000" w:themeColor="text1"/>
          <w:sz w:val="19"/>
          <w:szCs w:val="19"/>
        </w:rPr>
        <w:t xml:space="preserve">Indian Ocean Tuna Commission </w:t>
      </w:r>
      <w:r w:rsidRPr="009B294D">
        <w:rPr>
          <w:rFonts w:ascii="Calibri" w:hAnsi="Calibri" w:cs="Calibri"/>
          <w:color w:val="000000" w:themeColor="text1"/>
          <w:sz w:val="19"/>
          <w:szCs w:val="19"/>
        </w:rPr>
        <w:br/>
      </w:r>
      <w:r w:rsidR="00DB203F">
        <w:rPr>
          <w:rFonts w:ascii="Calibri" w:hAnsi="Calibri" w:cs="Calibri"/>
          <w:color w:val="000000" w:themeColor="text1"/>
          <w:sz w:val="19"/>
          <w:szCs w:val="19"/>
        </w:rPr>
        <w:t>Blend Seychelles</w:t>
      </w:r>
    </w:p>
    <w:p w14:paraId="52B7C195" w14:textId="4F0EEE16" w:rsidR="00E44CA4" w:rsidRPr="009B294D" w:rsidRDefault="00E44CA4" w:rsidP="00E44CA4">
      <w:pPr>
        <w:pStyle w:val="VersoPage"/>
        <w:spacing w:after="0" w:line="240" w:lineRule="auto"/>
        <w:ind w:left="1138"/>
        <w:rPr>
          <w:rFonts w:ascii="Calibri" w:hAnsi="Calibri" w:cs="Calibri"/>
          <w:color w:val="000000" w:themeColor="text1"/>
          <w:sz w:val="19"/>
          <w:szCs w:val="19"/>
        </w:rPr>
      </w:pPr>
      <w:r w:rsidRPr="009B294D">
        <w:rPr>
          <w:rFonts w:ascii="Calibri" w:hAnsi="Calibri" w:cs="Calibri"/>
          <w:color w:val="000000" w:themeColor="text1"/>
          <w:sz w:val="19"/>
          <w:szCs w:val="19"/>
        </w:rPr>
        <w:t>PO Box 1011</w:t>
      </w:r>
      <w:r w:rsidRPr="009B294D">
        <w:rPr>
          <w:rFonts w:ascii="Calibri" w:hAnsi="Calibri" w:cs="Calibri"/>
          <w:color w:val="000000" w:themeColor="text1"/>
          <w:sz w:val="19"/>
          <w:szCs w:val="19"/>
        </w:rPr>
        <w:br/>
      </w:r>
      <w:r w:rsidR="00DB203F">
        <w:rPr>
          <w:rFonts w:ascii="Calibri" w:hAnsi="Calibri" w:cs="Calibri"/>
          <w:color w:val="000000" w:themeColor="text1"/>
          <w:sz w:val="19"/>
          <w:szCs w:val="19"/>
        </w:rPr>
        <w:t>Providence</w:t>
      </w:r>
      <w:r w:rsidRPr="009B294D">
        <w:rPr>
          <w:rFonts w:ascii="Calibri" w:hAnsi="Calibri" w:cs="Calibri"/>
          <w:color w:val="000000" w:themeColor="text1"/>
          <w:sz w:val="19"/>
          <w:szCs w:val="19"/>
        </w:rPr>
        <w:t>, Mahé, Seychelles</w:t>
      </w:r>
    </w:p>
    <w:p w14:paraId="6E8A5AC6" w14:textId="77777777" w:rsidR="00E44CA4" w:rsidRPr="009B294D" w:rsidRDefault="00E44CA4" w:rsidP="00E44CA4">
      <w:pPr>
        <w:pStyle w:val="VersoPage"/>
        <w:spacing w:after="0" w:line="240" w:lineRule="auto"/>
        <w:ind w:left="1138" w:hanging="1134"/>
        <w:rPr>
          <w:rFonts w:ascii="Calibri" w:hAnsi="Calibri" w:cs="Calibri"/>
          <w:color w:val="000000" w:themeColor="text1"/>
          <w:sz w:val="19"/>
          <w:szCs w:val="19"/>
        </w:rPr>
      </w:pPr>
      <w:r w:rsidRPr="009B294D">
        <w:rPr>
          <w:rFonts w:ascii="Calibri" w:hAnsi="Calibri" w:cs="Calibri"/>
          <w:color w:val="000000" w:themeColor="text1"/>
          <w:sz w:val="19"/>
          <w:szCs w:val="19"/>
        </w:rPr>
        <w:tab/>
        <w:t xml:space="preserve">Ph: </w:t>
      </w:r>
      <w:r w:rsidRPr="009B294D">
        <w:rPr>
          <w:rFonts w:ascii="Calibri" w:hAnsi="Calibri" w:cs="Calibri"/>
          <w:color w:val="000000" w:themeColor="text1"/>
          <w:sz w:val="19"/>
          <w:szCs w:val="19"/>
        </w:rPr>
        <w:tab/>
        <w:t>+248 4225 494</w:t>
      </w:r>
    </w:p>
    <w:p w14:paraId="4CC9627A" w14:textId="77777777" w:rsidR="00E44CA4" w:rsidRPr="009B294D" w:rsidRDefault="00E44CA4" w:rsidP="00E44CA4">
      <w:pPr>
        <w:pStyle w:val="VersoPage"/>
        <w:spacing w:after="0" w:line="240" w:lineRule="auto"/>
        <w:ind w:left="1138" w:hanging="1134"/>
        <w:rPr>
          <w:rFonts w:ascii="Calibri" w:hAnsi="Calibri" w:cs="Calibri"/>
          <w:color w:val="000000" w:themeColor="text1"/>
          <w:sz w:val="19"/>
          <w:szCs w:val="19"/>
        </w:rPr>
      </w:pPr>
      <w:r w:rsidRPr="009B294D">
        <w:rPr>
          <w:rFonts w:ascii="Calibri" w:hAnsi="Calibri" w:cs="Calibri"/>
          <w:color w:val="000000" w:themeColor="text1"/>
          <w:sz w:val="19"/>
          <w:szCs w:val="19"/>
        </w:rPr>
        <w:tab/>
      </w:r>
      <w:r w:rsidRPr="009B294D">
        <w:rPr>
          <w:rFonts w:ascii="Calibri" w:hAnsi="Calibri" w:cs="Calibri"/>
          <w:color w:val="000000" w:themeColor="text1"/>
          <w:sz w:val="19"/>
          <w:szCs w:val="19"/>
          <w:lang w:val="en-US"/>
        </w:rPr>
        <w:t>Fax: +248 4224 364</w:t>
      </w:r>
    </w:p>
    <w:p w14:paraId="64D3C898" w14:textId="77777777" w:rsidR="00E44CA4" w:rsidRPr="009B294D" w:rsidRDefault="00E44CA4" w:rsidP="00E44CA4">
      <w:pPr>
        <w:pStyle w:val="VersoPage"/>
        <w:spacing w:after="0" w:line="240" w:lineRule="auto"/>
        <w:ind w:left="1138" w:hanging="1134"/>
        <w:rPr>
          <w:rFonts w:ascii="Calibri" w:hAnsi="Calibri" w:cs="Calibri"/>
          <w:color w:val="000000" w:themeColor="text1"/>
          <w:sz w:val="19"/>
          <w:szCs w:val="19"/>
          <w:lang w:val="en-US"/>
        </w:rPr>
      </w:pPr>
      <w:r w:rsidRPr="009B294D">
        <w:rPr>
          <w:rFonts w:ascii="Calibri" w:hAnsi="Calibri" w:cs="Calibri"/>
          <w:color w:val="000000" w:themeColor="text1"/>
          <w:sz w:val="19"/>
          <w:szCs w:val="19"/>
        </w:rPr>
        <w:tab/>
      </w:r>
      <w:r w:rsidRPr="009B294D">
        <w:rPr>
          <w:rFonts w:ascii="Calibri" w:hAnsi="Calibri" w:cs="Calibri"/>
          <w:color w:val="000000" w:themeColor="text1"/>
          <w:sz w:val="19"/>
          <w:szCs w:val="19"/>
          <w:lang w:val="en-US"/>
        </w:rPr>
        <w:t xml:space="preserve">Email: </w:t>
      </w:r>
      <w:hyperlink r:id="rId12" w:history="1">
        <w:r w:rsidR="001E619A" w:rsidRPr="009B294D">
          <w:rPr>
            <w:rStyle w:val="Hyperlink"/>
            <w:rFonts w:ascii="Calibri" w:hAnsi="Calibri" w:cs="Calibri"/>
            <w:color w:val="000000" w:themeColor="text1"/>
            <w:sz w:val="19"/>
            <w:szCs w:val="19"/>
            <w:lang w:val="en-US"/>
          </w:rPr>
          <w:t>IOTC-secretariat@fao.org</w:t>
        </w:r>
        <w:r w:rsidR="006171CA" w:rsidRPr="009B294D">
          <w:rPr>
            <w:rStyle w:val="Hyperlink"/>
            <w:rFonts w:ascii="Calibri" w:hAnsi="Calibri" w:cs="Calibri"/>
            <w:color w:val="000000" w:themeColor="text1"/>
            <w:sz w:val="19"/>
            <w:szCs w:val="19"/>
            <w:lang w:val="en-US"/>
          </w:rPr>
          <w:t xml:space="preserve"> </w:t>
        </w:r>
      </w:hyperlink>
    </w:p>
    <w:p w14:paraId="2BC36D1A" w14:textId="77777777" w:rsidR="00E44CA4" w:rsidRPr="009B294D" w:rsidRDefault="00E44CA4" w:rsidP="00E44CA4">
      <w:pPr>
        <w:pStyle w:val="VersoPage"/>
        <w:spacing w:after="0" w:line="240" w:lineRule="auto"/>
        <w:ind w:left="1138" w:hanging="1134"/>
        <w:rPr>
          <w:rFonts w:ascii="Calibri" w:hAnsi="Calibri" w:cs="Calibri"/>
          <w:color w:val="000000" w:themeColor="text1"/>
          <w:sz w:val="19"/>
          <w:szCs w:val="19"/>
          <w:lang w:val="en-US"/>
        </w:rPr>
      </w:pPr>
      <w:r w:rsidRPr="009B294D">
        <w:rPr>
          <w:rFonts w:ascii="Calibri" w:hAnsi="Calibri" w:cs="Calibri"/>
          <w:color w:val="000000" w:themeColor="text1"/>
          <w:sz w:val="19"/>
          <w:szCs w:val="19"/>
        </w:rPr>
        <w:tab/>
      </w:r>
      <w:r w:rsidRPr="009B294D">
        <w:rPr>
          <w:rFonts w:ascii="Calibri" w:hAnsi="Calibri" w:cs="Calibri"/>
          <w:color w:val="000000" w:themeColor="text1"/>
          <w:sz w:val="19"/>
          <w:szCs w:val="19"/>
          <w:lang w:val="en-US"/>
        </w:rPr>
        <w:t xml:space="preserve">Website: </w:t>
      </w:r>
      <w:hyperlink r:id="rId13" w:history="1">
        <w:r w:rsidRPr="009B294D">
          <w:rPr>
            <w:rStyle w:val="Hyperlink"/>
            <w:rFonts w:ascii="Calibri" w:hAnsi="Calibri" w:cs="Calibri"/>
            <w:color w:val="000000" w:themeColor="text1"/>
            <w:sz w:val="19"/>
            <w:szCs w:val="19"/>
            <w:lang w:val="en-US"/>
          </w:rPr>
          <w:t>http://www.iotc.org</w:t>
        </w:r>
      </w:hyperlink>
    </w:p>
    <w:p w14:paraId="033D37EB" w14:textId="77777777" w:rsidR="00D42E5F" w:rsidRPr="009B294D" w:rsidRDefault="00D42E5F" w:rsidP="00774856">
      <w:pPr>
        <w:pStyle w:val="VersoPage"/>
        <w:spacing w:after="0" w:line="240" w:lineRule="auto"/>
        <w:ind w:left="1138" w:hanging="1134"/>
        <w:rPr>
          <w:rFonts w:ascii="Calibri" w:hAnsi="Calibri" w:cs="Calibri"/>
          <w:color w:val="000000" w:themeColor="text1"/>
          <w:sz w:val="19"/>
          <w:szCs w:val="19"/>
          <w:lang w:val="en-US"/>
        </w:rPr>
      </w:pPr>
    </w:p>
    <w:p w14:paraId="5E96F20F" w14:textId="77777777" w:rsidR="00D42E5F" w:rsidRPr="009B294D" w:rsidRDefault="00D42E5F" w:rsidP="00D42E5F">
      <w:pPr>
        <w:pStyle w:val="VersoPage"/>
        <w:spacing w:line="240" w:lineRule="auto"/>
        <w:ind w:left="1134" w:hanging="1134"/>
        <w:rPr>
          <w:rFonts w:ascii="Calibri" w:hAnsi="Calibri" w:cs="Calibri"/>
          <w:color w:val="000000" w:themeColor="text1"/>
          <w:sz w:val="19"/>
          <w:szCs w:val="19"/>
          <w:lang w:val="en-US"/>
        </w:rPr>
      </w:pPr>
    </w:p>
    <w:p w14:paraId="5FD1126D" w14:textId="77777777" w:rsidR="00D42E5F" w:rsidRPr="009B294D" w:rsidRDefault="00D42E5F" w:rsidP="00D42E5F">
      <w:pPr>
        <w:pStyle w:val="VersoPage"/>
        <w:spacing w:line="240" w:lineRule="auto"/>
        <w:ind w:left="1134" w:hanging="1134"/>
        <w:rPr>
          <w:rFonts w:ascii="Calibri" w:hAnsi="Calibri" w:cs="Calibri"/>
          <w:color w:val="000000" w:themeColor="text1"/>
          <w:sz w:val="19"/>
          <w:szCs w:val="19"/>
        </w:rPr>
      </w:pPr>
    </w:p>
    <w:p w14:paraId="72BCBC6E" w14:textId="77777777" w:rsidR="00D42E5F" w:rsidRPr="009B294D" w:rsidRDefault="00D42E5F" w:rsidP="00D42E5F">
      <w:pPr>
        <w:pStyle w:val="BRSVERSOPAGE"/>
        <w:tabs>
          <w:tab w:val="left" w:pos="4820"/>
        </w:tabs>
        <w:rPr>
          <w:rFonts w:ascii="Calibri" w:hAnsi="Calibri" w:cs="Calibri"/>
          <w:color w:val="000000" w:themeColor="text1"/>
          <w:szCs w:val="19"/>
        </w:rPr>
      </w:pPr>
    </w:p>
    <w:p w14:paraId="4D95CA30" w14:textId="6A3BF25B" w:rsidR="00454BD2" w:rsidRPr="009B294D" w:rsidRDefault="00056E57" w:rsidP="0032017C">
      <w:pPr>
        <w:rPr>
          <w:rFonts w:ascii="Calibri" w:hAnsi="Calibri" w:cs="Calibri"/>
          <w:color w:val="000000" w:themeColor="text1"/>
        </w:rPr>
      </w:pPr>
      <w:r w:rsidRPr="009B294D">
        <w:rPr>
          <w:rFonts w:ascii="Calibri" w:hAnsi="Calibri" w:cs="Calibri"/>
          <w:noProof/>
          <w:color w:val="000000" w:themeColor="text1"/>
          <w:sz w:val="28"/>
          <w:szCs w:val="28"/>
          <w:lang w:val="en-ZA" w:eastAsia="en-ZA"/>
        </w:rPr>
        <mc:AlternateContent>
          <mc:Choice Requires="wps">
            <w:drawing>
              <wp:anchor distT="0" distB="0" distL="114300" distR="114300" simplePos="0" relativeHeight="251658240" behindDoc="0" locked="0" layoutInCell="1" allowOverlap="1" wp14:anchorId="37DFE9ED" wp14:editId="376D0AB2">
                <wp:simplePos x="0" y="0"/>
                <wp:positionH relativeFrom="column">
                  <wp:posOffset>438150</wp:posOffset>
                </wp:positionH>
                <wp:positionV relativeFrom="paragraph">
                  <wp:posOffset>6645910</wp:posOffset>
                </wp:positionV>
                <wp:extent cx="4876800" cy="1003935"/>
                <wp:effectExtent l="0" t="0" r="0" b="571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0" cy="1003935"/>
                        </a:xfrm>
                        <a:prstGeom prst="rect">
                          <a:avLst/>
                        </a:prstGeom>
                        <a:solidFill>
                          <a:srgbClr val="FFFFFF"/>
                        </a:solidFill>
                        <a:ln w="9525">
                          <a:solidFill>
                            <a:srgbClr val="000000"/>
                          </a:solidFill>
                          <a:miter lim="800000"/>
                          <a:headEnd/>
                          <a:tailEnd/>
                        </a:ln>
                      </wps:spPr>
                      <wps:txbx>
                        <w:txbxContent>
                          <w:p w14:paraId="06B5A295" w14:textId="77777777" w:rsidR="005E594A" w:rsidRDefault="005E594A" w:rsidP="00D42E5F">
                            <w:pPr>
                              <w:spacing w:after="60"/>
                            </w:pPr>
                            <w:r>
                              <w:t>The designations employed and the presentation of material in this publication do not imply the expression of any opinion whatsoever on the part of the Indian Ocean Tuna Commission or the Food and Agriculture Organization of the United Nations concerning the legal status of any country, territory, city or area or of its authorities, or concerning the delimitation of its frontiers or boundaries.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DFE9ED" id="_x0000_t202" coordsize="21600,21600" o:spt="202" path="m,l,21600r21600,l21600,xe">
                <v:stroke joinstyle="miter"/>
                <v:path gradientshapeok="t" o:connecttype="rect"/>
              </v:shapetype>
              <v:shape id="Text Box 11" o:spid="_x0000_s1026" type="#_x0000_t202" style="position:absolute;margin-left:34.5pt;margin-top:523.3pt;width:384pt;height:79.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">
                <v:textbox>
                  <w:txbxContent>
                    <w:p w14:paraId="06B5A295" w14:textId="77777777" w:rsidR="005E594A" w:rsidRDefault="005E594A" w:rsidP="00D42E5F">
                      <w:pPr>
                        <w:spacing w:after="60"/>
                      </w:pPr>
                      <w:r>
                        <w:t>The designations employed and the presentation of material in this publication do not imply the expression of any opinion whatsoever on the part of the Indian Ocean Tuna Commission or the Food and Agriculture Organization of the United Nations concerning the legal status of any country, territory, city or area or of its authorities, or concerning the delimitation of its frontiers or boundaries.</w:t>
                      </w:r>
                    </w:p>
                  </w:txbxContent>
                </v:textbox>
              </v:shape>
            </w:pict>
          </mc:Fallback>
        </mc:AlternateContent>
      </w:r>
    </w:p>
    <w:p w14:paraId="067A6197" w14:textId="77777777" w:rsidR="0048705A" w:rsidRPr="009B294D" w:rsidRDefault="0048705A">
      <w:pPr>
        <w:rPr>
          <w:rFonts w:ascii="Calibri" w:hAnsi="Calibri" w:cs="Calibri"/>
          <w:b/>
          <w:smallCaps/>
          <w:noProof/>
          <w:snapToGrid w:val="0"/>
          <w:color w:val="000000" w:themeColor="text1"/>
          <w:sz w:val="26"/>
          <w:szCs w:val="24"/>
          <w:lang w:eastAsia="en-US"/>
        </w:rPr>
      </w:pPr>
      <w:r w:rsidRPr="009B294D">
        <w:rPr>
          <w:rFonts w:ascii="Calibri" w:hAnsi="Calibri" w:cs="Calibri"/>
          <w:color w:val="000000" w:themeColor="text1"/>
        </w:rPr>
        <w:br w:type="page"/>
      </w:r>
    </w:p>
    <w:p w14:paraId="1FFEA2A4" w14:textId="77777777" w:rsidR="0048705A" w:rsidRPr="009B294D" w:rsidRDefault="0048705A" w:rsidP="00B53865">
      <w:pPr>
        <w:jc w:val="center"/>
        <w:rPr>
          <w:rFonts w:ascii="Calibri" w:hAnsi="Calibri" w:cs="Calibri"/>
          <w:b/>
          <w:color w:val="000000" w:themeColor="text1"/>
          <w:lang w:eastAsia="en-GB"/>
        </w:rPr>
      </w:pPr>
      <w:bookmarkStart w:id="2" w:name="_Toc219176198"/>
      <w:bookmarkStart w:id="3" w:name="_Toc286737700"/>
      <w:r w:rsidRPr="009B294D">
        <w:rPr>
          <w:rFonts w:ascii="Calibri" w:hAnsi="Calibri" w:cs="Calibri"/>
          <w:b/>
          <w:color w:val="000000" w:themeColor="text1"/>
          <w:lang w:eastAsia="en-GB"/>
        </w:rPr>
        <w:lastRenderedPageBreak/>
        <w:t>Acronyms</w:t>
      </w:r>
      <w:bookmarkEnd w:id="2"/>
      <w:bookmarkEnd w:id="3"/>
    </w:p>
    <w:p w14:paraId="06B23DAE" w14:textId="77777777" w:rsidR="0048705A" w:rsidRPr="009B294D" w:rsidRDefault="0048705A" w:rsidP="0048705A">
      <w:pPr>
        <w:autoSpaceDE w:val="0"/>
        <w:autoSpaceDN w:val="0"/>
        <w:adjustRightInd w:val="0"/>
        <w:rPr>
          <w:rFonts w:ascii="Calibri" w:hAnsi="Calibri" w:cs="Calibri"/>
          <w:bCs/>
          <w:color w:val="000000" w:themeColor="text1"/>
          <w:sz w:val="20"/>
          <w:szCs w:val="24"/>
          <w:lang w:eastAsia="en-GB"/>
        </w:rPr>
      </w:pPr>
    </w:p>
    <w:p w14:paraId="7EF4F65A" w14:textId="77777777" w:rsidR="00FA5B73" w:rsidRPr="009B294D" w:rsidRDefault="00FA5B73" w:rsidP="0048705A">
      <w:pPr>
        <w:autoSpaceDE w:val="0"/>
        <w:autoSpaceDN w:val="0"/>
        <w:adjustRightInd w:val="0"/>
        <w:rPr>
          <w:rFonts w:ascii="Calibri" w:hAnsi="Calibri" w:cs="Calibri"/>
          <w:bCs/>
          <w:color w:val="000000" w:themeColor="text1"/>
          <w:sz w:val="20"/>
          <w:szCs w:val="24"/>
          <w:lang w:eastAsia="en-GB"/>
        </w:rPr>
      </w:pPr>
      <w:r w:rsidRPr="009B294D">
        <w:rPr>
          <w:rFonts w:ascii="Calibri" w:hAnsi="Calibri" w:cs="Calibri"/>
          <w:bCs/>
          <w:color w:val="000000" w:themeColor="text1"/>
          <w:sz w:val="20"/>
          <w:szCs w:val="24"/>
          <w:lang w:eastAsia="en-GB"/>
        </w:rPr>
        <w:t>ABF</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t>African Billfish Foundation</w:t>
      </w:r>
    </w:p>
    <w:p w14:paraId="169BD91A" w14:textId="77777777" w:rsidR="003C6EB0" w:rsidRPr="009B294D" w:rsidRDefault="003C6EB0" w:rsidP="0048705A">
      <w:pPr>
        <w:autoSpaceDE w:val="0"/>
        <w:autoSpaceDN w:val="0"/>
        <w:adjustRightInd w:val="0"/>
        <w:rPr>
          <w:rFonts w:ascii="Calibri" w:hAnsi="Calibri" w:cs="Calibri"/>
          <w:bCs/>
          <w:color w:val="000000" w:themeColor="text1"/>
          <w:sz w:val="20"/>
          <w:szCs w:val="24"/>
          <w:lang w:eastAsia="en-GB"/>
        </w:rPr>
      </w:pPr>
      <w:r w:rsidRPr="009B294D">
        <w:rPr>
          <w:rFonts w:ascii="Calibri" w:hAnsi="Calibri" w:cs="Calibri"/>
          <w:bCs/>
          <w:color w:val="000000" w:themeColor="text1"/>
          <w:sz w:val="20"/>
          <w:szCs w:val="24"/>
          <w:lang w:eastAsia="en-GB"/>
        </w:rPr>
        <w:t>ASPIC</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t>A Stock-Production Model Incorporating Covariates</w:t>
      </w:r>
    </w:p>
    <w:p w14:paraId="73E47E67" w14:textId="77777777" w:rsidR="003178D7" w:rsidRPr="009B294D" w:rsidRDefault="003178D7" w:rsidP="0048705A">
      <w:pPr>
        <w:autoSpaceDE w:val="0"/>
        <w:autoSpaceDN w:val="0"/>
        <w:adjustRightInd w:val="0"/>
        <w:rPr>
          <w:rFonts w:ascii="Calibri" w:hAnsi="Calibri" w:cs="Calibri"/>
          <w:bCs/>
          <w:color w:val="000000" w:themeColor="text1"/>
          <w:sz w:val="20"/>
          <w:szCs w:val="24"/>
          <w:lang w:eastAsia="en-GB"/>
        </w:rPr>
      </w:pPr>
      <w:r w:rsidRPr="009B294D">
        <w:rPr>
          <w:rFonts w:ascii="Calibri" w:hAnsi="Calibri" w:cs="Calibri"/>
          <w:bCs/>
          <w:color w:val="000000" w:themeColor="text1"/>
          <w:sz w:val="20"/>
          <w:szCs w:val="24"/>
          <w:lang w:eastAsia="en-GB"/>
        </w:rPr>
        <w:t>B</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t>Biomass (total)</w:t>
      </w:r>
    </w:p>
    <w:p w14:paraId="1FD22BF5"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B</w:t>
      </w:r>
      <w:r w:rsidRPr="009B294D">
        <w:rPr>
          <w:rFonts w:ascii="Calibri" w:hAnsi="Calibri" w:cs="Calibri"/>
          <w:bCs/>
          <w:color w:val="000000" w:themeColor="text1"/>
          <w:sz w:val="20"/>
          <w:szCs w:val="24"/>
          <w:vertAlign w:val="subscript"/>
          <w:lang w:eastAsia="en-GB"/>
        </w:rPr>
        <w:t>MSY</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 xml:space="preserve">Biomass </w:t>
      </w:r>
      <w:r w:rsidR="003178D7" w:rsidRPr="009B294D">
        <w:rPr>
          <w:rFonts w:ascii="Calibri" w:hAnsi="Calibri" w:cs="Calibri"/>
          <w:color w:val="000000" w:themeColor="text1"/>
          <w:sz w:val="20"/>
          <w:szCs w:val="24"/>
          <w:lang w:eastAsia="en-GB"/>
        </w:rPr>
        <w:t>which produces</w:t>
      </w:r>
      <w:r w:rsidRPr="009B294D">
        <w:rPr>
          <w:rFonts w:ascii="Calibri" w:hAnsi="Calibri" w:cs="Calibri"/>
          <w:color w:val="000000" w:themeColor="text1"/>
          <w:sz w:val="20"/>
          <w:szCs w:val="24"/>
          <w:lang w:eastAsia="en-GB"/>
        </w:rPr>
        <w:t xml:space="preserve"> MSY</w:t>
      </w:r>
    </w:p>
    <w:p w14:paraId="5CED1744" w14:textId="77777777" w:rsidR="00EC5613" w:rsidRPr="009B294D" w:rsidRDefault="00EC5613"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BLM</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Black marlin</w:t>
      </w:r>
      <w:r w:rsidR="00934D0C" w:rsidRPr="009B294D">
        <w:rPr>
          <w:rFonts w:ascii="Calibri" w:hAnsi="Calibri" w:cs="Calibri"/>
          <w:color w:val="000000" w:themeColor="text1"/>
          <w:sz w:val="20"/>
          <w:szCs w:val="24"/>
          <w:lang w:eastAsia="en-GB"/>
        </w:rPr>
        <w:t xml:space="preserve"> (FAO code)</w:t>
      </w:r>
    </w:p>
    <w:p w14:paraId="0EA26D90" w14:textId="77777777" w:rsidR="00CF3835" w:rsidRPr="009B294D" w:rsidRDefault="00CF3835"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BSP-SS</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16"/>
          <w:lang w:eastAsia="en-US"/>
        </w:rPr>
        <w:t>Bayesian Surplus Production Model – State-Space</w:t>
      </w:r>
    </w:p>
    <w:p w14:paraId="0851E955" w14:textId="77777777" w:rsidR="00E86E0F" w:rsidRPr="009B294D" w:rsidRDefault="00E86E0F"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BUM</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Blue marlin</w:t>
      </w:r>
      <w:r w:rsidR="00934D0C" w:rsidRPr="009B294D">
        <w:rPr>
          <w:rFonts w:ascii="Calibri" w:hAnsi="Calibri" w:cs="Calibri"/>
          <w:color w:val="000000" w:themeColor="text1"/>
          <w:sz w:val="20"/>
          <w:szCs w:val="24"/>
          <w:lang w:eastAsia="en-GB"/>
        </w:rPr>
        <w:t xml:space="preserve"> (FAO code)</w:t>
      </w:r>
    </w:p>
    <w:p w14:paraId="49712850" w14:textId="77777777" w:rsidR="003178D7" w:rsidRPr="009B294D" w:rsidRDefault="003178D7"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CE</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Catch and effort</w:t>
      </w:r>
    </w:p>
    <w:p w14:paraId="15245504" w14:textId="77777777" w:rsidR="00692771" w:rsidRPr="009B294D" w:rsidRDefault="00692771"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CI</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Confidence Interval</w:t>
      </w:r>
    </w:p>
    <w:p w14:paraId="2DDE26AA"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CMM</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Conservation and Management Measure (of the IOTC; Resolutions and Recommendations)</w:t>
      </w:r>
    </w:p>
    <w:p w14:paraId="3E7E01AE"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CPCs</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Contracting parties and cooperating non-contracting parties</w:t>
      </w:r>
    </w:p>
    <w:p w14:paraId="0313335A"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CPUE</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Catch per unit of effort</w:t>
      </w:r>
    </w:p>
    <w:p w14:paraId="12A5AD95" w14:textId="77777777" w:rsidR="003178D7" w:rsidRPr="009B294D" w:rsidRDefault="003178D7" w:rsidP="0048705A">
      <w:pPr>
        <w:autoSpaceDE w:val="0"/>
        <w:autoSpaceDN w:val="0"/>
        <w:adjustRightInd w:val="0"/>
        <w:rPr>
          <w:rFonts w:ascii="Calibri" w:hAnsi="Calibri" w:cs="Calibri"/>
          <w:bCs/>
          <w:color w:val="000000" w:themeColor="text1"/>
          <w:sz w:val="20"/>
          <w:szCs w:val="24"/>
          <w:lang w:eastAsia="en-GB"/>
        </w:rPr>
      </w:pPr>
      <w:r w:rsidRPr="009B294D">
        <w:rPr>
          <w:rFonts w:ascii="Calibri" w:hAnsi="Calibri" w:cs="Calibri"/>
          <w:bCs/>
          <w:color w:val="000000" w:themeColor="text1"/>
          <w:sz w:val="20"/>
          <w:szCs w:val="24"/>
          <w:lang w:eastAsia="en-GB"/>
        </w:rPr>
        <w:t>current</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t>Current period/time, i.e. F</w:t>
      </w:r>
      <w:r w:rsidRPr="009B294D">
        <w:rPr>
          <w:rFonts w:ascii="Calibri" w:hAnsi="Calibri" w:cs="Calibri"/>
          <w:bCs/>
          <w:color w:val="000000" w:themeColor="text1"/>
          <w:sz w:val="20"/>
          <w:szCs w:val="24"/>
          <w:vertAlign w:val="subscript"/>
          <w:lang w:eastAsia="en-GB"/>
        </w:rPr>
        <w:t>current</w:t>
      </w:r>
      <w:r w:rsidRPr="009B294D">
        <w:rPr>
          <w:rFonts w:ascii="Calibri" w:hAnsi="Calibri" w:cs="Calibri"/>
          <w:bCs/>
          <w:color w:val="000000" w:themeColor="text1"/>
          <w:sz w:val="20"/>
          <w:szCs w:val="24"/>
          <w:lang w:eastAsia="en-GB"/>
        </w:rPr>
        <w:t xml:space="preserve"> means fishing mortality for the current assessment year.</w:t>
      </w:r>
    </w:p>
    <w:p w14:paraId="7900F536" w14:textId="77777777" w:rsidR="0048705A" w:rsidRPr="009B294D" w:rsidRDefault="0048705A" w:rsidP="0048705A">
      <w:pPr>
        <w:autoSpaceDE w:val="0"/>
        <w:autoSpaceDN w:val="0"/>
        <w:adjustRightInd w:val="0"/>
        <w:rPr>
          <w:rFonts w:ascii="Calibri" w:hAnsi="Calibri" w:cs="Calibri"/>
          <w:color w:val="000000" w:themeColor="text1"/>
          <w:sz w:val="20"/>
          <w:szCs w:val="24"/>
          <w:lang w:val="fr-FR" w:eastAsia="en-GB"/>
        </w:rPr>
      </w:pPr>
      <w:r w:rsidRPr="009B294D">
        <w:rPr>
          <w:rFonts w:ascii="Calibri" w:hAnsi="Calibri" w:cs="Calibri"/>
          <w:bCs/>
          <w:color w:val="000000" w:themeColor="text1"/>
          <w:sz w:val="20"/>
          <w:szCs w:val="24"/>
          <w:lang w:val="fr-FR" w:eastAsia="en-GB"/>
        </w:rPr>
        <w:t>EU</w:t>
      </w:r>
      <w:r w:rsidRPr="009B294D">
        <w:rPr>
          <w:rFonts w:ascii="Calibri" w:hAnsi="Calibri" w:cs="Calibri"/>
          <w:bCs/>
          <w:color w:val="000000" w:themeColor="text1"/>
          <w:sz w:val="20"/>
          <w:szCs w:val="24"/>
          <w:lang w:val="fr-FR" w:eastAsia="en-GB"/>
        </w:rPr>
        <w:tab/>
      </w:r>
      <w:r w:rsidRPr="009B294D">
        <w:rPr>
          <w:rFonts w:ascii="Calibri" w:hAnsi="Calibri" w:cs="Calibri"/>
          <w:bCs/>
          <w:color w:val="000000" w:themeColor="text1"/>
          <w:sz w:val="20"/>
          <w:szCs w:val="24"/>
          <w:lang w:val="fr-FR" w:eastAsia="en-GB"/>
        </w:rPr>
        <w:tab/>
      </w:r>
      <w:r w:rsidRPr="009B294D">
        <w:rPr>
          <w:rFonts w:ascii="Calibri" w:hAnsi="Calibri" w:cs="Calibri"/>
          <w:color w:val="000000" w:themeColor="text1"/>
          <w:sz w:val="20"/>
          <w:szCs w:val="24"/>
          <w:lang w:val="fr-FR" w:eastAsia="en-GB"/>
        </w:rPr>
        <w:t>European Union</w:t>
      </w:r>
    </w:p>
    <w:p w14:paraId="34CBFF6B" w14:textId="77777777" w:rsidR="0048705A" w:rsidRPr="009B294D" w:rsidRDefault="0048705A" w:rsidP="0048705A">
      <w:pPr>
        <w:autoSpaceDE w:val="0"/>
        <w:autoSpaceDN w:val="0"/>
        <w:adjustRightInd w:val="0"/>
        <w:rPr>
          <w:rFonts w:ascii="Calibri" w:hAnsi="Calibri" w:cs="Calibri"/>
          <w:color w:val="000000" w:themeColor="text1"/>
          <w:sz w:val="20"/>
          <w:szCs w:val="24"/>
          <w:lang w:val="fr-FR" w:eastAsia="en-GB"/>
        </w:rPr>
      </w:pPr>
      <w:r w:rsidRPr="009B294D">
        <w:rPr>
          <w:rFonts w:ascii="Calibri" w:hAnsi="Calibri" w:cs="Calibri"/>
          <w:bCs/>
          <w:color w:val="000000" w:themeColor="text1"/>
          <w:sz w:val="20"/>
          <w:szCs w:val="24"/>
          <w:lang w:val="fr-FR" w:eastAsia="en-GB"/>
        </w:rPr>
        <w:t>EEZ</w:t>
      </w:r>
      <w:r w:rsidRPr="009B294D">
        <w:rPr>
          <w:rFonts w:ascii="Calibri" w:hAnsi="Calibri" w:cs="Calibri"/>
          <w:bCs/>
          <w:color w:val="000000" w:themeColor="text1"/>
          <w:sz w:val="20"/>
          <w:szCs w:val="24"/>
          <w:lang w:val="fr-FR" w:eastAsia="en-GB"/>
        </w:rPr>
        <w:tab/>
      </w:r>
      <w:r w:rsidRPr="009B294D">
        <w:rPr>
          <w:rFonts w:ascii="Calibri" w:hAnsi="Calibri" w:cs="Calibri"/>
          <w:bCs/>
          <w:color w:val="000000" w:themeColor="text1"/>
          <w:sz w:val="20"/>
          <w:szCs w:val="24"/>
          <w:lang w:val="fr-FR" w:eastAsia="en-GB"/>
        </w:rPr>
        <w:tab/>
      </w:r>
      <w:r w:rsidRPr="009B294D">
        <w:rPr>
          <w:rFonts w:ascii="Calibri" w:hAnsi="Calibri" w:cs="Calibri"/>
          <w:color w:val="000000" w:themeColor="text1"/>
          <w:sz w:val="20"/>
          <w:szCs w:val="24"/>
          <w:lang w:val="fr-FR" w:eastAsia="en-GB"/>
        </w:rPr>
        <w:t>Exclusive Economic Zone</w:t>
      </w:r>
    </w:p>
    <w:p w14:paraId="11128DCE"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F</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Fishing mortality; F</w:t>
      </w:r>
      <w:r w:rsidRPr="009B294D">
        <w:rPr>
          <w:rFonts w:ascii="Calibri" w:hAnsi="Calibri" w:cs="Calibri"/>
          <w:color w:val="000000" w:themeColor="text1"/>
          <w:sz w:val="20"/>
          <w:szCs w:val="24"/>
          <w:vertAlign w:val="subscript"/>
          <w:lang w:eastAsia="en-GB"/>
        </w:rPr>
        <w:t>20</w:t>
      </w:r>
      <w:r w:rsidR="00594EFB" w:rsidRPr="009B294D">
        <w:rPr>
          <w:rFonts w:ascii="Calibri" w:hAnsi="Calibri" w:cs="Calibri"/>
          <w:color w:val="000000" w:themeColor="text1"/>
          <w:sz w:val="20"/>
          <w:szCs w:val="24"/>
          <w:vertAlign w:val="subscript"/>
          <w:lang w:eastAsia="en-GB"/>
        </w:rPr>
        <w:t>10</w:t>
      </w:r>
      <w:r w:rsidRPr="009B294D">
        <w:rPr>
          <w:rFonts w:ascii="Calibri" w:hAnsi="Calibri" w:cs="Calibri"/>
          <w:color w:val="000000" w:themeColor="text1"/>
          <w:sz w:val="20"/>
          <w:szCs w:val="24"/>
          <w:lang w:eastAsia="en-GB"/>
        </w:rPr>
        <w:t xml:space="preserve"> is the fishing mortality estimated in the year 20</w:t>
      </w:r>
      <w:r w:rsidR="00594EFB" w:rsidRPr="009B294D">
        <w:rPr>
          <w:rFonts w:ascii="Calibri" w:hAnsi="Calibri" w:cs="Calibri"/>
          <w:color w:val="000000" w:themeColor="text1"/>
          <w:sz w:val="20"/>
          <w:szCs w:val="24"/>
          <w:lang w:eastAsia="en-GB"/>
        </w:rPr>
        <w:t>10</w:t>
      </w:r>
    </w:p>
    <w:p w14:paraId="0FD6DAD3"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FAO</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Food and Agriculture Organization of the United Nations</w:t>
      </w:r>
    </w:p>
    <w:p w14:paraId="409592F7"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F</w:t>
      </w:r>
      <w:r w:rsidRPr="009B294D">
        <w:rPr>
          <w:rFonts w:ascii="Calibri" w:hAnsi="Calibri" w:cs="Calibri"/>
          <w:bCs/>
          <w:color w:val="000000" w:themeColor="text1"/>
          <w:sz w:val="20"/>
          <w:szCs w:val="24"/>
          <w:vertAlign w:val="subscript"/>
          <w:lang w:eastAsia="en-GB"/>
        </w:rPr>
        <w:t>MSY</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Fishing mortality at MSY</w:t>
      </w:r>
    </w:p>
    <w:p w14:paraId="4533DE0E" w14:textId="77777777" w:rsidR="003178D7" w:rsidRPr="009B294D" w:rsidRDefault="003178D7" w:rsidP="0048705A">
      <w:pPr>
        <w:autoSpaceDE w:val="0"/>
        <w:autoSpaceDN w:val="0"/>
        <w:adjustRightInd w:val="0"/>
        <w:rPr>
          <w:rFonts w:ascii="Calibri" w:hAnsi="Calibri" w:cs="Calibri"/>
          <w:bCs/>
          <w:color w:val="000000" w:themeColor="text1"/>
          <w:sz w:val="20"/>
          <w:szCs w:val="24"/>
          <w:lang w:eastAsia="en-GB"/>
        </w:rPr>
      </w:pPr>
      <w:r w:rsidRPr="009B294D">
        <w:rPr>
          <w:rFonts w:ascii="Calibri" w:hAnsi="Calibri" w:cs="Calibri"/>
          <w:bCs/>
          <w:color w:val="000000" w:themeColor="text1"/>
          <w:sz w:val="20"/>
          <w:szCs w:val="24"/>
          <w:lang w:eastAsia="en-GB"/>
        </w:rPr>
        <w:t>GLM</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00CF3835" w:rsidRPr="009B294D">
        <w:rPr>
          <w:rFonts w:ascii="Calibri" w:hAnsi="Calibri" w:cs="Calibri"/>
          <w:bCs/>
          <w:color w:val="000000" w:themeColor="text1"/>
          <w:sz w:val="20"/>
          <w:szCs w:val="24"/>
          <w:lang w:eastAsia="en-GB"/>
        </w:rPr>
        <w:t xml:space="preserve">Generalized </w:t>
      </w:r>
      <w:r w:rsidRPr="009B294D">
        <w:rPr>
          <w:rFonts w:ascii="Calibri" w:hAnsi="Calibri" w:cs="Calibri"/>
          <w:bCs/>
          <w:color w:val="000000" w:themeColor="text1"/>
          <w:sz w:val="20"/>
          <w:szCs w:val="24"/>
          <w:lang w:eastAsia="en-GB"/>
        </w:rPr>
        <w:t>line</w:t>
      </w:r>
      <w:r w:rsidR="00AE5310" w:rsidRPr="009B294D">
        <w:rPr>
          <w:rFonts w:ascii="Calibri" w:hAnsi="Calibri" w:cs="Calibri"/>
          <w:bCs/>
          <w:color w:val="000000" w:themeColor="text1"/>
          <w:sz w:val="20"/>
          <w:szCs w:val="24"/>
          <w:lang w:eastAsia="en-GB"/>
        </w:rPr>
        <w:t>a</w:t>
      </w:r>
      <w:r w:rsidRPr="009B294D">
        <w:rPr>
          <w:rFonts w:ascii="Calibri" w:hAnsi="Calibri" w:cs="Calibri"/>
          <w:bCs/>
          <w:color w:val="000000" w:themeColor="text1"/>
          <w:sz w:val="20"/>
          <w:szCs w:val="24"/>
          <w:lang w:eastAsia="en-GB"/>
        </w:rPr>
        <w:t>r model</w:t>
      </w:r>
    </w:p>
    <w:p w14:paraId="71DA8E22" w14:textId="77777777" w:rsidR="003178D7" w:rsidRPr="009B294D" w:rsidRDefault="003178D7" w:rsidP="0048705A">
      <w:pPr>
        <w:autoSpaceDE w:val="0"/>
        <w:autoSpaceDN w:val="0"/>
        <w:adjustRightInd w:val="0"/>
        <w:rPr>
          <w:rFonts w:ascii="Calibri" w:hAnsi="Calibri" w:cs="Calibri"/>
          <w:bCs/>
          <w:color w:val="000000" w:themeColor="text1"/>
          <w:sz w:val="20"/>
          <w:szCs w:val="24"/>
          <w:lang w:eastAsia="en-GB"/>
        </w:rPr>
      </w:pPr>
      <w:r w:rsidRPr="009B294D">
        <w:rPr>
          <w:rFonts w:ascii="Calibri" w:hAnsi="Calibri" w:cs="Calibri"/>
          <w:bCs/>
          <w:color w:val="000000" w:themeColor="text1"/>
          <w:sz w:val="20"/>
          <w:szCs w:val="24"/>
          <w:lang w:eastAsia="en-GB"/>
        </w:rPr>
        <w:t>HBF</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t>Hooks between floats</w:t>
      </w:r>
    </w:p>
    <w:p w14:paraId="688BA064" w14:textId="77777777" w:rsidR="00E86E0F" w:rsidRPr="009B294D" w:rsidRDefault="00E86E0F" w:rsidP="0048705A">
      <w:pPr>
        <w:autoSpaceDE w:val="0"/>
        <w:autoSpaceDN w:val="0"/>
        <w:adjustRightInd w:val="0"/>
        <w:rPr>
          <w:rFonts w:ascii="Calibri" w:hAnsi="Calibri" w:cs="Calibri"/>
          <w:bCs/>
          <w:color w:val="000000" w:themeColor="text1"/>
          <w:sz w:val="20"/>
          <w:szCs w:val="24"/>
          <w:lang w:eastAsia="en-GB"/>
        </w:rPr>
      </w:pPr>
      <w:r w:rsidRPr="009B294D">
        <w:rPr>
          <w:rFonts w:ascii="Calibri" w:hAnsi="Calibri" w:cs="Calibri"/>
          <w:bCs/>
          <w:color w:val="000000" w:themeColor="text1"/>
          <w:sz w:val="20"/>
          <w:szCs w:val="24"/>
          <w:lang w:eastAsia="en-GB"/>
        </w:rPr>
        <w:t>IO</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t>Indian Ocean</w:t>
      </w:r>
    </w:p>
    <w:p w14:paraId="4F9507D9" w14:textId="0CA7787E"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IOTC</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Indian Ocean Tuna Commission</w:t>
      </w:r>
    </w:p>
    <w:p w14:paraId="0FC61FC4" w14:textId="5120E506" w:rsidR="004E0327" w:rsidRPr="009B294D" w:rsidRDefault="004E0327"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JABBA</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Just Another Bayesian Biomass Assessment (a generalized Bayesian State-Space Surplus Production Model)</w:t>
      </w:r>
    </w:p>
    <w:p w14:paraId="235B02C6"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LL</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Longline</w:t>
      </w:r>
    </w:p>
    <w:p w14:paraId="758631D4" w14:textId="153A1BB9" w:rsidR="003178D7" w:rsidRDefault="003178D7" w:rsidP="0048705A">
      <w:pPr>
        <w:autoSpaceDE w:val="0"/>
        <w:autoSpaceDN w:val="0"/>
        <w:adjustRightInd w:val="0"/>
        <w:rPr>
          <w:rFonts w:ascii="Calibri" w:hAnsi="Calibri" w:cs="Calibri"/>
          <w:bCs/>
          <w:color w:val="000000" w:themeColor="text1"/>
          <w:sz w:val="20"/>
          <w:szCs w:val="24"/>
          <w:lang w:eastAsia="en-GB"/>
        </w:rPr>
      </w:pPr>
      <w:r w:rsidRPr="009B294D">
        <w:rPr>
          <w:rFonts w:ascii="Calibri" w:hAnsi="Calibri" w:cs="Calibri"/>
          <w:bCs/>
          <w:color w:val="000000" w:themeColor="text1"/>
          <w:sz w:val="20"/>
          <w:szCs w:val="24"/>
          <w:lang w:eastAsia="en-GB"/>
        </w:rPr>
        <w:t>M</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t>Natural Mortality</w:t>
      </w:r>
    </w:p>
    <w:p w14:paraId="30FEBCA2" w14:textId="1D0A0610" w:rsidR="00A66336" w:rsidRPr="009B294D" w:rsidRDefault="00A66336" w:rsidP="00A66336">
      <w:pPr>
        <w:autoSpaceDE w:val="0"/>
        <w:autoSpaceDN w:val="0"/>
        <w:adjustRightInd w:val="0"/>
        <w:rPr>
          <w:rFonts w:ascii="Calibri" w:hAnsi="Calibri" w:cs="Calibri"/>
          <w:color w:val="000000" w:themeColor="text1"/>
          <w:sz w:val="20"/>
          <w:szCs w:val="24"/>
          <w:lang w:eastAsia="en-GB"/>
        </w:rPr>
      </w:pPr>
      <w:r>
        <w:rPr>
          <w:rFonts w:ascii="Calibri" w:hAnsi="Calibri" w:cs="Calibri"/>
          <w:color w:val="000000" w:themeColor="text1"/>
          <w:sz w:val="20"/>
          <w:szCs w:val="24"/>
          <w:lang w:eastAsia="en-GB"/>
        </w:rPr>
        <w:t>MLS</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Striped marlin (FAO code)</w:t>
      </w:r>
    </w:p>
    <w:p w14:paraId="3832924B"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MSY</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Maximum sustainable yield</w:t>
      </w:r>
    </w:p>
    <w:p w14:paraId="07231FE4" w14:textId="77777777" w:rsidR="00692771" w:rsidRPr="009B294D" w:rsidRDefault="00692771" w:rsidP="0048705A">
      <w:pPr>
        <w:autoSpaceDE w:val="0"/>
        <w:autoSpaceDN w:val="0"/>
        <w:adjustRightInd w:val="0"/>
        <w:rPr>
          <w:rFonts w:ascii="Calibri" w:hAnsi="Calibri" w:cs="Calibri"/>
          <w:bCs/>
          <w:color w:val="000000" w:themeColor="text1"/>
          <w:sz w:val="20"/>
          <w:szCs w:val="24"/>
          <w:lang w:eastAsia="en-GB"/>
        </w:rPr>
      </w:pPr>
      <w:r w:rsidRPr="009B294D">
        <w:rPr>
          <w:rFonts w:ascii="Calibri" w:hAnsi="Calibri" w:cs="Calibri"/>
          <w:bCs/>
          <w:color w:val="000000" w:themeColor="text1"/>
          <w:sz w:val="20"/>
          <w:szCs w:val="24"/>
          <w:lang w:eastAsia="en-GB"/>
        </w:rPr>
        <w:t>n.a.</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t>Not applicable</w:t>
      </w:r>
    </w:p>
    <w:p w14:paraId="698B1CBB"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NGO</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 xml:space="preserve">Non-governmental </w:t>
      </w:r>
      <w:r w:rsidR="00CF3835" w:rsidRPr="009B294D">
        <w:rPr>
          <w:rFonts w:ascii="Calibri" w:hAnsi="Calibri" w:cs="Calibri"/>
          <w:color w:val="000000" w:themeColor="text1"/>
          <w:sz w:val="20"/>
          <w:szCs w:val="24"/>
          <w:lang w:eastAsia="en-GB"/>
        </w:rPr>
        <w:t>organization</w:t>
      </w:r>
    </w:p>
    <w:p w14:paraId="18DA26E6"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PS</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Purse-seine</w:t>
      </w:r>
    </w:p>
    <w:p w14:paraId="04130DCA" w14:textId="519916CA" w:rsidR="003178D7" w:rsidRPr="009B294D" w:rsidRDefault="003178D7"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q</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Catchability</w:t>
      </w:r>
    </w:p>
    <w:p w14:paraId="790C2ADB" w14:textId="6EDF6EB8" w:rsidR="004E0327" w:rsidRPr="009B294D" w:rsidRDefault="004E0327"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r</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Intrinsic rate of population increase</w:t>
      </w:r>
    </w:p>
    <w:p w14:paraId="6A04B5C1"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RO</w:t>
      </w:r>
      <w:r w:rsidR="00934D0C" w:rsidRPr="009B294D">
        <w:rPr>
          <w:rFonts w:ascii="Calibri" w:hAnsi="Calibri" w:cs="Calibri"/>
          <w:color w:val="000000" w:themeColor="text1"/>
          <w:sz w:val="20"/>
          <w:szCs w:val="24"/>
          <w:lang w:eastAsia="en-GB"/>
        </w:rPr>
        <w:t>S</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 xml:space="preserve">Regional Observer </w:t>
      </w:r>
      <w:r w:rsidR="00934D0C" w:rsidRPr="009B294D">
        <w:rPr>
          <w:rFonts w:ascii="Calibri" w:hAnsi="Calibri" w:cs="Calibri"/>
          <w:color w:val="000000" w:themeColor="text1"/>
          <w:sz w:val="20"/>
          <w:szCs w:val="24"/>
          <w:lang w:eastAsia="en-GB"/>
        </w:rPr>
        <w:t>Scheme</w:t>
      </w:r>
    </w:p>
    <w:p w14:paraId="51BD8FDE"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SC</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Scientific Committee of the IOTC</w:t>
      </w:r>
    </w:p>
    <w:p w14:paraId="704520EC"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SB</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Spawning biomass</w:t>
      </w:r>
      <w:r w:rsidR="003178D7" w:rsidRPr="009B294D">
        <w:rPr>
          <w:rFonts w:ascii="Calibri" w:hAnsi="Calibri" w:cs="Calibri"/>
          <w:color w:val="000000" w:themeColor="text1"/>
          <w:sz w:val="20"/>
          <w:szCs w:val="24"/>
          <w:lang w:eastAsia="en-GB"/>
        </w:rPr>
        <w:t xml:space="preserve"> (sometimes expressed as SSB)</w:t>
      </w:r>
    </w:p>
    <w:p w14:paraId="270CDF71" w14:textId="77777777" w:rsidR="0048705A" w:rsidRPr="009B294D" w:rsidRDefault="003178D7"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S</w:t>
      </w:r>
      <w:r w:rsidR="0048705A" w:rsidRPr="009B294D">
        <w:rPr>
          <w:rFonts w:ascii="Calibri" w:hAnsi="Calibri" w:cs="Calibri"/>
          <w:bCs/>
          <w:color w:val="000000" w:themeColor="text1"/>
          <w:sz w:val="20"/>
          <w:szCs w:val="24"/>
          <w:lang w:eastAsia="en-GB"/>
        </w:rPr>
        <w:t>B</w:t>
      </w:r>
      <w:r w:rsidR="0048705A" w:rsidRPr="009B294D">
        <w:rPr>
          <w:rFonts w:ascii="Calibri" w:hAnsi="Calibri" w:cs="Calibri"/>
          <w:bCs/>
          <w:color w:val="000000" w:themeColor="text1"/>
          <w:sz w:val="20"/>
          <w:szCs w:val="24"/>
          <w:vertAlign w:val="subscript"/>
          <w:lang w:eastAsia="en-GB"/>
        </w:rPr>
        <w:t>MSY</w:t>
      </w:r>
      <w:r w:rsidR="0048705A" w:rsidRPr="009B294D">
        <w:rPr>
          <w:rFonts w:ascii="Calibri" w:hAnsi="Calibri" w:cs="Calibri"/>
          <w:bCs/>
          <w:color w:val="000000" w:themeColor="text1"/>
          <w:sz w:val="20"/>
          <w:szCs w:val="24"/>
          <w:lang w:eastAsia="en-GB"/>
        </w:rPr>
        <w:tab/>
      </w:r>
      <w:r w:rsidR="0048705A" w:rsidRPr="009B294D">
        <w:rPr>
          <w:rFonts w:ascii="Calibri" w:hAnsi="Calibri" w:cs="Calibri"/>
          <w:bCs/>
          <w:color w:val="000000" w:themeColor="text1"/>
          <w:sz w:val="20"/>
          <w:szCs w:val="24"/>
          <w:lang w:eastAsia="en-GB"/>
        </w:rPr>
        <w:tab/>
      </w:r>
      <w:r w:rsidR="0048705A" w:rsidRPr="009B294D">
        <w:rPr>
          <w:rFonts w:ascii="Calibri" w:hAnsi="Calibri" w:cs="Calibri"/>
          <w:color w:val="000000" w:themeColor="text1"/>
          <w:sz w:val="20"/>
          <w:szCs w:val="24"/>
          <w:lang w:eastAsia="en-GB"/>
        </w:rPr>
        <w:t xml:space="preserve">Spawning stock biomass </w:t>
      </w:r>
      <w:r w:rsidRPr="009B294D">
        <w:rPr>
          <w:rFonts w:ascii="Calibri" w:hAnsi="Calibri" w:cs="Calibri"/>
          <w:color w:val="000000" w:themeColor="text1"/>
          <w:sz w:val="20"/>
          <w:szCs w:val="24"/>
          <w:lang w:eastAsia="en-GB"/>
        </w:rPr>
        <w:t>which produces</w:t>
      </w:r>
      <w:r w:rsidR="0048705A" w:rsidRPr="009B294D">
        <w:rPr>
          <w:rFonts w:ascii="Calibri" w:hAnsi="Calibri" w:cs="Calibri"/>
          <w:color w:val="000000" w:themeColor="text1"/>
          <w:sz w:val="20"/>
          <w:szCs w:val="24"/>
          <w:lang w:eastAsia="en-GB"/>
        </w:rPr>
        <w:t xml:space="preserve"> MSY</w:t>
      </w:r>
    </w:p>
    <w:p w14:paraId="33E4C67F" w14:textId="77777777" w:rsidR="00EC5613" w:rsidRPr="009B294D" w:rsidRDefault="00EC5613"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SFA</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Indo-Pacific sailfish</w:t>
      </w:r>
      <w:r w:rsidR="00934D0C" w:rsidRPr="009B294D">
        <w:rPr>
          <w:rFonts w:ascii="Calibri" w:hAnsi="Calibri" w:cs="Calibri"/>
          <w:color w:val="000000" w:themeColor="text1"/>
          <w:sz w:val="20"/>
          <w:szCs w:val="24"/>
          <w:lang w:eastAsia="en-GB"/>
        </w:rPr>
        <w:t xml:space="preserve"> (FAO code)</w:t>
      </w:r>
    </w:p>
    <w:p w14:paraId="6A9FC4CF" w14:textId="77777777" w:rsidR="00E86E0F" w:rsidRPr="009B294D" w:rsidRDefault="00E86E0F"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color w:val="000000" w:themeColor="text1"/>
          <w:sz w:val="20"/>
          <w:szCs w:val="24"/>
          <w:lang w:eastAsia="en-GB"/>
        </w:rPr>
        <w:t>SS3</w:t>
      </w:r>
      <w:r w:rsidRPr="009B294D">
        <w:rPr>
          <w:rFonts w:ascii="Calibri" w:hAnsi="Calibri" w:cs="Calibri"/>
          <w:color w:val="000000" w:themeColor="text1"/>
          <w:sz w:val="20"/>
          <w:szCs w:val="24"/>
          <w:lang w:eastAsia="en-GB"/>
        </w:rPr>
        <w:tab/>
      </w:r>
      <w:r w:rsidRPr="009B294D">
        <w:rPr>
          <w:rFonts w:ascii="Calibri" w:hAnsi="Calibri" w:cs="Calibri"/>
          <w:color w:val="000000" w:themeColor="text1"/>
          <w:sz w:val="20"/>
          <w:szCs w:val="24"/>
          <w:lang w:eastAsia="en-GB"/>
        </w:rPr>
        <w:tab/>
        <w:t>Stock Synthesis III</w:t>
      </w:r>
    </w:p>
    <w:p w14:paraId="6864C874" w14:textId="77777777" w:rsidR="00E86E0F" w:rsidRPr="009B294D" w:rsidRDefault="00E86E0F" w:rsidP="0048705A">
      <w:pPr>
        <w:autoSpaceDE w:val="0"/>
        <w:autoSpaceDN w:val="0"/>
        <w:adjustRightInd w:val="0"/>
        <w:rPr>
          <w:rFonts w:ascii="Calibri" w:hAnsi="Calibri" w:cs="Calibri"/>
          <w:bCs/>
          <w:color w:val="000000" w:themeColor="text1"/>
          <w:sz w:val="20"/>
          <w:szCs w:val="24"/>
          <w:lang w:eastAsia="en-GB"/>
        </w:rPr>
      </w:pPr>
      <w:r w:rsidRPr="009B294D">
        <w:rPr>
          <w:rFonts w:ascii="Calibri" w:hAnsi="Calibri" w:cs="Calibri"/>
          <w:bCs/>
          <w:color w:val="000000" w:themeColor="text1"/>
          <w:sz w:val="20"/>
          <w:szCs w:val="24"/>
          <w:lang w:eastAsia="en-GB"/>
        </w:rPr>
        <w:t>SWO</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t>Swordfish</w:t>
      </w:r>
      <w:r w:rsidR="00003227" w:rsidRPr="009B294D">
        <w:rPr>
          <w:rFonts w:ascii="Calibri" w:hAnsi="Calibri" w:cs="Calibri"/>
          <w:bCs/>
          <w:color w:val="000000" w:themeColor="text1"/>
          <w:sz w:val="20"/>
          <w:szCs w:val="24"/>
          <w:lang w:eastAsia="en-GB"/>
        </w:rPr>
        <w:t xml:space="preserve"> (FAO code)</w:t>
      </w:r>
    </w:p>
    <w:p w14:paraId="7D6AED44" w14:textId="77777777" w:rsidR="003178D7" w:rsidRPr="009B294D" w:rsidRDefault="003178D7" w:rsidP="0048705A">
      <w:pPr>
        <w:autoSpaceDE w:val="0"/>
        <w:autoSpaceDN w:val="0"/>
        <w:adjustRightInd w:val="0"/>
        <w:rPr>
          <w:rFonts w:ascii="Calibri" w:hAnsi="Calibri" w:cs="Calibri"/>
          <w:bCs/>
          <w:color w:val="000000" w:themeColor="text1"/>
          <w:sz w:val="20"/>
          <w:szCs w:val="24"/>
          <w:lang w:eastAsia="en-GB"/>
        </w:rPr>
      </w:pPr>
      <w:r w:rsidRPr="009B294D">
        <w:rPr>
          <w:rFonts w:ascii="Calibri" w:hAnsi="Calibri" w:cs="Calibri"/>
          <w:bCs/>
          <w:color w:val="000000" w:themeColor="text1"/>
          <w:sz w:val="20"/>
          <w:szCs w:val="24"/>
          <w:lang w:eastAsia="en-GB"/>
        </w:rPr>
        <w:t>Taiwan,China</w:t>
      </w:r>
      <w:r w:rsidRPr="009B294D">
        <w:rPr>
          <w:rFonts w:ascii="Calibri" w:hAnsi="Calibri" w:cs="Calibri"/>
          <w:bCs/>
          <w:color w:val="000000" w:themeColor="text1"/>
          <w:sz w:val="20"/>
          <w:szCs w:val="24"/>
          <w:lang w:eastAsia="en-GB"/>
        </w:rPr>
        <w:tab/>
        <w:t>Taiwan, Province of China</w:t>
      </w:r>
    </w:p>
    <w:p w14:paraId="0A1D55D3" w14:textId="77777777" w:rsidR="0048705A" w:rsidRPr="009B294D" w:rsidRDefault="0048705A" w:rsidP="0048705A">
      <w:pPr>
        <w:autoSpaceDE w:val="0"/>
        <w:autoSpaceDN w:val="0"/>
        <w:adjustRightInd w:val="0"/>
        <w:rPr>
          <w:rFonts w:ascii="Calibri" w:hAnsi="Calibri" w:cs="Calibri"/>
          <w:color w:val="000000" w:themeColor="text1"/>
          <w:sz w:val="20"/>
          <w:szCs w:val="24"/>
          <w:lang w:eastAsia="en-GB"/>
        </w:rPr>
      </w:pPr>
      <w:r w:rsidRPr="009B294D">
        <w:rPr>
          <w:rFonts w:ascii="Calibri" w:hAnsi="Calibri" w:cs="Calibri"/>
          <w:bCs/>
          <w:color w:val="000000" w:themeColor="text1"/>
          <w:sz w:val="20"/>
          <w:szCs w:val="24"/>
          <w:lang w:eastAsia="en-GB"/>
        </w:rPr>
        <w:t>WPB</w:t>
      </w:r>
      <w:r w:rsidRPr="009B294D">
        <w:rPr>
          <w:rFonts w:ascii="Calibri" w:hAnsi="Calibri" w:cs="Calibri"/>
          <w:bCs/>
          <w:color w:val="000000" w:themeColor="text1"/>
          <w:sz w:val="20"/>
          <w:szCs w:val="24"/>
          <w:lang w:eastAsia="en-GB"/>
        </w:rPr>
        <w:tab/>
      </w:r>
      <w:r w:rsidRPr="009B294D">
        <w:rPr>
          <w:rFonts w:ascii="Calibri" w:hAnsi="Calibri" w:cs="Calibri"/>
          <w:bCs/>
          <w:color w:val="000000" w:themeColor="text1"/>
          <w:sz w:val="20"/>
          <w:szCs w:val="24"/>
          <w:lang w:eastAsia="en-GB"/>
        </w:rPr>
        <w:tab/>
      </w:r>
      <w:r w:rsidRPr="009B294D">
        <w:rPr>
          <w:rFonts w:ascii="Calibri" w:hAnsi="Calibri" w:cs="Calibri"/>
          <w:color w:val="000000" w:themeColor="text1"/>
          <w:sz w:val="20"/>
          <w:szCs w:val="24"/>
          <w:lang w:eastAsia="en-GB"/>
        </w:rPr>
        <w:t>Working Party on Billfish of the IOTC</w:t>
      </w:r>
    </w:p>
    <w:p w14:paraId="2272268B" w14:textId="77777777" w:rsidR="0048705A" w:rsidRPr="009B294D" w:rsidRDefault="0048705A" w:rsidP="0048705A">
      <w:pPr>
        <w:pStyle w:val="ResolutionsAnnex"/>
        <w:jc w:val="left"/>
        <w:rPr>
          <w:rFonts w:ascii="Calibri" w:hAnsi="Calibri" w:cs="Calibri"/>
          <w:b w:val="0"/>
          <w:smallCaps w:val="0"/>
          <w:noProof w:val="0"/>
          <w:snapToGrid/>
          <w:color w:val="000000" w:themeColor="text1"/>
          <w:sz w:val="20"/>
          <w:lang w:eastAsia="en-GB"/>
        </w:rPr>
      </w:pPr>
      <w:r w:rsidRPr="009B294D">
        <w:rPr>
          <w:rFonts w:ascii="Calibri" w:hAnsi="Calibri" w:cs="Calibri"/>
          <w:b w:val="0"/>
          <w:smallCaps w:val="0"/>
          <w:noProof w:val="0"/>
          <w:snapToGrid/>
          <w:color w:val="000000" w:themeColor="text1"/>
          <w:sz w:val="20"/>
          <w:lang w:eastAsia="en-GB"/>
        </w:rPr>
        <w:t>WP</w:t>
      </w:r>
      <w:r w:rsidR="00415A42" w:rsidRPr="009B294D">
        <w:rPr>
          <w:rFonts w:ascii="Calibri" w:hAnsi="Calibri" w:cs="Calibri"/>
          <w:b w:val="0"/>
          <w:smallCaps w:val="0"/>
          <w:noProof w:val="0"/>
          <w:snapToGrid/>
          <w:color w:val="000000" w:themeColor="text1"/>
          <w:sz w:val="20"/>
          <w:lang w:eastAsia="en-GB"/>
        </w:rPr>
        <w:t>EB</w:t>
      </w:r>
      <w:r w:rsidRPr="009B294D">
        <w:rPr>
          <w:rFonts w:ascii="Calibri" w:hAnsi="Calibri" w:cs="Calibri"/>
          <w:b w:val="0"/>
          <w:smallCaps w:val="0"/>
          <w:noProof w:val="0"/>
          <w:snapToGrid/>
          <w:color w:val="000000" w:themeColor="text1"/>
          <w:sz w:val="20"/>
          <w:lang w:eastAsia="en-GB"/>
        </w:rPr>
        <w:tab/>
      </w:r>
      <w:r w:rsidRPr="009B294D">
        <w:rPr>
          <w:rFonts w:ascii="Calibri" w:hAnsi="Calibri" w:cs="Calibri"/>
          <w:b w:val="0"/>
          <w:smallCaps w:val="0"/>
          <w:noProof w:val="0"/>
          <w:snapToGrid/>
          <w:color w:val="000000" w:themeColor="text1"/>
          <w:sz w:val="20"/>
          <w:lang w:eastAsia="en-GB"/>
        </w:rPr>
        <w:tab/>
        <w:t xml:space="preserve">Working Party on </w:t>
      </w:r>
      <w:r w:rsidR="00415A42" w:rsidRPr="009B294D">
        <w:rPr>
          <w:rFonts w:ascii="Calibri" w:hAnsi="Calibri" w:cs="Calibri"/>
          <w:b w:val="0"/>
          <w:smallCaps w:val="0"/>
          <w:noProof w:val="0"/>
          <w:snapToGrid/>
          <w:color w:val="000000" w:themeColor="text1"/>
          <w:sz w:val="20"/>
          <w:lang w:eastAsia="en-GB"/>
        </w:rPr>
        <w:t>Ecosystems and Bycatch</w:t>
      </w:r>
      <w:r w:rsidRPr="009B294D">
        <w:rPr>
          <w:rFonts w:ascii="Calibri" w:hAnsi="Calibri" w:cs="Calibri"/>
          <w:b w:val="0"/>
          <w:smallCaps w:val="0"/>
          <w:noProof w:val="0"/>
          <w:snapToGrid/>
          <w:color w:val="000000" w:themeColor="text1"/>
          <w:sz w:val="20"/>
          <w:lang w:eastAsia="en-GB"/>
        </w:rPr>
        <w:t xml:space="preserve"> of the IOTC</w:t>
      </w:r>
    </w:p>
    <w:p w14:paraId="103D6064" w14:textId="77777777" w:rsidR="00E44CA4" w:rsidRPr="009B294D" w:rsidRDefault="00E44CA4">
      <w:pPr>
        <w:rPr>
          <w:rFonts w:ascii="Calibri" w:hAnsi="Calibri" w:cs="Calibri"/>
          <w:b/>
          <w:smallCaps/>
          <w:noProof/>
          <w:snapToGrid w:val="0"/>
          <w:sz w:val="26"/>
          <w:szCs w:val="24"/>
          <w:lang w:eastAsia="en-US"/>
        </w:rPr>
      </w:pPr>
      <w:r w:rsidRPr="009B294D">
        <w:rPr>
          <w:rFonts w:ascii="Calibri" w:hAnsi="Calibri" w:cs="Calibri"/>
          <w:color w:val="FF0000"/>
        </w:rPr>
        <w:br w:type="page"/>
      </w:r>
    </w:p>
    <w:p w14:paraId="1DA79128" w14:textId="77777777" w:rsidR="00E44CA4" w:rsidRPr="009B294D" w:rsidRDefault="00E44CA4" w:rsidP="00E44CA4">
      <w:pPr>
        <w:pStyle w:val="ResolutionsAnnex"/>
        <w:spacing w:before="120"/>
        <w:rPr>
          <w:rFonts w:ascii="Calibri" w:hAnsi="Calibri" w:cs="Calibri"/>
          <w:color w:val="000000" w:themeColor="text1"/>
        </w:rPr>
      </w:pPr>
    </w:p>
    <w:p w14:paraId="4078612E" w14:textId="77777777" w:rsidR="00E44CA4" w:rsidRPr="009B294D" w:rsidRDefault="00E44CA4" w:rsidP="00E44CA4">
      <w:pPr>
        <w:pStyle w:val="ResolutionsAnnex"/>
        <w:spacing w:before="120"/>
        <w:rPr>
          <w:rFonts w:ascii="Calibri" w:hAnsi="Calibri" w:cs="Calibri"/>
          <w:color w:val="000000" w:themeColor="text1"/>
        </w:rPr>
      </w:pPr>
      <w:r w:rsidRPr="009B294D">
        <w:rPr>
          <w:rFonts w:ascii="Calibri" w:hAnsi="Calibri" w:cs="Calibri"/>
          <w:color w:val="000000" w:themeColor="text1"/>
        </w:rPr>
        <w:t>Standardisation of IOTC Working Party and Scientific Committee report terminology</w:t>
      </w:r>
    </w:p>
    <w:p w14:paraId="6534FDA5" w14:textId="77777777" w:rsidR="00E44CA4" w:rsidRPr="009B294D" w:rsidRDefault="00E44CA4" w:rsidP="00E44CA4">
      <w:pPr>
        <w:spacing w:before="120"/>
        <w:ind w:left="1080" w:hanging="1080"/>
        <w:jc w:val="both"/>
        <w:rPr>
          <w:rFonts w:ascii="Calibri" w:hAnsi="Calibri" w:cs="Calibri"/>
          <w:snapToGrid w:val="0"/>
          <w:color w:val="000000" w:themeColor="text1"/>
          <w:szCs w:val="20"/>
          <w:lang w:eastAsia="en-US"/>
        </w:rPr>
      </w:pPr>
      <w:r w:rsidRPr="009B294D">
        <w:rPr>
          <w:rFonts w:ascii="Calibri" w:hAnsi="Calibri" w:cs="Calibri"/>
          <w:snapToGrid w:val="0"/>
          <w:color w:val="000000" w:themeColor="text1"/>
          <w:lang w:eastAsia="en-US"/>
        </w:rPr>
        <w:t>SC16.07</w:t>
      </w:r>
      <w:r w:rsidRPr="009B294D">
        <w:rPr>
          <w:rFonts w:ascii="Calibri" w:hAnsi="Calibri" w:cs="Calibri"/>
          <w:snapToGrid w:val="0"/>
          <w:color w:val="000000" w:themeColor="text1"/>
          <w:lang w:eastAsia="en-US"/>
        </w:rPr>
        <w:tab/>
        <w:t>(para</w:t>
      </w:r>
      <w:r w:rsidR="000679D1" w:rsidRPr="009B294D">
        <w:rPr>
          <w:rFonts w:ascii="Calibri" w:hAnsi="Calibri" w:cs="Calibri"/>
          <w:snapToGrid w:val="0"/>
          <w:color w:val="000000" w:themeColor="text1"/>
          <w:lang w:eastAsia="en-US"/>
        </w:rPr>
        <w:t xml:space="preserve">. </w:t>
      </w:r>
      <w:r w:rsidRPr="009B294D">
        <w:rPr>
          <w:rFonts w:ascii="Calibri" w:hAnsi="Calibri" w:cs="Calibri"/>
          <w:snapToGrid w:val="0"/>
          <w:color w:val="000000" w:themeColor="text1"/>
          <w:lang w:eastAsia="en-US"/>
        </w:rPr>
        <w:t>23)</w:t>
      </w:r>
      <w:r w:rsidR="00D71484" w:rsidRPr="009B294D">
        <w:rPr>
          <w:rFonts w:ascii="Calibri" w:hAnsi="Calibri" w:cs="Calibri"/>
          <w:snapToGrid w:val="0"/>
          <w:color w:val="000000" w:themeColor="text1"/>
          <w:lang w:eastAsia="en-US"/>
        </w:rPr>
        <w:t xml:space="preserve"> </w:t>
      </w:r>
      <w:r w:rsidRPr="009B294D">
        <w:rPr>
          <w:rFonts w:ascii="Calibri" w:hAnsi="Calibri" w:cs="Calibri"/>
          <w:snapToGrid w:val="0"/>
          <w:color w:val="000000" w:themeColor="text1"/>
          <w:szCs w:val="20"/>
          <w:lang w:eastAsia="en-US"/>
        </w:rPr>
        <w:t xml:space="preserve">The SC </w:t>
      </w:r>
      <w:r w:rsidRPr="009B294D">
        <w:rPr>
          <w:rFonts w:ascii="Calibri" w:hAnsi="Calibri" w:cs="Calibri"/>
          <w:b/>
          <w:snapToGrid w:val="0"/>
          <w:color w:val="000000" w:themeColor="text1"/>
          <w:szCs w:val="20"/>
          <w:lang w:eastAsia="en-US"/>
        </w:rPr>
        <w:t>ADOPTED</w:t>
      </w:r>
      <w:r w:rsidRPr="009B294D">
        <w:rPr>
          <w:rFonts w:ascii="Calibri" w:hAnsi="Calibri" w:cs="Calibri"/>
          <w:snapToGrid w:val="0"/>
          <w:color w:val="000000" w:themeColor="text1"/>
          <w:szCs w:val="20"/>
          <w:lang w:eastAsia="en-US"/>
        </w:rPr>
        <w:t xml:space="preserve"> the reporting terminology contained in Appendix IV and </w:t>
      </w:r>
      <w:r w:rsidRPr="009B294D">
        <w:rPr>
          <w:rFonts w:ascii="Calibri" w:hAnsi="Calibri" w:cs="Calibri"/>
          <w:b/>
          <w:snapToGrid w:val="0"/>
          <w:color w:val="000000" w:themeColor="text1"/>
          <w:szCs w:val="20"/>
          <w:lang w:eastAsia="en-US"/>
        </w:rPr>
        <w:t>RECOMMENDED</w:t>
      </w:r>
      <w:r w:rsidRPr="009B294D">
        <w:rPr>
          <w:rFonts w:ascii="Calibri" w:hAnsi="Calibri" w:cs="Calibri"/>
          <w:snapToGrid w:val="0"/>
          <w:color w:val="000000" w:themeColor="text1"/>
          <w:szCs w:val="20"/>
          <w:lang w:eastAsia="en-US"/>
        </w:rPr>
        <w:t xml:space="preserve"> that the Commission considers adopting the standardised IOTC Report terminology, to further improve the clarity of information sharing from, and among its subsidiary bodies.</w:t>
      </w:r>
    </w:p>
    <w:p w14:paraId="3CF39E46" w14:textId="77777777" w:rsidR="00E44CA4" w:rsidRPr="009B294D" w:rsidRDefault="00E44CA4" w:rsidP="00E44CA4">
      <w:pPr>
        <w:pStyle w:val="ResolutionsAnnex"/>
        <w:spacing w:before="120"/>
        <w:rPr>
          <w:rFonts w:ascii="Calibri" w:hAnsi="Calibri" w:cs="Calibri"/>
          <w:bCs/>
          <w:noProof w:val="0"/>
          <w:snapToGrid/>
          <w:color w:val="000000" w:themeColor="text1"/>
          <w:kern w:val="32"/>
          <w:sz w:val="28"/>
          <w:szCs w:val="32"/>
          <w:lang w:val="en-US" w:eastAsia="en-GB"/>
        </w:rPr>
      </w:pPr>
      <w:r w:rsidRPr="009B294D">
        <w:rPr>
          <w:rFonts w:ascii="Calibri" w:hAnsi="Calibri" w:cs="Calibri"/>
          <w:bCs/>
          <w:noProof w:val="0"/>
          <w:snapToGrid/>
          <w:color w:val="000000" w:themeColor="text1"/>
          <w:kern w:val="32"/>
          <w:sz w:val="28"/>
          <w:szCs w:val="32"/>
          <w:lang w:val="en-US" w:eastAsia="en-GB"/>
        </w:rPr>
        <w:t>How to interpret terminology contained in this report</w:t>
      </w:r>
    </w:p>
    <w:p w14:paraId="690BBC84" w14:textId="77777777" w:rsidR="00E44CA4" w:rsidRPr="009B294D" w:rsidRDefault="00E44CA4" w:rsidP="00E44CA4">
      <w:pPr>
        <w:spacing w:before="120"/>
        <w:ind w:left="900" w:hanging="900"/>
        <w:jc w:val="both"/>
        <w:rPr>
          <w:rFonts w:ascii="Calibri" w:eastAsia="Calibri" w:hAnsi="Calibri" w:cs="Calibri"/>
          <w:b/>
          <w:i/>
          <w:color w:val="000000" w:themeColor="text1"/>
          <w:lang w:eastAsia="en-US"/>
        </w:rPr>
      </w:pPr>
      <w:r w:rsidRPr="009B294D">
        <w:rPr>
          <w:rFonts w:ascii="Calibri" w:eastAsia="Calibri" w:hAnsi="Calibri" w:cs="Calibri"/>
          <w:b/>
          <w:i/>
          <w:color w:val="000000" w:themeColor="text1"/>
          <w:lang w:eastAsia="en-US"/>
        </w:rPr>
        <w:t xml:space="preserve">Level 1: </w:t>
      </w:r>
      <w:r w:rsidRPr="009B294D">
        <w:rPr>
          <w:rFonts w:ascii="Calibri" w:eastAsia="Calibri" w:hAnsi="Calibri" w:cs="Calibri"/>
          <w:b/>
          <w:i/>
          <w:color w:val="000000" w:themeColor="text1"/>
          <w:lang w:eastAsia="en-US"/>
        </w:rPr>
        <w:tab/>
        <w:t>From a subsidiary body of the Commission to the next level in the structure of the Commission:</w:t>
      </w:r>
    </w:p>
    <w:p w14:paraId="024C1309" w14:textId="77777777" w:rsidR="00E44CA4" w:rsidRPr="009B294D" w:rsidRDefault="00E44CA4" w:rsidP="00E44CA4">
      <w:pPr>
        <w:ind w:left="900"/>
        <w:jc w:val="both"/>
        <w:rPr>
          <w:rFonts w:ascii="Calibri" w:eastAsia="Calibri" w:hAnsi="Calibri" w:cs="Calibri"/>
          <w:b/>
          <w:i/>
          <w:color w:val="000000" w:themeColor="text1"/>
          <w:lang w:eastAsia="en-US"/>
        </w:rPr>
      </w:pPr>
      <w:r w:rsidRPr="009B294D">
        <w:rPr>
          <w:rFonts w:ascii="Calibri" w:eastAsia="Calibri" w:hAnsi="Calibri" w:cs="Calibri"/>
          <w:b/>
          <w:color w:val="000000" w:themeColor="text1"/>
          <w:lang w:eastAsia="en-US"/>
        </w:rPr>
        <w:t>RECOMMENDED, RECOMMENDATION</w:t>
      </w:r>
      <w:r w:rsidRPr="009B294D">
        <w:rPr>
          <w:rFonts w:ascii="Calibri" w:eastAsia="Calibri" w:hAnsi="Calibri" w:cs="Calibri"/>
          <w:color w:val="000000" w:themeColor="text1"/>
          <w:lang w:eastAsia="en-US"/>
        </w:rPr>
        <w:t>: Any conclusion or request for an action to be undertaken, from a subsidiary body of the Commission (Committee or Working Party), which is to be formally provided to the next level in the structure of the Commission for its consideration/endorsement (e.g. from a Working Party to the Scientific Committee; from a Committee to the Commission). The intention is that the higher body will consider the recommended action for endorsement under its own mandate, if the subsidiary body does not already have the required mandate. Ideally this should be task specific and contain a timeframe for completion.</w:t>
      </w:r>
    </w:p>
    <w:p w14:paraId="3B82F625" w14:textId="77777777" w:rsidR="00E44CA4" w:rsidRPr="009B294D" w:rsidRDefault="00E44CA4" w:rsidP="00E44CA4">
      <w:pPr>
        <w:ind w:left="900" w:hanging="900"/>
        <w:jc w:val="both"/>
        <w:rPr>
          <w:rFonts w:ascii="Calibri" w:eastAsia="Calibri" w:hAnsi="Calibri" w:cs="Calibri"/>
          <w:b/>
          <w:i/>
          <w:color w:val="000000" w:themeColor="text1"/>
          <w:lang w:eastAsia="en-US"/>
        </w:rPr>
      </w:pPr>
    </w:p>
    <w:p w14:paraId="2A29B3ED" w14:textId="77777777" w:rsidR="00E44CA4" w:rsidRPr="009B294D" w:rsidRDefault="00E44CA4" w:rsidP="00E44CA4">
      <w:pPr>
        <w:ind w:left="900" w:hanging="900"/>
        <w:jc w:val="both"/>
        <w:rPr>
          <w:rFonts w:ascii="Calibri" w:eastAsia="Calibri" w:hAnsi="Calibri" w:cs="Calibri"/>
          <w:b/>
          <w:i/>
          <w:color w:val="000000" w:themeColor="text1"/>
          <w:lang w:eastAsia="en-US"/>
        </w:rPr>
      </w:pPr>
      <w:r w:rsidRPr="009B294D">
        <w:rPr>
          <w:rFonts w:ascii="Calibri" w:eastAsia="Calibri" w:hAnsi="Calibri" w:cs="Calibri"/>
          <w:b/>
          <w:i/>
          <w:color w:val="000000" w:themeColor="text1"/>
          <w:lang w:eastAsia="en-US"/>
        </w:rPr>
        <w:t xml:space="preserve">Level 2: </w:t>
      </w:r>
      <w:r w:rsidRPr="009B294D">
        <w:rPr>
          <w:rFonts w:ascii="Calibri" w:eastAsia="Calibri" w:hAnsi="Calibri" w:cs="Calibri"/>
          <w:b/>
          <w:i/>
          <w:color w:val="000000" w:themeColor="text1"/>
          <w:lang w:eastAsia="en-US"/>
        </w:rPr>
        <w:tab/>
        <w:t>From a subsidiary body of the Commission to a CPC, the IOTC Secretariat, or other body (not the Commission) to carry out a specified task:</w:t>
      </w:r>
    </w:p>
    <w:p w14:paraId="1CE84458" w14:textId="77777777" w:rsidR="00E44CA4" w:rsidRPr="009B294D" w:rsidRDefault="00E44CA4" w:rsidP="00E44CA4">
      <w:pPr>
        <w:ind w:left="900"/>
        <w:jc w:val="both"/>
        <w:rPr>
          <w:rFonts w:ascii="Calibri" w:eastAsia="Calibri" w:hAnsi="Calibri" w:cs="Calibri"/>
          <w:color w:val="000000" w:themeColor="text1"/>
          <w:lang w:eastAsia="en-US"/>
        </w:rPr>
      </w:pPr>
      <w:r w:rsidRPr="009B294D">
        <w:rPr>
          <w:rFonts w:ascii="Calibri" w:eastAsia="Calibri" w:hAnsi="Calibri" w:cs="Calibri"/>
          <w:b/>
          <w:color w:val="000000" w:themeColor="text1"/>
          <w:lang w:eastAsia="en-US"/>
        </w:rPr>
        <w:t>REQUESTED</w:t>
      </w:r>
      <w:r w:rsidRPr="009B294D">
        <w:rPr>
          <w:rFonts w:ascii="Calibri" w:eastAsia="Calibri" w:hAnsi="Calibri" w:cs="Calibri"/>
          <w:color w:val="000000" w:themeColor="text1"/>
          <w:lang w:eastAsia="en-US"/>
        </w:rPr>
        <w:t>: This term should only be used by a subsidiary body of the Commission if it does not wish to have the request formally adopted/endorsed by the next level in the structure of the Commission. For example, if a Committee wishes to seek additional input from a CPC on a particular topi</w:t>
      </w:r>
      <w:r w:rsidR="00D350A1" w:rsidRPr="009B294D">
        <w:rPr>
          <w:rFonts w:ascii="Calibri" w:eastAsia="Calibri" w:hAnsi="Calibri" w:cs="Calibri"/>
          <w:color w:val="000000" w:themeColor="text1"/>
          <w:lang w:eastAsia="en-US"/>
        </w:rPr>
        <w:t>c, but does not wish to formaliz</w:t>
      </w:r>
      <w:r w:rsidRPr="009B294D">
        <w:rPr>
          <w:rFonts w:ascii="Calibri" w:eastAsia="Calibri" w:hAnsi="Calibri" w:cs="Calibri"/>
          <w:color w:val="000000" w:themeColor="text1"/>
          <w:lang w:eastAsia="en-US"/>
        </w:rPr>
        <w:t>e the request beyond the mandate of the Committee, it may request that a set action be undertaken. Ideally this should be task specific and contain a timeframe for the completion.</w:t>
      </w:r>
    </w:p>
    <w:p w14:paraId="1592B51E" w14:textId="77777777" w:rsidR="00E44CA4" w:rsidRPr="009B294D" w:rsidRDefault="00E44CA4" w:rsidP="00F2638C">
      <w:pPr>
        <w:keepNext/>
        <w:keepLines/>
        <w:jc w:val="both"/>
        <w:rPr>
          <w:rFonts w:ascii="Calibri" w:eastAsia="Calibri" w:hAnsi="Calibri" w:cs="Calibri"/>
          <w:b/>
          <w:i/>
          <w:color w:val="000000" w:themeColor="text1"/>
          <w:lang w:eastAsia="en-US"/>
        </w:rPr>
      </w:pPr>
    </w:p>
    <w:p w14:paraId="383B0EE0" w14:textId="77777777" w:rsidR="00E44CA4" w:rsidRPr="009B294D" w:rsidRDefault="00E44CA4" w:rsidP="00E44CA4">
      <w:pPr>
        <w:keepNext/>
        <w:keepLines/>
        <w:ind w:left="907" w:hanging="907"/>
        <w:jc w:val="both"/>
        <w:rPr>
          <w:rFonts w:ascii="Calibri" w:eastAsia="Calibri" w:hAnsi="Calibri" w:cs="Calibri"/>
          <w:b/>
          <w:i/>
          <w:color w:val="000000" w:themeColor="text1"/>
          <w:lang w:eastAsia="en-US"/>
        </w:rPr>
      </w:pPr>
      <w:r w:rsidRPr="009B294D">
        <w:rPr>
          <w:rFonts w:ascii="Calibri" w:eastAsia="Calibri" w:hAnsi="Calibri" w:cs="Calibri"/>
          <w:b/>
          <w:i/>
          <w:color w:val="000000" w:themeColor="text1"/>
          <w:lang w:eastAsia="en-US"/>
        </w:rPr>
        <w:t xml:space="preserve">Level 3: </w:t>
      </w:r>
      <w:r w:rsidRPr="009B294D">
        <w:rPr>
          <w:rFonts w:ascii="Calibri" w:eastAsia="Calibri" w:hAnsi="Calibri" w:cs="Calibri"/>
          <w:b/>
          <w:i/>
          <w:color w:val="000000" w:themeColor="text1"/>
          <w:lang w:eastAsia="en-US"/>
        </w:rPr>
        <w:tab/>
        <w:t>General terms to be used for consistency:</w:t>
      </w:r>
    </w:p>
    <w:p w14:paraId="4CB66C15" w14:textId="77777777" w:rsidR="00E44CA4" w:rsidRPr="009B294D" w:rsidRDefault="00E44CA4" w:rsidP="00E44CA4">
      <w:pPr>
        <w:ind w:left="900"/>
        <w:jc w:val="both"/>
        <w:rPr>
          <w:rFonts w:ascii="Calibri" w:eastAsia="Calibri" w:hAnsi="Calibri" w:cs="Calibri"/>
          <w:b/>
          <w:i/>
          <w:color w:val="000000" w:themeColor="text1"/>
          <w:lang w:eastAsia="en-US"/>
        </w:rPr>
      </w:pPr>
      <w:r w:rsidRPr="009B294D">
        <w:rPr>
          <w:rFonts w:ascii="Calibri" w:eastAsia="Calibri" w:hAnsi="Calibri" w:cs="Calibri"/>
          <w:b/>
          <w:color w:val="000000" w:themeColor="text1"/>
          <w:lang w:eastAsia="en-US"/>
        </w:rPr>
        <w:t>AGREED</w:t>
      </w:r>
      <w:r w:rsidRPr="009B294D">
        <w:rPr>
          <w:rFonts w:ascii="Calibri" w:eastAsia="Calibri" w:hAnsi="Calibri" w:cs="Calibri"/>
          <w:color w:val="000000" w:themeColor="text1"/>
          <w:lang w:eastAsia="en-US"/>
        </w:rPr>
        <w:t>: Any point of discussion from a meeting which the IOTC body considers to be an agreed course of action covered by its mandate, which has not already been dealt with under Level 1 or level 2 above; a general point of agreement among delegations/participants of a meeting which does not need to be considered/adopted by the next level in the Commission’s structure.</w:t>
      </w:r>
    </w:p>
    <w:p w14:paraId="0D5D5120" w14:textId="77777777" w:rsidR="00E44CA4" w:rsidRPr="009B294D" w:rsidRDefault="00E44CA4" w:rsidP="00E44CA4">
      <w:pPr>
        <w:ind w:left="900"/>
        <w:jc w:val="both"/>
        <w:rPr>
          <w:rFonts w:ascii="Calibri" w:eastAsia="Calibri" w:hAnsi="Calibri" w:cs="Calibri"/>
          <w:b/>
          <w:i/>
          <w:color w:val="000000" w:themeColor="text1"/>
          <w:lang w:eastAsia="en-US"/>
        </w:rPr>
      </w:pPr>
      <w:r w:rsidRPr="009B294D">
        <w:rPr>
          <w:rFonts w:ascii="Calibri" w:eastAsia="Calibri" w:hAnsi="Calibri" w:cs="Calibri"/>
          <w:b/>
          <w:color w:val="000000" w:themeColor="text1"/>
          <w:lang w:eastAsia="en-US"/>
        </w:rPr>
        <w:t>NOTED/NOTING</w:t>
      </w:r>
      <w:r w:rsidRPr="009B294D">
        <w:rPr>
          <w:rFonts w:ascii="Calibri" w:eastAsia="Calibri" w:hAnsi="Calibri" w:cs="Calibri"/>
          <w:color w:val="000000" w:themeColor="text1"/>
          <w:lang w:eastAsia="en-US"/>
        </w:rPr>
        <w:t>: Any point of discussion from a meeting which the IOTC body considers to be important enough to record in a meeting report for future reference.</w:t>
      </w:r>
    </w:p>
    <w:p w14:paraId="4FFDF6E4" w14:textId="77777777" w:rsidR="00E44CA4" w:rsidRPr="009B294D" w:rsidRDefault="00E44CA4" w:rsidP="00E44CA4">
      <w:pPr>
        <w:jc w:val="both"/>
        <w:rPr>
          <w:rFonts w:ascii="Calibri" w:eastAsia="Calibri" w:hAnsi="Calibri" w:cs="Calibri"/>
          <w:b/>
          <w:i/>
          <w:color w:val="000000" w:themeColor="text1"/>
          <w:lang w:eastAsia="en-US"/>
        </w:rPr>
      </w:pPr>
    </w:p>
    <w:p w14:paraId="5CF5607E" w14:textId="77777777" w:rsidR="00E44CA4" w:rsidRPr="009B294D" w:rsidRDefault="00E44CA4" w:rsidP="00E44CA4">
      <w:pPr>
        <w:jc w:val="both"/>
        <w:rPr>
          <w:rFonts w:ascii="Calibri" w:eastAsia="Calibri" w:hAnsi="Calibri" w:cs="Calibri"/>
          <w:b/>
          <w:i/>
          <w:color w:val="000000" w:themeColor="text1"/>
          <w:lang w:eastAsia="en-US"/>
        </w:rPr>
      </w:pPr>
      <w:r w:rsidRPr="009B294D">
        <w:rPr>
          <w:rFonts w:ascii="Calibri" w:eastAsia="Calibri" w:hAnsi="Calibri" w:cs="Calibri"/>
          <w:b/>
          <w:i/>
          <w:color w:val="000000" w:themeColor="text1"/>
          <w:lang w:eastAsia="en-US"/>
        </w:rPr>
        <w:t xml:space="preserve">Any other term: </w:t>
      </w:r>
      <w:r w:rsidRPr="009B294D">
        <w:rPr>
          <w:rFonts w:ascii="Calibri" w:eastAsia="Calibri" w:hAnsi="Calibri" w:cs="Calibri"/>
          <w:color w:val="000000" w:themeColor="text1"/>
          <w:lang w:eastAsia="en-US"/>
        </w:rPr>
        <w:t xml:space="preserve">Any other term may be used in addition to the Level 3 terms to highlight to the reader of and IOTC report, the importance of the relevant paragraph. However, other terms used are considered for explanatory/informational purposes only and shall have no higher rating within the reporting terminology hierarchy than Level 3, described above (e.g. </w:t>
      </w:r>
      <w:r w:rsidRPr="009B294D">
        <w:rPr>
          <w:rFonts w:ascii="Calibri" w:eastAsia="Calibri" w:hAnsi="Calibri" w:cs="Calibri"/>
          <w:b/>
          <w:color w:val="000000" w:themeColor="text1"/>
          <w:lang w:eastAsia="en-US"/>
        </w:rPr>
        <w:t>CONSIDERED</w:t>
      </w:r>
      <w:r w:rsidRPr="009B294D">
        <w:rPr>
          <w:rFonts w:ascii="Calibri" w:eastAsia="Calibri" w:hAnsi="Calibri" w:cs="Calibri"/>
          <w:color w:val="000000" w:themeColor="text1"/>
          <w:lang w:eastAsia="en-US"/>
        </w:rPr>
        <w:t xml:space="preserve">; </w:t>
      </w:r>
      <w:r w:rsidRPr="009B294D">
        <w:rPr>
          <w:rFonts w:ascii="Calibri" w:eastAsia="Calibri" w:hAnsi="Calibri" w:cs="Calibri"/>
          <w:b/>
          <w:color w:val="000000" w:themeColor="text1"/>
          <w:lang w:eastAsia="en-US"/>
        </w:rPr>
        <w:t>URGED</w:t>
      </w:r>
      <w:r w:rsidRPr="009B294D">
        <w:rPr>
          <w:rFonts w:ascii="Calibri" w:eastAsia="Calibri" w:hAnsi="Calibri" w:cs="Calibri"/>
          <w:color w:val="000000" w:themeColor="text1"/>
          <w:lang w:eastAsia="en-US"/>
        </w:rPr>
        <w:t xml:space="preserve">; </w:t>
      </w:r>
      <w:r w:rsidRPr="009B294D">
        <w:rPr>
          <w:rFonts w:ascii="Calibri" w:eastAsia="Calibri" w:hAnsi="Calibri" w:cs="Calibri"/>
          <w:b/>
          <w:color w:val="000000" w:themeColor="text1"/>
          <w:lang w:eastAsia="en-US"/>
        </w:rPr>
        <w:t>ACKNOWLEDGED</w:t>
      </w:r>
      <w:r w:rsidRPr="009B294D">
        <w:rPr>
          <w:rFonts w:ascii="Calibri" w:eastAsia="Calibri" w:hAnsi="Calibri" w:cs="Calibri"/>
          <w:color w:val="000000" w:themeColor="text1"/>
          <w:lang w:eastAsia="en-US"/>
        </w:rPr>
        <w:t>).</w:t>
      </w:r>
    </w:p>
    <w:p w14:paraId="4C83AF8B" w14:textId="7E7EDEB1" w:rsidR="00454BD2" w:rsidRPr="00F71C10" w:rsidRDefault="00454BD2" w:rsidP="002B27A9">
      <w:pPr>
        <w:pStyle w:val="ResolutionsAnnex"/>
        <w:tabs>
          <w:tab w:val="center" w:pos="5233"/>
          <w:tab w:val="left" w:pos="9479"/>
        </w:tabs>
        <w:spacing w:before="120"/>
        <w:jc w:val="left"/>
        <w:rPr>
          <w:rFonts w:ascii="Calibri" w:hAnsi="Calibri" w:cs="Calibri"/>
          <w:color w:val="000000" w:themeColor="text1"/>
          <w:highlight w:val="yellow"/>
        </w:rPr>
      </w:pPr>
      <w:r w:rsidRPr="009B294D">
        <w:rPr>
          <w:rFonts w:ascii="Calibri" w:hAnsi="Calibri" w:cs="Calibri"/>
          <w:color w:val="000000" w:themeColor="text1"/>
        </w:rPr>
        <w:br w:type="page"/>
      </w:r>
      <w:bookmarkStart w:id="4" w:name="_Toc67367523"/>
      <w:r w:rsidR="002B27A9">
        <w:rPr>
          <w:rFonts w:ascii="Calibri" w:hAnsi="Calibri" w:cs="Calibri"/>
          <w:color w:val="000000" w:themeColor="text1"/>
        </w:rPr>
        <w:lastRenderedPageBreak/>
        <w:tab/>
      </w:r>
      <w:r w:rsidRPr="002B27A9">
        <w:rPr>
          <w:rFonts w:ascii="Calibri" w:hAnsi="Calibri" w:cs="Calibri"/>
          <w:color w:val="000000" w:themeColor="text1"/>
        </w:rPr>
        <w:t xml:space="preserve">Table of </w:t>
      </w:r>
      <w:r w:rsidR="002B27A9">
        <w:rPr>
          <w:rFonts w:ascii="Calibri" w:hAnsi="Calibri" w:cs="Calibri"/>
          <w:color w:val="000000" w:themeColor="text1"/>
        </w:rPr>
        <w:t>C</w:t>
      </w:r>
      <w:r w:rsidRPr="002B27A9">
        <w:rPr>
          <w:rFonts w:ascii="Calibri" w:hAnsi="Calibri" w:cs="Calibri"/>
          <w:color w:val="000000" w:themeColor="text1"/>
        </w:rPr>
        <w:t>ontent</w:t>
      </w:r>
      <w:bookmarkEnd w:id="4"/>
      <w:r w:rsidRPr="002B27A9">
        <w:rPr>
          <w:rFonts w:ascii="Calibri" w:hAnsi="Calibri" w:cs="Calibri"/>
          <w:color w:val="000000" w:themeColor="text1"/>
        </w:rPr>
        <w:t>s</w:t>
      </w:r>
      <w:r w:rsidR="002B27A9">
        <w:rPr>
          <w:rFonts w:ascii="Calibri" w:hAnsi="Calibri" w:cs="Calibri"/>
          <w:color w:val="000000" w:themeColor="text1"/>
        </w:rPr>
        <w:tab/>
      </w:r>
    </w:p>
    <w:p w14:paraId="15ED63DF" w14:textId="5E48E82D" w:rsidR="006557D7" w:rsidRDefault="00961984">
      <w:pPr>
        <w:pStyle w:val="TOC1"/>
        <w:rPr>
          <w:rFonts w:asciiTheme="minorHAnsi" w:eastAsiaTheme="minorEastAsia" w:hAnsiTheme="minorHAnsi" w:cstheme="minorBidi"/>
          <w:b w:val="0"/>
          <w:bCs w:val="0"/>
          <w:caps w:val="0"/>
          <w:kern w:val="2"/>
          <w:sz w:val="24"/>
          <w:szCs w:val="24"/>
          <w:lang w:val="en-SC" w:eastAsia="zh-CN"/>
          <w14:ligatures w14:val="standardContextual"/>
        </w:rPr>
      </w:pPr>
      <w:r w:rsidRPr="00F71C10">
        <w:rPr>
          <w:color w:val="FF0000"/>
          <w:highlight w:val="yellow"/>
        </w:rPr>
        <w:fldChar w:fldCharType="begin"/>
      </w:r>
      <w:r w:rsidR="008E776F" w:rsidRPr="00F71C10">
        <w:rPr>
          <w:color w:val="FF0000"/>
          <w:highlight w:val="yellow"/>
        </w:rPr>
        <w:instrText xml:space="preserve"> TOC \o "1-3" \h \z \t "Annex Title,1" </w:instrText>
      </w:r>
      <w:r w:rsidRPr="00F71C10">
        <w:rPr>
          <w:color w:val="FF0000"/>
          <w:highlight w:val="yellow"/>
        </w:rPr>
        <w:fldChar w:fldCharType="separate"/>
      </w:r>
      <w:hyperlink w:anchor="_Toc210218006" w:history="1">
        <w:r w:rsidR="006557D7" w:rsidRPr="00B93B21">
          <w:rPr>
            <w:rStyle w:val="Hyperlink"/>
          </w:rPr>
          <w:t>1.</w:t>
        </w:r>
        <w:r w:rsidR="006557D7">
          <w:rPr>
            <w:rFonts w:asciiTheme="minorHAnsi" w:eastAsiaTheme="minorEastAsia" w:hAnsiTheme="minorHAnsi" w:cstheme="minorBidi"/>
            <w:b w:val="0"/>
            <w:bCs w:val="0"/>
            <w:caps w:val="0"/>
            <w:kern w:val="2"/>
            <w:sz w:val="24"/>
            <w:szCs w:val="24"/>
            <w:lang w:val="en-SC" w:eastAsia="zh-CN"/>
            <w14:ligatures w14:val="standardContextual"/>
          </w:rPr>
          <w:tab/>
        </w:r>
        <w:r w:rsidR="006557D7" w:rsidRPr="00B93B21">
          <w:rPr>
            <w:rStyle w:val="Hyperlink"/>
          </w:rPr>
          <w:t>Opening of the session</w:t>
        </w:r>
        <w:r w:rsidR="006557D7">
          <w:rPr>
            <w:webHidden/>
          </w:rPr>
          <w:tab/>
        </w:r>
        <w:r w:rsidR="006557D7">
          <w:rPr>
            <w:webHidden/>
          </w:rPr>
          <w:fldChar w:fldCharType="begin"/>
        </w:r>
        <w:r w:rsidR="006557D7">
          <w:rPr>
            <w:webHidden/>
          </w:rPr>
          <w:instrText xml:space="preserve"> PAGEREF _Toc210218006 \h </w:instrText>
        </w:r>
        <w:r w:rsidR="006557D7">
          <w:rPr>
            <w:webHidden/>
          </w:rPr>
        </w:r>
        <w:r w:rsidR="006557D7">
          <w:rPr>
            <w:webHidden/>
          </w:rPr>
          <w:fldChar w:fldCharType="separate"/>
        </w:r>
        <w:r w:rsidR="006557D7">
          <w:rPr>
            <w:webHidden/>
          </w:rPr>
          <w:t>13</w:t>
        </w:r>
        <w:r w:rsidR="006557D7">
          <w:rPr>
            <w:webHidden/>
          </w:rPr>
          <w:fldChar w:fldCharType="end"/>
        </w:r>
      </w:hyperlink>
    </w:p>
    <w:p w14:paraId="4F1D1AE2" w14:textId="4DB8528E"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07" w:history="1">
        <w:r w:rsidRPr="00B93B21">
          <w:rPr>
            <w:rStyle w:val="Hyperlink"/>
          </w:rPr>
          <w:t>2.</w:t>
        </w:r>
        <w:r>
          <w:rPr>
            <w:rFonts w:asciiTheme="minorHAnsi" w:eastAsiaTheme="minorEastAsia" w:hAnsiTheme="minorHAnsi" w:cstheme="minorBidi"/>
            <w:b w:val="0"/>
            <w:bCs w:val="0"/>
            <w:caps w:val="0"/>
            <w:kern w:val="2"/>
            <w:sz w:val="24"/>
            <w:szCs w:val="24"/>
            <w:lang w:val="en-SC" w:eastAsia="zh-CN"/>
            <w14:ligatures w14:val="standardContextual"/>
          </w:rPr>
          <w:tab/>
        </w:r>
        <w:r w:rsidRPr="00B93B21">
          <w:rPr>
            <w:rStyle w:val="Hyperlink"/>
          </w:rPr>
          <w:t>Adoption of the agenda and arrangements for the session</w:t>
        </w:r>
        <w:r>
          <w:rPr>
            <w:webHidden/>
          </w:rPr>
          <w:tab/>
        </w:r>
        <w:r>
          <w:rPr>
            <w:webHidden/>
          </w:rPr>
          <w:fldChar w:fldCharType="begin"/>
        </w:r>
        <w:r>
          <w:rPr>
            <w:webHidden/>
          </w:rPr>
          <w:instrText xml:space="preserve"> PAGEREF _Toc210218007 \h </w:instrText>
        </w:r>
        <w:r>
          <w:rPr>
            <w:webHidden/>
          </w:rPr>
        </w:r>
        <w:r>
          <w:rPr>
            <w:webHidden/>
          </w:rPr>
          <w:fldChar w:fldCharType="separate"/>
        </w:r>
        <w:r>
          <w:rPr>
            <w:webHidden/>
          </w:rPr>
          <w:t>13</w:t>
        </w:r>
        <w:r>
          <w:rPr>
            <w:webHidden/>
          </w:rPr>
          <w:fldChar w:fldCharType="end"/>
        </w:r>
      </w:hyperlink>
    </w:p>
    <w:p w14:paraId="2A9D24C6" w14:textId="510A367E"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08" w:history="1">
        <w:r w:rsidRPr="00B93B21">
          <w:rPr>
            <w:rStyle w:val="Hyperlink"/>
          </w:rPr>
          <w:t>3.</w:t>
        </w:r>
        <w:r>
          <w:rPr>
            <w:rFonts w:asciiTheme="minorHAnsi" w:eastAsiaTheme="minorEastAsia" w:hAnsiTheme="minorHAnsi" w:cstheme="minorBidi"/>
            <w:b w:val="0"/>
            <w:bCs w:val="0"/>
            <w:caps w:val="0"/>
            <w:kern w:val="2"/>
            <w:sz w:val="24"/>
            <w:szCs w:val="24"/>
            <w:lang w:val="en-SC" w:eastAsia="zh-CN"/>
            <w14:ligatures w14:val="standardContextual"/>
          </w:rPr>
          <w:tab/>
        </w:r>
        <w:r w:rsidRPr="00B93B21">
          <w:rPr>
            <w:rStyle w:val="Hyperlink"/>
          </w:rPr>
          <w:t>The IOTC process: Outcomes, updates and progress</w:t>
        </w:r>
        <w:r>
          <w:rPr>
            <w:webHidden/>
          </w:rPr>
          <w:tab/>
        </w:r>
        <w:r>
          <w:rPr>
            <w:webHidden/>
          </w:rPr>
          <w:fldChar w:fldCharType="begin"/>
        </w:r>
        <w:r>
          <w:rPr>
            <w:webHidden/>
          </w:rPr>
          <w:instrText xml:space="preserve"> PAGEREF _Toc210218008 \h </w:instrText>
        </w:r>
        <w:r>
          <w:rPr>
            <w:webHidden/>
          </w:rPr>
        </w:r>
        <w:r>
          <w:rPr>
            <w:webHidden/>
          </w:rPr>
          <w:fldChar w:fldCharType="separate"/>
        </w:r>
        <w:r>
          <w:rPr>
            <w:webHidden/>
          </w:rPr>
          <w:t>13</w:t>
        </w:r>
        <w:r>
          <w:rPr>
            <w:webHidden/>
          </w:rPr>
          <w:fldChar w:fldCharType="end"/>
        </w:r>
      </w:hyperlink>
    </w:p>
    <w:p w14:paraId="69987D25" w14:textId="1FA33578"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09" w:history="1">
        <w:r w:rsidRPr="00B93B21">
          <w:rPr>
            <w:rStyle w:val="Hyperlink"/>
          </w:rPr>
          <w:t>4.</w:t>
        </w:r>
        <w:r>
          <w:rPr>
            <w:rFonts w:asciiTheme="minorHAnsi" w:eastAsiaTheme="minorEastAsia" w:hAnsiTheme="minorHAnsi" w:cstheme="minorBidi"/>
            <w:b w:val="0"/>
            <w:bCs w:val="0"/>
            <w:caps w:val="0"/>
            <w:kern w:val="2"/>
            <w:sz w:val="24"/>
            <w:szCs w:val="24"/>
            <w:lang w:val="en-SC" w:eastAsia="zh-CN"/>
            <w14:ligatures w14:val="standardContextual"/>
          </w:rPr>
          <w:tab/>
        </w:r>
        <w:r w:rsidRPr="00B93B21">
          <w:rPr>
            <w:rStyle w:val="Hyperlink"/>
          </w:rPr>
          <w:t>New information on fisheries and associated environmental data for billfish</w:t>
        </w:r>
        <w:r>
          <w:rPr>
            <w:webHidden/>
          </w:rPr>
          <w:tab/>
        </w:r>
        <w:r>
          <w:rPr>
            <w:webHidden/>
          </w:rPr>
          <w:fldChar w:fldCharType="begin"/>
        </w:r>
        <w:r>
          <w:rPr>
            <w:webHidden/>
          </w:rPr>
          <w:instrText xml:space="preserve"> PAGEREF _Toc210218009 \h </w:instrText>
        </w:r>
        <w:r>
          <w:rPr>
            <w:webHidden/>
          </w:rPr>
        </w:r>
        <w:r>
          <w:rPr>
            <w:webHidden/>
          </w:rPr>
          <w:fldChar w:fldCharType="separate"/>
        </w:r>
        <w:r>
          <w:rPr>
            <w:webHidden/>
          </w:rPr>
          <w:t>15</w:t>
        </w:r>
        <w:r>
          <w:rPr>
            <w:webHidden/>
          </w:rPr>
          <w:fldChar w:fldCharType="end"/>
        </w:r>
      </w:hyperlink>
    </w:p>
    <w:p w14:paraId="1A05DDA5" w14:textId="65F2D780"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10" w:history="1">
        <w:r w:rsidRPr="00B93B21">
          <w:rPr>
            <w:rStyle w:val="Hyperlink"/>
          </w:rPr>
          <w:t>5.</w:t>
        </w:r>
        <w:r>
          <w:rPr>
            <w:rFonts w:asciiTheme="minorHAnsi" w:eastAsiaTheme="minorEastAsia" w:hAnsiTheme="minorHAnsi" w:cstheme="minorBidi"/>
            <w:b w:val="0"/>
            <w:bCs w:val="0"/>
            <w:caps w:val="0"/>
            <w:kern w:val="2"/>
            <w:sz w:val="24"/>
            <w:szCs w:val="24"/>
            <w:lang w:val="en-SC" w:eastAsia="zh-CN"/>
            <w14:ligatures w14:val="standardContextual"/>
          </w:rPr>
          <w:tab/>
        </w:r>
        <w:r w:rsidRPr="00B93B21">
          <w:rPr>
            <w:rStyle w:val="Hyperlink"/>
          </w:rPr>
          <w:t>Marlins (Priority species for 2025: Blue marlin and Indo Pacific sailfish)</w:t>
        </w:r>
        <w:r>
          <w:rPr>
            <w:webHidden/>
          </w:rPr>
          <w:tab/>
        </w:r>
        <w:r>
          <w:rPr>
            <w:webHidden/>
          </w:rPr>
          <w:fldChar w:fldCharType="begin"/>
        </w:r>
        <w:r>
          <w:rPr>
            <w:webHidden/>
          </w:rPr>
          <w:instrText xml:space="preserve"> PAGEREF _Toc210218010 \h </w:instrText>
        </w:r>
        <w:r>
          <w:rPr>
            <w:webHidden/>
          </w:rPr>
        </w:r>
        <w:r>
          <w:rPr>
            <w:webHidden/>
          </w:rPr>
          <w:fldChar w:fldCharType="separate"/>
        </w:r>
        <w:r>
          <w:rPr>
            <w:webHidden/>
          </w:rPr>
          <w:t>18</w:t>
        </w:r>
        <w:r>
          <w:rPr>
            <w:webHidden/>
          </w:rPr>
          <w:fldChar w:fldCharType="end"/>
        </w:r>
      </w:hyperlink>
    </w:p>
    <w:p w14:paraId="6E14B750" w14:textId="752188F7"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11" w:history="1">
        <w:r w:rsidRPr="00B93B21">
          <w:rPr>
            <w:rStyle w:val="Hyperlink"/>
          </w:rPr>
          <w:t>6.</w:t>
        </w:r>
        <w:r>
          <w:rPr>
            <w:rFonts w:asciiTheme="minorHAnsi" w:eastAsiaTheme="minorEastAsia" w:hAnsiTheme="minorHAnsi" w:cstheme="minorBidi"/>
            <w:b w:val="0"/>
            <w:bCs w:val="0"/>
            <w:caps w:val="0"/>
            <w:kern w:val="2"/>
            <w:sz w:val="24"/>
            <w:szCs w:val="24"/>
            <w:lang w:val="en-SC" w:eastAsia="zh-CN"/>
            <w14:ligatures w14:val="standardContextual"/>
          </w:rPr>
          <w:tab/>
        </w:r>
        <w:r w:rsidRPr="00B93B21">
          <w:rPr>
            <w:rStyle w:val="Hyperlink"/>
          </w:rPr>
          <w:t>Progress MANAGEMENT Procedure (Resolution 24/08)</w:t>
        </w:r>
        <w:r>
          <w:rPr>
            <w:webHidden/>
          </w:rPr>
          <w:tab/>
        </w:r>
        <w:r>
          <w:rPr>
            <w:webHidden/>
          </w:rPr>
          <w:fldChar w:fldCharType="begin"/>
        </w:r>
        <w:r>
          <w:rPr>
            <w:webHidden/>
          </w:rPr>
          <w:instrText xml:space="preserve"> PAGEREF _Toc210218011 \h </w:instrText>
        </w:r>
        <w:r>
          <w:rPr>
            <w:webHidden/>
          </w:rPr>
        </w:r>
        <w:r>
          <w:rPr>
            <w:webHidden/>
          </w:rPr>
          <w:fldChar w:fldCharType="separate"/>
        </w:r>
        <w:r>
          <w:rPr>
            <w:webHidden/>
          </w:rPr>
          <w:t>29</w:t>
        </w:r>
        <w:r>
          <w:rPr>
            <w:webHidden/>
          </w:rPr>
          <w:fldChar w:fldCharType="end"/>
        </w:r>
      </w:hyperlink>
    </w:p>
    <w:p w14:paraId="2BC976FE" w14:textId="153F72FA"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12" w:history="1">
        <w:r w:rsidRPr="00B93B21">
          <w:rPr>
            <w:rStyle w:val="Hyperlink"/>
          </w:rPr>
          <w:t>7.</w:t>
        </w:r>
        <w:r>
          <w:rPr>
            <w:rFonts w:asciiTheme="minorHAnsi" w:eastAsiaTheme="minorEastAsia" w:hAnsiTheme="minorHAnsi" w:cstheme="minorBidi"/>
            <w:b w:val="0"/>
            <w:bCs w:val="0"/>
            <w:caps w:val="0"/>
            <w:kern w:val="2"/>
            <w:sz w:val="24"/>
            <w:szCs w:val="24"/>
            <w:lang w:val="en-SC" w:eastAsia="zh-CN"/>
            <w14:ligatures w14:val="standardContextual"/>
          </w:rPr>
          <w:tab/>
        </w:r>
        <w:r w:rsidRPr="00B93B21">
          <w:rPr>
            <w:rStyle w:val="Hyperlink"/>
          </w:rPr>
          <w:t>Other Billfishes</w:t>
        </w:r>
        <w:r>
          <w:rPr>
            <w:webHidden/>
          </w:rPr>
          <w:tab/>
        </w:r>
        <w:r>
          <w:rPr>
            <w:webHidden/>
          </w:rPr>
          <w:fldChar w:fldCharType="begin"/>
        </w:r>
        <w:r>
          <w:rPr>
            <w:webHidden/>
          </w:rPr>
          <w:instrText xml:space="preserve"> PAGEREF _Toc210218012 \h </w:instrText>
        </w:r>
        <w:r>
          <w:rPr>
            <w:webHidden/>
          </w:rPr>
        </w:r>
        <w:r>
          <w:rPr>
            <w:webHidden/>
          </w:rPr>
          <w:fldChar w:fldCharType="separate"/>
        </w:r>
        <w:r>
          <w:rPr>
            <w:webHidden/>
          </w:rPr>
          <w:t>30</w:t>
        </w:r>
        <w:r>
          <w:rPr>
            <w:webHidden/>
          </w:rPr>
          <w:fldChar w:fldCharType="end"/>
        </w:r>
      </w:hyperlink>
    </w:p>
    <w:p w14:paraId="6AE6BCB9" w14:textId="03B5CBB5"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13" w:history="1">
        <w:r w:rsidRPr="00B93B21">
          <w:rPr>
            <w:rStyle w:val="Hyperlink"/>
          </w:rPr>
          <w:t>8.</w:t>
        </w:r>
        <w:r>
          <w:rPr>
            <w:rFonts w:asciiTheme="minorHAnsi" w:eastAsiaTheme="minorEastAsia" w:hAnsiTheme="minorHAnsi" w:cstheme="minorBidi"/>
            <w:b w:val="0"/>
            <w:bCs w:val="0"/>
            <w:caps w:val="0"/>
            <w:kern w:val="2"/>
            <w:sz w:val="24"/>
            <w:szCs w:val="24"/>
            <w:lang w:val="en-SC" w:eastAsia="zh-CN"/>
            <w14:ligatures w14:val="standardContextual"/>
          </w:rPr>
          <w:tab/>
        </w:r>
        <w:r w:rsidRPr="00B93B21">
          <w:rPr>
            <w:rStyle w:val="Hyperlink"/>
          </w:rPr>
          <w:t>WPB PROGRAM OF WORK</w:t>
        </w:r>
        <w:r>
          <w:rPr>
            <w:webHidden/>
          </w:rPr>
          <w:tab/>
        </w:r>
        <w:r>
          <w:rPr>
            <w:webHidden/>
          </w:rPr>
          <w:fldChar w:fldCharType="begin"/>
        </w:r>
        <w:r>
          <w:rPr>
            <w:webHidden/>
          </w:rPr>
          <w:instrText xml:space="preserve"> PAGEREF _Toc210218013 \h </w:instrText>
        </w:r>
        <w:r>
          <w:rPr>
            <w:webHidden/>
          </w:rPr>
        </w:r>
        <w:r>
          <w:rPr>
            <w:webHidden/>
          </w:rPr>
          <w:fldChar w:fldCharType="separate"/>
        </w:r>
        <w:r>
          <w:rPr>
            <w:webHidden/>
          </w:rPr>
          <w:t>32</w:t>
        </w:r>
        <w:r>
          <w:rPr>
            <w:webHidden/>
          </w:rPr>
          <w:fldChar w:fldCharType="end"/>
        </w:r>
      </w:hyperlink>
    </w:p>
    <w:p w14:paraId="30E2E5DE" w14:textId="75CE665F"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14" w:history="1">
        <w:r w:rsidRPr="00B93B21">
          <w:rPr>
            <w:rStyle w:val="Hyperlink"/>
          </w:rPr>
          <w:t>9.</w:t>
        </w:r>
        <w:r>
          <w:rPr>
            <w:rFonts w:asciiTheme="minorHAnsi" w:eastAsiaTheme="minorEastAsia" w:hAnsiTheme="minorHAnsi" w:cstheme="minorBidi"/>
            <w:b w:val="0"/>
            <w:bCs w:val="0"/>
            <w:caps w:val="0"/>
            <w:kern w:val="2"/>
            <w:sz w:val="24"/>
            <w:szCs w:val="24"/>
            <w:lang w:val="en-SC" w:eastAsia="zh-CN"/>
            <w14:ligatures w14:val="standardContextual"/>
          </w:rPr>
          <w:tab/>
        </w:r>
        <w:r w:rsidRPr="00B93B21">
          <w:rPr>
            <w:rStyle w:val="Hyperlink"/>
          </w:rPr>
          <w:t>Other business</w:t>
        </w:r>
        <w:r>
          <w:rPr>
            <w:webHidden/>
          </w:rPr>
          <w:tab/>
        </w:r>
        <w:r>
          <w:rPr>
            <w:webHidden/>
          </w:rPr>
          <w:fldChar w:fldCharType="begin"/>
        </w:r>
        <w:r>
          <w:rPr>
            <w:webHidden/>
          </w:rPr>
          <w:instrText xml:space="preserve"> PAGEREF _Toc210218014 \h </w:instrText>
        </w:r>
        <w:r>
          <w:rPr>
            <w:webHidden/>
          </w:rPr>
        </w:r>
        <w:r>
          <w:rPr>
            <w:webHidden/>
          </w:rPr>
          <w:fldChar w:fldCharType="separate"/>
        </w:r>
        <w:r>
          <w:rPr>
            <w:webHidden/>
          </w:rPr>
          <w:t>32</w:t>
        </w:r>
        <w:r>
          <w:rPr>
            <w:webHidden/>
          </w:rPr>
          <w:fldChar w:fldCharType="end"/>
        </w:r>
      </w:hyperlink>
    </w:p>
    <w:p w14:paraId="0B99356A" w14:textId="794B607C"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15" w:history="1">
        <w:r w:rsidRPr="00B93B21">
          <w:rPr>
            <w:rStyle w:val="Hyperlink"/>
          </w:rPr>
          <w:t>Appendix I - List of participants</w:t>
        </w:r>
        <w:r>
          <w:rPr>
            <w:webHidden/>
          </w:rPr>
          <w:tab/>
        </w:r>
        <w:r>
          <w:rPr>
            <w:webHidden/>
          </w:rPr>
          <w:fldChar w:fldCharType="begin"/>
        </w:r>
        <w:r>
          <w:rPr>
            <w:webHidden/>
          </w:rPr>
          <w:instrText xml:space="preserve"> PAGEREF _Toc210218015 \h </w:instrText>
        </w:r>
        <w:r>
          <w:rPr>
            <w:webHidden/>
          </w:rPr>
        </w:r>
        <w:r>
          <w:rPr>
            <w:webHidden/>
          </w:rPr>
          <w:fldChar w:fldCharType="separate"/>
        </w:r>
        <w:r>
          <w:rPr>
            <w:webHidden/>
          </w:rPr>
          <w:t>34</w:t>
        </w:r>
        <w:r>
          <w:rPr>
            <w:webHidden/>
          </w:rPr>
          <w:fldChar w:fldCharType="end"/>
        </w:r>
      </w:hyperlink>
    </w:p>
    <w:p w14:paraId="0FA2ED17" w14:textId="243272A9"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16" w:history="1">
        <w:r w:rsidRPr="00B93B21">
          <w:rPr>
            <w:rStyle w:val="Hyperlink"/>
          </w:rPr>
          <w:t>Appendix II - Agenda for the 23</w:t>
        </w:r>
        <w:r w:rsidRPr="00B93B21">
          <w:rPr>
            <w:rStyle w:val="Hyperlink"/>
            <w:vertAlign w:val="superscript"/>
          </w:rPr>
          <w:t>rd</w:t>
        </w:r>
        <w:r w:rsidRPr="00B93B21">
          <w:rPr>
            <w:rStyle w:val="Hyperlink"/>
          </w:rPr>
          <w:t xml:space="preserve"> Working Party on Billfish</w:t>
        </w:r>
        <w:r>
          <w:rPr>
            <w:webHidden/>
          </w:rPr>
          <w:tab/>
        </w:r>
        <w:r>
          <w:rPr>
            <w:webHidden/>
          </w:rPr>
          <w:fldChar w:fldCharType="begin"/>
        </w:r>
        <w:r>
          <w:rPr>
            <w:webHidden/>
          </w:rPr>
          <w:instrText xml:space="preserve"> PAGEREF _Toc210218016 \h </w:instrText>
        </w:r>
        <w:r>
          <w:rPr>
            <w:webHidden/>
          </w:rPr>
        </w:r>
        <w:r>
          <w:rPr>
            <w:webHidden/>
          </w:rPr>
          <w:fldChar w:fldCharType="separate"/>
        </w:r>
        <w:r>
          <w:rPr>
            <w:webHidden/>
          </w:rPr>
          <w:t>35</w:t>
        </w:r>
        <w:r>
          <w:rPr>
            <w:webHidden/>
          </w:rPr>
          <w:fldChar w:fldCharType="end"/>
        </w:r>
      </w:hyperlink>
    </w:p>
    <w:p w14:paraId="786E4D11" w14:textId="5967D5FA"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17" w:history="1">
        <w:r w:rsidRPr="00B93B21">
          <w:rPr>
            <w:rStyle w:val="Hyperlink"/>
          </w:rPr>
          <w:t>Appendix III - List of documents for the 23</w:t>
        </w:r>
        <w:r w:rsidRPr="00B93B21">
          <w:rPr>
            <w:rStyle w:val="Hyperlink"/>
            <w:vertAlign w:val="superscript"/>
          </w:rPr>
          <w:t>st</w:t>
        </w:r>
        <w:r w:rsidRPr="00B93B21">
          <w:rPr>
            <w:rStyle w:val="Hyperlink"/>
          </w:rPr>
          <w:t xml:space="preserve"> Working Party on Billfish</w:t>
        </w:r>
        <w:r>
          <w:rPr>
            <w:webHidden/>
          </w:rPr>
          <w:tab/>
        </w:r>
        <w:r>
          <w:rPr>
            <w:webHidden/>
          </w:rPr>
          <w:fldChar w:fldCharType="begin"/>
        </w:r>
        <w:r>
          <w:rPr>
            <w:webHidden/>
          </w:rPr>
          <w:instrText xml:space="preserve"> PAGEREF _Toc210218017 \h </w:instrText>
        </w:r>
        <w:r>
          <w:rPr>
            <w:webHidden/>
          </w:rPr>
        </w:r>
        <w:r>
          <w:rPr>
            <w:webHidden/>
          </w:rPr>
          <w:fldChar w:fldCharType="separate"/>
        </w:r>
        <w:r>
          <w:rPr>
            <w:webHidden/>
          </w:rPr>
          <w:t>36</w:t>
        </w:r>
        <w:r>
          <w:rPr>
            <w:webHidden/>
          </w:rPr>
          <w:fldChar w:fldCharType="end"/>
        </w:r>
      </w:hyperlink>
    </w:p>
    <w:p w14:paraId="3A8F6A7B" w14:textId="3D3C2DBA"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18" w:history="1">
        <w:r w:rsidRPr="00B93B21">
          <w:rPr>
            <w:rStyle w:val="Hyperlink"/>
          </w:rPr>
          <w:t>Appendix IV - [ Draft ] resource stock status summary – Swordfish</w:t>
        </w:r>
        <w:r>
          <w:rPr>
            <w:webHidden/>
          </w:rPr>
          <w:tab/>
        </w:r>
        <w:r>
          <w:rPr>
            <w:webHidden/>
          </w:rPr>
          <w:fldChar w:fldCharType="begin"/>
        </w:r>
        <w:r>
          <w:rPr>
            <w:webHidden/>
          </w:rPr>
          <w:instrText xml:space="preserve"> PAGEREF _Toc210218018 \h </w:instrText>
        </w:r>
        <w:r>
          <w:rPr>
            <w:webHidden/>
          </w:rPr>
        </w:r>
        <w:r>
          <w:rPr>
            <w:webHidden/>
          </w:rPr>
          <w:fldChar w:fldCharType="separate"/>
        </w:r>
        <w:r>
          <w:rPr>
            <w:webHidden/>
          </w:rPr>
          <w:t>37</w:t>
        </w:r>
        <w:r>
          <w:rPr>
            <w:webHidden/>
          </w:rPr>
          <w:fldChar w:fldCharType="end"/>
        </w:r>
      </w:hyperlink>
    </w:p>
    <w:p w14:paraId="2AF4BA57" w14:textId="17B6A4C0"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19" w:history="1">
        <w:r w:rsidRPr="00B93B21">
          <w:rPr>
            <w:rStyle w:val="Hyperlink"/>
          </w:rPr>
          <w:t>Appendix V - [ Draft ] resource stock status summaries – Black marlin</w:t>
        </w:r>
        <w:r>
          <w:rPr>
            <w:webHidden/>
          </w:rPr>
          <w:tab/>
        </w:r>
        <w:r>
          <w:rPr>
            <w:webHidden/>
          </w:rPr>
          <w:fldChar w:fldCharType="begin"/>
        </w:r>
        <w:r>
          <w:rPr>
            <w:webHidden/>
          </w:rPr>
          <w:instrText xml:space="preserve"> PAGEREF _Toc210218019 \h </w:instrText>
        </w:r>
        <w:r>
          <w:rPr>
            <w:webHidden/>
          </w:rPr>
        </w:r>
        <w:r>
          <w:rPr>
            <w:webHidden/>
          </w:rPr>
          <w:fldChar w:fldCharType="separate"/>
        </w:r>
        <w:r>
          <w:rPr>
            <w:webHidden/>
          </w:rPr>
          <w:t>41</w:t>
        </w:r>
        <w:r>
          <w:rPr>
            <w:webHidden/>
          </w:rPr>
          <w:fldChar w:fldCharType="end"/>
        </w:r>
      </w:hyperlink>
    </w:p>
    <w:p w14:paraId="099D644A" w14:textId="76CA4B5F"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20" w:history="1">
        <w:r w:rsidRPr="00B93B21">
          <w:rPr>
            <w:rStyle w:val="Hyperlink"/>
          </w:rPr>
          <w:t>Appendix VI - [ Draft ] resource stock status summaries – Blue marlin</w:t>
        </w:r>
        <w:r>
          <w:rPr>
            <w:webHidden/>
          </w:rPr>
          <w:tab/>
        </w:r>
        <w:r>
          <w:rPr>
            <w:webHidden/>
          </w:rPr>
          <w:fldChar w:fldCharType="begin"/>
        </w:r>
        <w:r>
          <w:rPr>
            <w:webHidden/>
          </w:rPr>
          <w:instrText xml:space="preserve"> PAGEREF _Toc210218020 \h </w:instrText>
        </w:r>
        <w:r>
          <w:rPr>
            <w:webHidden/>
          </w:rPr>
        </w:r>
        <w:r>
          <w:rPr>
            <w:webHidden/>
          </w:rPr>
          <w:fldChar w:fldCharType="separate"/>
        </w:r>
        <w:r>
          <w:rPr>
            <w:webHidden/>
          </w:rPr>
          <w:t>45</w:t>
        </w:r>
        <w:r>
          <w:rPr>
            <w:webHidden/>
          </w:rPr>
          <w:fldChar w:fldCharType="end"/>
        </w:r>
      </w:hyperlink>
    </w:p>
    <w:p w14:paraId="761D25B3" w14:textId="1114F9A5"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21" w:history="1">
        <w:r w:rsidRPr="00B93B21">
          <w:rPr>
            <w:rStyle w:val="Hyperlink"/>
          </w:rPr>
          <w:t>Appendix VII - [ Draft ] resource stock status summaries – Striped marlin</w:t>
        </w:r>
        <w:r>
          <w:rPr>
            <w:webHidden/>
          </w:rPr>
          <w:tab/>
        </w:r>
        <w:r>
          <w:rPr>
            <w:webHidden/>
          </w:rPr>
          <w:fldChar w:fldCharType="begin"/>
        </w:r>
        <w:r>
          <w:rPr>
            <w:webHidden/>
          </w:rPr>
          <w:instrText xml:space="preserve"> PAGEREF _Toc210218021 \h </w:instrText>
        </w:r>
        <w:r>
          <w:rPr>
            <w:webHidden/>
          </w:rPr>
        </w:r>
        <w:r>
          <w:rPr>
            <w:webHidden/>
          </w:rPr>
          <w:fldChar w:fldCharType="separate"/>
        </w:r>
        <w:r>
          <w:rPr>
            <w:webHidden/>
          </w:rPr>
          <w:t>49</w:t>
        </w:r>
        <w:r>
          <w:rPr>
            <w:webHidden/>
          </w:rPr>
          <w:fldChar w:fldCharType="end"/>
        </w:r>
      </w:hyperlink>
    </w:p>
    <w:p w14:paraId="573C346B" w14:textId="34F5F49A"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22" w:history="1">
        <w:r w:rsidRPr="00B93B21">
          <w:rPr>
            <w:rStyle w:val="Hyperlink"/>
          </w:rPr>
          <w:t>Appendix VIII - [ Draft ] resource stock status summary – Indo-Pacific sailfish</w:t>
        </w:r>
        <w:r>
          <w:rPr>
            <w:webHidden/>
          </w:rPr>
          <w:tab/>
        </w:r>
        <w:r>
          <w:rPr>
            <w:webHidden/>
          </w:rPr>
          <w:fldChar w:fldCharType="begin"/>
        </w:r>
        <w:r>
          <w:rPr>
            <w:webHidden/>
          </w:rPr>
          <w:instrText xml:space="preserve"> PAGEREF _Toc210218022 \h </w:instrText>
        </w:r>
        <w:r>
          <w:rPr>
            <w:webHidden/>
          </w:rPr>
        </w:r>
        <w:r>
          <w:rPr>
            <w:webHidden/>
          </w:rPr>
          <w:fldChar w:fldCharType="separate"/>
        </w:r>
        <w:r>
          <w:rPr>
            <w:webHidden/>
          </w:rPr>
          <w:t>53</w:t>
        </w:r>
        <w:r>
          <w:rPr>
            <w:webHidden/>
          </w:rPr>
          <w:fldChar w:fldCharType="end"/>
        </w:r>
      </w:hyperlink>
    </w:p>
    <w:p w14:paraId="3BB3D865" w14:textId="7F8781A4"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23" w:history="1">
        <w:r w:rsidRPr="00B93B21">
          <w:rPr>
            <w:rStyle w:val="Hyperlink"/>
            <w:kern w:val="32"/>
            <w:lang w:val="en-GB"/>
          </w:rPr>
          <w:t>Appendix IX drafted Guidelines for Longline CPUE Standardization</w:t>
        </w:r>
        <w:r>
          <w:rPr>
            <w:webHidden/>
          </w:rPr>
          <w:tab/>
        </w:r>
        <w:r>
          <w:rPr>
            <w:webHidden/>
          </w:rPr>
          <w:fldChar w:fldCharType="begin"/>
        </w:r>
        <w:r>
          <w:rPr>
            <w:webHidden/>
          </w:rPr>
          <w:instrText xml:space="preserve"> PAGEREF _Toc210218023 \h </w:instrText>
        </w:r>
        <w:r>
          <w:rPr>
            <w:webHidden/>
          </w:rPr>
        </w:r>
        <w:r>
          <w:rPr>
            <w:webHidden/>
          </w:rPr>
          <w:fldChar w:fldCharType="separate"/>
        </w:r>
        <w:r>
          <w:rPr>
            <w:webHidden/>
          </w:rPr>
          <w:t>57</w:t>
        </w:r>
        <w:r>
          <w:rPr>
            <w:webHidden/>
          </w:rPr>
          <w:fldChar w:fldCharType="end"/>
        </w:r>
      </w:hyperlink>
    </w:p>
    <w:p w14:paraId="7D816744" w14:textId="756A043B"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24" w:history="1">
        <w:r w:rsidRPr="00B93B21">
          <w:rPr>
            <w:rStyle w:val="Hyperlink"/>
            <w:kern w:val="32"/>
            <w:lang w:val="en-GB"/>
          </w:rPr>
          <w:t xml:space="preserve">Appendix X </w:t>
        </w:r>
        <w:r w:rsidRPr="00B93B21">
          <w:rPr>
            <w:rStyle w:val="Hyperlink"/>
            <w:lang w:val="en-GB"/>
          </w:rPr>
          <w:t>Working Party on Billfish Program of Work (2026–2030)</w:t>
        </w:r>
        <w:r>
          <w:rPr>
            <w:webHidden/>
          </w:rPr>
          <w:tab/>
        </w:r>
        <w:r>
          <w:rPr>
            <w:webHidden/>
          </w:rPr>
          <w:fldChar w:fldCharType="begin"/>
        </w:r>
        <w:r>
          <w:rPr>
            <w:webHidden/>
          </w:rPr>
          <w:instrText xml:space="preserve"> PAGEREF _Toc210218024 \h </w:instrText>
        </w:r>
        <w:r>
          <w:rPr>
            <w:webHidden/>
          </w:rPr>
        </w:r>
        <w:r>
          <w:rPr>
            <w:webHidden/>
          </w:rPr>
          <w:fldChar w:fldCharType="separate"/>
        </w:r>
        <w:r>
          <w:rPr>
            <w:webHidden/>
          </w:rPr>
          <w:t>59</w:t>
        </w:r>
        <w:r>
          <w:rPr>
            <w:webHidden/>
          </w:rPr>
          <w:fldChar w:fldCharType="end"/>
        </w:r>
      </w:hyperlink>
    </w:p>
    <w:p w14:paraId="68638DF7" w14:textId="1D5B4A24" w:rsidR="006557D7" w:rsidRDefault="006557D7">
      <w:pPr>
        <w:pStyle w:val="TOC1"/>
        <w:rPr>
          <w:rFonts w:asciiTheme="minorHAnsi" w:eastAsiaTheme="minorEastAsia" w:hAnsiTheme="minorHAnsi" w:cstheme="minorBidi"/>
          <w:b w:val="0"/>
          <w:bCs w:val="0"/>
          <w:caps w:val="0"/>
          <w:kern w:val="2"/>
          <w:sz w:val="24"/>
          <w:szCs w:val="24"/>
          <w:lang w:val="en-SC" w:eastAsia="zh-CN"/>
          <w14:ligatures w14:val="standardContextual"/>
        </w:rPr>
      </w:pPr>
      <w:hyperlink w:anchor="_Toc210218025" w:history="1">
        <w:r w:rsidRPr="00B93B21">
          <w:rPr>
            <w:rStyle w:val="Hyperlink"/>
            <w:lang w:val="en-GB"/>
          </w:rPr>
          <w:t>Appendix XI Consolidated recommendations of the 23</w:t>
        </w:r>
        <w:r w:rsidRPr="00B93B21">
          <w:rPr>
            <w:rStyle w:val="Hyperlink"/>
            <w:vertAlign w:val="superscript"/>
            <w:lang w:val="en-GB"/>
          </w:rPr>
          <w:t>rd</w:t>
        </w:r>
        <w:r w:rsidRPr="00B93B21">
          <w:rPr>
            <w:rStyle w:val="Hyperlink"/>
            <w:lang w:val="en-GB"/>
          </w:rPr>
          <w:t xml:space="preserve"> Session of the Working Party on Billfish</w:t>
        </w:r>
        <w:r>
          <w:rPr>
            <w:webHidden/>
          </w:rPr>
          <w:tab/>
        </w:r>
        <w:r>
          <w:rPr>
            <w:webHidden/>
          </w:rPr>
          <w:fldChar w:fldCharType="begin"/>
        </w:r>
        <w:r>
          <w:rPr>
            <w:webHidden/>
          </w:rPr>
          <w:instrText xml:space="preserve"> PAGEREF _Toc210218025 \h </w:instrText>
        </w:r>
        <w:r>
          <w:rPr>
            <w:webHidden/>
          </w:rPr>
        </w:r>
        <w:r>
          <w:rPr>
            <w:webHidden/>
          </w:rPr>
          <w:fldChar w:fldCharType="separate"/>
        </w:r>
        <w:r>
          <w:rPr>
            <w:webHidden/>
          </w:rPr>
          <w:t>63</w:t>
        </w:r>
        <w:r>
          <w:rPr>
            <w:webHidden/>
          </w:rPr>
          <w:fldChar w:fldCharType="end"/>
        </w:r>
      </w:hyperlink>
    </w:p>
    <w:p w14:paraId="120B4582" w14:textId="4E4A3D15" w:rsidR="00343827" w:rsidRPr="00F71C10" w:rsidRDefault="00961984">
      <w:pPr>
        <w:rPr>
          <w:rFonts w:ascii="Calibri" w:hAnsi="Calibri" w:cs="Calibri"/>
          <w:highlight w:val="yellow"/>
        </w:rPr>
      </w:pPr>
      <w:r w:rsidRPr="00F71C10">
        <w:rPr>
          <w:rFonts w:ascii="Calibri" w:hAnsi="Calibri" w:cs="Calibri"/>
          <w:color w:val="FF0000"/>
          <w:sz w:val="20"/>
          <w:szCs w:val="20"/>
          <w:highlight w:val="yellow"/>
        </w:rPr>
        <w:fldChar w:fldCharType="end"/>
      </w:r>
      <w:bookmarkStart w:id="5" w:name="_Toc218672860"/>
      <w:bookmarkStart w:id="6" w:name="_Toc218916694"/>
      <w:bookmarkStart w:id="7" w:name="_Toc289173005"/>
      <w:bookmarkStart w:id="8" w:name="_Toc163032593"/>
      <w:bookmarkStart w:id="9" w:name="_Toc336947257"/>
      <w:r w:rsidR="00343827" w:rsidRPr="00F71C10">
        <w:rPr>
          <w:rFonts w:ascii="Calibri" w:hAnsi="Calibri" w:cs="Calibri"/>
          <w:b/>
          <w:bCs/>
          <w:caps/>
          <w:highlight w:val="yellow"/>
        </w:rPr>
        <w:br w:type="page"/>
      </w:r>
    </w:p>
    <w:tbl>
      <w:tblPr>
        <w:tblW w:w="9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79"/>
      </w:tblGrid>
      <w:tr w:rsidR="004620AB" w:rsidRPr="009B294D" w14:paraId="2D5F804B" w14:textId="77777777" w:rsidTr="3F1DEBE1">
        <w:trPr>
          <w:trHeight w:val="1345"/>
          <w:jc w:val="center"/>
        </w:trPr>
        <w:tc>
          <w:tcPr>
            <w:tcW w:w="9779" w:type="dxa"/>
          </w:tcPr>
          <w:p w14:paraId="557640AD" w14:textId="64E7A351" w:rsidR="00454BD2" w:rsidRPr="00550878" w:rsidRDefault="00454BD2" w:rsidP="00212FBC">
            <w:pPr>
              <w:pStyle w:val="TOC1"/>
            </w:pPr>
            <w:r w:rsidRPr="00550878">
              <w:lastRenderedPageBreak/>
              <w:t>Executive summary</w:t>
            </w:r>
            <w:bookmarkEnd w:id="5"/>
            <w:bookmarkEnd w:id="6"/>
            <w:bookmarkEnd w:id="7"/>
            <w:bookmarkEnd w:id="8"/>
            <w:bookmarkEnd w:id="9"/>
          </w:p>
          <w:p w14:paraId="35A17F8F" w14:textId="3FB6162F" w:rsidR="00C969E5" w:rsidRPr="00355602" w:rsidRDefault="00550878" w:rsidP="00C969E5">
            <w:pPr>
              <w:pStyle w:val="IOTCReportNormalNumbered"/>
              <w:numPr>
                <w:ilvl w:val="0"/>
                <w:numId w:val="0"/>
              </w:numPr>
              <w:tabs>
                <w:tab w:val="left" w:pos="8624"/>
              </w:tabs>
              <w:ind w:left="22" w:hanging="22"/>
              <w:rPr>
                <w:rFonts w:ascii="Calibri" w:hAnsi="Calibri" w:cs="Calibri"/>
                <w:color w:val="000000" w:themeColor="text1"/>
                <w:szCs w:val="22"/>
              </w:rPr>
            </w:pPr>
            <w:r w:rsidRPr="00550878">
              <w:rPr>
                <w:rFonts w:ascii="Calibri" w:hAnsi="Calibri" w:cs="Calibri"/>
                <w:color w:val="auto"/>
              </w:rPr>
              <w:tab/>
            </w:r>
            <w:r w:rsidR="00355602" w:rsidRPr="00355602">
              <w:rPr>
                <w:rFonts w:ascii="Calibri" w:hAnsi="Calibri" w:cs="Calibri"/>
                <w:color w:val="auto"/>
              </w:rPr>
              <w:t xml:space="preserve">The </w:t>
            </w:r>
            <w:r w:rsidR="00561ED1" w:rsidRPr="3F1DEBE1">
              <w:rPr>
                <w:rFonts w:ascii="Calibri" w:hAnsi="Calibri" w:cs="Calibri"/>
                <w:color w:val="auto"/>
              </w:rPr>
              <w:t>2</w:t>
            </w:r>
            <w:r w:rsidR="00561ED1">
              <w:rPr>
                <w:rFonts w:ascii="Calibri" w:hAnsi="Calibri" w:cs="Calibri"/>
                <w:color w:val="auto"/>
              </w:rPr>
              <w:t>3</w:t>
            </w:r>
            <w:r w:rsidR="00561ED1">
              <w:rPr>
                <w:rFonts w:ascii="Calibri" w:hAnsi="Calibri" w:cs="Calibri"/>
                <w:color w:val="auto"/>
                <w:vertAlign w:val="superscript"/>
              </w:rPr>
              <w:t>rd</w:t>
            </w:r>
            <w:r w:rsidR="00561ED1" w:rsidRPr="3F1DEBE1">
              <w:rPr>
                <w:rFonts w:ascii="Calibri" w:hAnsi="Calibri" w:cs="Calibri"/>
                <w:color w:val="auto"/>
              </w:rPr>
              <w:t xml:space="preserve"> Session of the Indian Ocean Tuna Commission’s (IOTC) Working Party on Billfish (WPB) was</w:t>
            </w:r>
            <w:r w:rsidR="004B120F">
              <w:rPr>
                <w:rFonts w:ascii="Calibri" w:eastAsiaTheme="minorEastAsia" w:hAnsi="Calibri" w:cs="Calibri" w:hint="eastAsia"/>
                <w:color w:val="auto"/>
                <w:lang w:eastAsia="zh-CN"/>
              </w:rPr>
              <w:t xml:space="preserve"> held</w:t>
            </w:r>
            <w:r w:rsidR="00561ED1" w:rsidRPr="3F1DEBE1">
              <w:rPr>
                <w:rFonts w:ascii="Calibri" w:hAnsi="Calibri" w:cs="Calibri"/>
                <w:color w:val="auto"/>
              </w:rPr>
              <w:t xml:space="preserve"> in </w:t>
            </w:r>
            <w:r w:rsidR="00561ED1">
              <w:rPr>
                <w:rFonts w:ascii="Calibri" w:hAnsi="Calibri" w:cs="Calibri"/>
                <w:color w:val="auto"/>
              </w:rPr>
              <w:t xml:space="preserve">IRD, </w:t>
            </w:r>
            <w:r w:rsidR="00405FD7" w:rsidRPr="00405FD7">
              <w:rPr>
                <w:rFonts w:ascii="Calibri" w:hAnsi="Calibri" w:cs="Calibri"/>
                <w:color w:val="auto"/>
              </w:rPr>
              <w:t>Sète</w:t>
            </w:r>
            <w:r w:rsidR="00561ED1">
              <w:rPr>
                <w:rFonts w:ascii="Calibri" w:hAnsi="Calibri" w:cs="Calibri"/>
                <w:color w:val="auto"/>
              </w:rPr>
              <w:t>, France</w:t>
            </w:r>
            <w:r w:rsidR="00561ED1" w:rsidRPr="3F1DEBE1">
              <w:rPr>
                <w:rFonts w:ascii="Calibri" w:hAnsi="Calibri" w:cs="Calibri"/>
                <w:color w:val="auto"/>
              </w:rPr>
              <w:t xml:space="preserve">, using a hybrid format from the </w:t>
            </w:r>
            <w:r w:rsidR="00561ED1">
              <w:rPr>
                <w:rFonts w:ascii="Calibri" w:hAnsi="Calibri" w:cs="Calibri"/>
                <w:color w:val="auto"/>
              </w:rPr>
              <w:t>15</w:t>
            </w:r>
            <w:r w:rsidR="00561ED1" w:rsidRPr="3F1DEBE1">
              <w:rPr>
                <w:rFonts w:ascii="Calibri" w:hAnsi="Calibri" w:cs="Calibri"/>
                <w:color w:val="auto"/>
              </w:rPr>
              <w:t xml:space="preserve"> to </w:t>
            </w:r>
            <w:r w:rsidR="00561ED1">
              <w:rPr>
                <w:rFonts w:ascii="Calibri" w:hAnsi="Calibri" w:cs="Calibri"/>
                <w:color w:val="auto"/>
              </w:rPr>
              <w:t>18</w:t>
            </w:r>
            <w:r w:rsidR="00561ED1" w:rsidRPr="3F1DEBE1">
              <w:rPr>
                <w:rFonts w:ascii="Calibri" w:hAnsi="Calibri" w:cs="Calibri"/>
                <w:color w:val="auto"/>
              </w:rPr>
              <w:t xml:space="preserve"> September 2024. A total of </w:t>
            </w:r>
            <w:r w:rsidR="008464D4">
              <w:rPr>
                <w:rFonts w:ascii="Calibri" w:hAnsi="Calibri" w:cs="Calibri"/>
                <w:color w:val="auto"/>
              </w:rPr>
              <w:t>36</w:t>
            </w:r>
            <w:r w:rsidR="00561ED1" w:rsidRPr="3F1DEBE1">
              <w:rPr>
                <w:rFonts w:ascii="Calibri" w:hAnsi="Calibri" w:cs="Calibri"/>
                <w:color w:val="auto"/>
              </w:rPr>
              <w:t xml:space="preserve"> participants (</w:t>
            </w:r>
            <w:r w:rsidR="00561ED1">
              <w:rPr>
                <w:rFonts w:ascii="Calibri" w:hAnsi="Calibri" w:cs="Calibri"/>
                <w:color w:val="auto"/>
              </w:rPr>
              <w:t xml:space="preserve">47, in 2024, </w:t>
            </w:r>
            <w:r w:rsidR="00561ED1" w:rsidRPr="3F1DEBE1">
              <w:rPr>
                <w:rFonts w:ascii="Calibri" w:hAnsi="Calibri" w:cs="Calibri"/>
                <w:color w:val="auto"/>
              </w:rPr>
              <w:t xml:space="preserve">97 in 2023, 51 in 2022, and 55 in 2021) attended the Session (of which </w:t>
            </w:r>
            <w:r w:rsidR="00561ED1">
              <w:rPr>
                <w:rFonts w:ascii="Calibri" w:hAnsi="Calibri" w:cs="Calibri"/>
                <w:color w:val="auto"/>
              </w:rPr>
              <w:t>25</w:t>
            </w:r>
            <w:r w:rsidR="00561ED1" w:rsidRPr="3F1DEBE1">
              <w:rPr>
                <w:rFonts w:ascii="Calibri" w:hAnsi="Calibri" w:cs="Calibri"/>
                <w:color w:val="auto"/>
              </w:rPr>
              <w:t xml:space="preserve"> attended in person). The list of participants is provided at </w:t>
            </w:r>
            <w:hyperlink w:anchor="APP1">
              <w:r w:rsidR="00561ED1" w:rsidRPr="3F1DEBE1">
                <w:rPr>
                  <w:rStyle w:val="Hyperlink"/>
                  <w:rFonts w:ascii="Calibri" w:hAnsi="Calibri" w:cs="Calibri"/>
                </w:rPr>
                <w:t>Appendix I</w:t>
              </w:r>
            </w:hyperlink>
            <w:r w:rsidR="00561ED1" w:rsidRPr="3F1DEBE1">
              <w:rPr>
                <w:rFonts w:ascii="Calibri" w:hAnsi="Calibri" w:cs="Calibri"/>
                <w:color w:val="auto"/>
              </w:rPr>
              <w:t>. The meeting was opened by the Chairperson, Dr Jie Cao (China), who welcomed participants</w:t>
            </w:r>
            <w:r w:rsidR="00355602" w:rsidRPr="00355602">
              <w:rPr>
                <w:rFonts w:ascii="Calibri" w:hAnsi="Calibri" w:cs="Calibri"/>
                <w:color w:val="auto"/>
              </w:rPr>
              <w:t>.</w:t>
            </w:r>
          </w:p>
          <w:p w14:paraId="240F9A26" w14:textId="55911FD2" w:rsidR="00422EA6" w:rsidRPr="00355602" w:rsidRDefault="0099411A" w:rsidP="005B0C65">
            <w:pPr>
              <w:pStyle w:val="IOTCReportNormalNumbered"/>
              <w:numPr>
                <w:ilvl w:val="0"/>
                <w:numId w:val="0"/>
              </w:numPr>
              <w:tabs>
                <w:tab w:val="left" w:pos="8624"/>
              </w:tabs>
              <w:rPr>
                <w:rFonts w:ascii="Calibri" w:hAnsi="Calibri" w:cs="Calibri"/>
                <w:color w:val="auto"/>
              </w:rPr>
            </w:pPr>
            <w:r w:rsidRPr="00355602">
              <w:rPr>
                <w:rFonts w:ascii="Calibri" w:hAnsi="Calibri" w:cs="Calibri"/>
                <w:color w:val="auto"/>
              </w:rPr>
              <w:t>The following are the complet</w:t>
            </w:r>
            <w:r w:rsidR="00646D78" w:rsidRPr="00355602">
              <w:rPr>
                <w:rFonts w:ascii="Calibri" w:hAnsi="Calibri" w:cs="Calibri"/>
                <w:color w:val="auto"/>
              </w:rPr>
              <w:t>e recommendations from the WPB</w:t>
            </w:r>
            <w:r w:rsidR="005966B9" w:rsidRPr="00355602">
              <w:rPr>
                <w:rFonts w:ascii="Calibri" w:hAnsi="Calibri" w:cs="Calibri"/>
                <w:color w:val="auto"/>
              </w:rPr>
              <w:t>2</w:t>
            </w:r>
            <w:r w:rsidR="00EF6BCE">
              <w:rPr>
                <w:rFonts w:ascii="Calibri" w:hAnsi="Calibri" w:cs="Calibri"/>
                <w:color w:val="auto"/>
              </w:rPr>
              <w:t>3</w:t>
            </w:r>
            <w:r w:rsidRPr="00355602">
              <w:rPr>
                <w:rFonts w:ascii="Calibri" w:hAnsi="Calibri" w:cs="Calibri"/>
                <w:color w:val="auto"/>
              </w:rPr>
              <w:t xml:space="preserve"> to the Scientific Committee, which are </w:t>
            </w:r>
            <w:r w:rsidR="005B0C65" w:rsidRPr="00355602">
              <w:rPr>
                <w:rFonts w:ascii="Calibri" w:hAnsi="Calibri" w:cs="Calibri"/>
                <w:color w:val="auto"/>
              </w:rPr>
              <w:t xml:space="preserve">also </w:t>
            </w:r>
            <w:r w:rsidRPr="00355602">
              <w:rPr>
                <w:rFonts w:ascii="Calibri" w:hAnsi="Calibri" w:cs="Calibri"/>
                <w:color w:val="auto"/>
              </w:rPr>
              <w:t xml:space="preserve">provided at </w:t>
            </w:r>
            <w:hyperlink w:anchor="APP11" w:history="1">
              <w:r w:rsidR="00355602" w:rsidRPr="00355602">
                <w:rPr>
                  <w:rStyle w:val="Hyperlink"/>
                  <w:rFonts w:ascii="Calibri" w:hAnsi="Calibri" w:cs="Calibri"/>
                </w:rPr>
                <w:t xml:space="preserve">Appendix </w:t>
              </w:r>
              <w:r w:rsidR="001D2046">
                <w:rPr>
                  <w:rStyle w:val="Hyperlink"/>
                  <w:rFonts w:ascii="Calibri" w:hAnsi="Calibri" w:cs="Calibri"/>
                </w:rPr>
                <w:t>XI</w:t>
              </w:r>
            </w:hyperlink>
            <w:r w:rsidR="005B0C65" w:rsidRPr="00355602">
              <w:rPr>
                <w:rFonts w:ascii="Calibri" w:hAnsi="Calibri" w:cs="Calibri"/>
                <w:color w:val="auto"/>
              </w:rPr>
              <w:t>:</w:t>
            </w:r>
          </w:p>
          <w:p w14:paraId="67185224" w14:textId="6DE77524" w:rsidR="00B7241B" w:rsidRDefault="00D7335E" w:rsidP="00B7241B">
            <w:pPr>
              <w:pStyle w:val="IOTCsubheading2"/>
              <w:numPr>
                <w:ilvl w:val="0"/>
                <w:numId w:val="0"/>
              </w:numPr>
              <w:spacing w:before="240"/>
              <w:rPr>
                <w:rFonts w:ascii="Calibri" w:hAnsi="Calibri" w:cs="Calibri"/>
              </w:rPr>
            </w:pPr>
            <w:r w:rsidRPr="00D7335E">
              <w:rPr>
                <w:rFonts w:ascii="Calibri" w:hAnsi="Calibri" w:cs="Calibri"/>
              </w:rPr>
              <w:t xml:space="preserve">Review of new information on the status of </w:t>
            </w:r>
            <w:r w:rsidR="007D1064" w:rsidRPr="00800F2D">
              <w:rPr>
                <w:rFonts w:ascii="Calibri" w:hAnsi="Calibri" w:cs="Calibri"/>
              </w:rPr>
              <w:t>blue marlin and Indo Pacific sailfish</w:t>
            </w:r>
          </w:p>
          <w:p w14:paraId="2B142A69" w14:textId="77777777" w:rsidR="00B7241B" w:rsidRDefault="00B7241B" w:rsidP="00B7241B">
            <w:pPr>
              <w:pStyle w:val="TOC2"/>
              <w:rPr>
                <w:highlight w:val="yellow"/>
              </w:rPr>
            </w:pPr>
          </w:p>
          <w:p w14:paraId="2C5058C8" w14:textId="64574405" w:rsidR="002A3C99" w:rsidRPr="00CA2B35" w:rsidRDefault="00D7335E" w:rsidP="00CA2B35">
            <w:pPr>
              <w:pStyle w:val="IOTCReportNormalNumbered"/>
              <w:numPr>
                <w:ilvl w:val="0"/>
                <w:numId w:val="0"/>
              </w:numPr>
              <w:ind w:left="502" w:hanging="502"/>
              <w:rPr>
                <w:rFonts w:ascii="Calibri" w:hAnsi="Calibri" w:cs="Calibri"/>
              </w:rPr>
            </w:pPr>
            <w:r w:rsidRPr="00CA2B35">
              <w:rPr>
                <w:rFonts w:ascii="Calibri" w:hAnsi="Calibri" w:cs="Calibri"/>
                <w:color w:val="000000" w:themeColor="text1"/>
              </w:rPr>
              <w:t>WPB2</w:t>
            </w:r>
            <w:r w:rsidR="00EF6BCE" w:rsidRPr="00CA2B35">
              <w:rPr>
                <w:rFonts w:ascii="Calibri" w:hAnsi="Calibri" w:cs="Calibri"/>
                <w:color w:val="000000" w:themeColor="text1"/>
              </w:rPr>
              <w:t>3</w:t>
            </w:r>
            <w:r w:rsidRPr="00CA2B35">
              <w:rPr>
                <w:rFonts w:ascii="Calibri" w:hAnsi="Calibri" w:cs="Calibri"/>
                <w:color w:val="000000" w:themeColor="text1"/>
              </w:rPr>
              <w:t>.</w:t>
            </w:r>
            <w:r w:rsidR="000F5112" w:rsidRPr="00CA2B35">
              <w:rPr>
                <w:rFonts w:ascii="Calibri" w:hAnsi="Calibri" w:cs="Calibri"/>
                <w:color w:val="000000" w:themeColor="text1"/>
              </w:rPr>
              <w:t>01</w:t>
            </w:r>
            <w:r w:rsidRPr="00CA2B35">
              <w:rPr>
                <w:rFonts w:ascii="Calibri" w:hAnsi="Calibri" w:cs="Calibri"/>
                <w:color w:val="000000" w:themeColor="text1"/>
              </w:rPr>
              <w:t xml:space="preserve"> (</w:t>
            </w:r>
            <w:r w:rsidRPr="00CA2B35">
              <w:rPr>
                <w:rFonts w:ascii="Calibri" w:hAnsi="Calibri" w:cs="Calibri"/>
              </w:rPr>
              <w:t xml:space="preserve">para </w:t>
            </w:r>
            <w:r w:rsidR="007D1064" w:rsidRPr="00CA2B35">
              <w:rPr>
                <w:rFonts w:ascii="Calibri" w:hAnsi="Calibri" w:cs="Calibri"/>
              </w:rPr>
              <w:t>90</w:t>
            </w:r>
            <w:r w:rsidRPr="00CA2B35">
              <w:rPr>
                <w:rFonts w:ascii="Calibri" w:hAnsi="Calibri" w:cs="Calibri"/>
                <w:color w:val="000000" w:themeColor="text1"/>
              </w:rPr>
              <w:t xml:space="preserve">): </w:t>
            </w:r>
            <w:r w:rsidR="002E7E66" w:rsidRPr="00CA2B35">
              <w:rPr>
                <w:rFonts w:ascii="Calibri" w:hAnsi="Calibri" w:cs="Calibri"/>
                <w:color w:val="000000" w:themeColor="text1"/>
              </w:rPr>
              <w:t xml:space="preserve">The WPB </w:t>
            </w:r>
            <w:r w:rsidR="002E7E66" w:rsidRPr="009658D4">
              <w:rPr>
                <w:rFonts w:ascii="Calibri" w:hAnsi="Calibri" w:cs="Calibri"/>
                <w:b/>
                <w:bCs/>
                <w:color w:val="000000" w:themeColor="text1"/>
              </w:rPr>
              <w:t>NOTED</w:t>
            </w:r>
            <w:r w:rsidR="002E7E66" w:rsidRPr="00CA2B35">
              <w:rPr>
                <w:rFonts w:ascii="Calibri" w:hAnsi="Calibri" w:cs="Calibri"/>
                <w:color w:val="000000" w:themeColor="text1"/>
              </w:rPr>
              <w:t xml:space="preserve"> that, for several years, joint analyses combining catch and effort data from major longline fleets have been proposed to improve the CPUE index for billfish species, and that the WPEB recommended investigating methods to compare CPUE indices across fleets and to develop joint CPUE indices for bycatch species. The WPB also </w:t>
            </w:r>
            <w:r w:rsidR="002E7E66" w:rsidRPr="009658D4">
              <w:rPr>
                <w:rFonts w:ascii="Calibri" w:hAnsi="Calibri" w:cs="Calibri"/>
                <w:b/>
                <w:bCs/>
                <w:color w:val="000000" w:themeColor="text1"/>
              </w:rPr>
              <w:t>NOTED</w:t>
            </w:r>
            <w:r w:rsidR="002E7E66" w:rsidRPr="00CA2B35">
              <w:rPr>
                <w:rFonts w:ascii="Calibri" w:hAnsi="Calibri" w:cs="Calibri"/>
                <w:color w:val="000000" w:themeColor="text1"/>
              </w:rPr>
              <w:t xml:space="preserve"> that these suggestions are based on a methodological perspective that such analyses could harmonize standardization methods, reconcile conflicts between indices developed from different fleets, and potentially produce more robust indices with broader spatial and temporal coverage. The WPB further </w:t>
            </w:r>
            <w:r w:rsidR="002E7E66" w:rsidRPr="009658D4">
              <w:rPr>
                <w:rFonts w:ascii="Calibri" w:hAnsi="Calibri" w:cs="Calibri"/>
                <w:b/>
                <w:bCs/>
                <w:color w:val="000000" w:themeColor="text1"/>
              </w:rPr>
              <w:t>NOTED</w:t>
            </w:r>
            <w:r w:rsidR="002E7E66" w:rsidRPr="00CA2B35">
              <w:rPr>
                <w:rFonts w:ascii="Calibri" w:hAnsi="Calibri" w:cs="Calibri"/>
                <w:color w:val="000000" w:themeColor="text1"/>
              </w:rPr>
              <w:t xml:space="preserve"> that it is at the discretion of CPCs to determine the feasibility of such collaboration, considering data confidentiality agreements and other logistical arrangements. The WPB </w:t>
            </w:r>
            <w:r w:rsidR="002E7E66" w:rsidRPr="001D21E0">
              <w:rPr>
                <w:rFonts w:ascii="Calibri" w:hAnsi="Calibri" w:cs="Calibri"/>
                <w:b/>
                <w:bCs/>
                <w:color w:val="000000" w:themeColor="text1"/>
              </w:rPr>
              <w:t>AGREED</w:t>
            </w:r>
            <w:r w:rsidR="002E7E66" w:rsidRPr="00CA2B35">
              <w:rPr>
                <w:rFonts w:ascii="Calibri" w:hAnsi="Calibri" w:cs="Calibri"/>
                <w:color w:val="000000" w:themeColor="text1"/>
              </w:rPr>
              <w:t xml:space="preserve"> on the importance of establishing a process to discuss how to move forward. Noting that joint CPUE analysis arrangements already exist for the standardization of tropical and temperate tuna, the WPB </w:t>
            </w:r>
            <w:r w:rsidR="002E7E66" w:rsidRPr="009658D4">
              <w:rPr>
                <w:rFonts w:ascii="Calibri" w:hAnsi="Calibri" w:cs="Calibri"/>
                <w:b/>
                <w:bCs/>
                <w:color w:val="000000" w:themeColor="text1"/>
              </w:rPr>
              <w:t>RECOMMENDED</w:t>
            </w:r>
            <w:r w:rsidR="002E7E66" w:rsidRPr="00CA2B35">
              <w:rPr>
                <w:rFonts w:ascii="Calibri" w:hAnsi="Calibri" w:cs="Calibri"/>
                <w:color w:val="000000" w:themeColor="text1"/>
              </w:rPr>
              <w:t xml:space="preserve"> that the SC advise the Commission to urge CPCs to explore ways to extend joint analyses to bycatch species, such as marlins.</w:t>
            </w:r>
          </w:p>
          <w:p w14:paraId="6A2113BA" w14:textId="6CD33C80" w:rsidR="002A3C99" w:rsidRDefault="002E7E66" w:rsidP="00195B1B">
            <w:pPr>
              <w:pStyle w:val="IOTCReportNormalNumbered"/>
              <w:numPr>
                <w:ilvl w:val="0"/>
                <w:numId w:val="0"/>
              </w:numPr>
              <w:ind w:left="502" w:hanging="502"/>
              <w:rPr>
                <w:rFonts w:ascii="Calibri" w:hAnsi="Calibri" w:cs="Calibri"/>
                <w:color w:val="000000" w:themeColor="text1"/>
              </w:rPr>
            </w:pPr>
            <w:r w:rsidRPr="00CA2B35">
              <w:rPr>
                <w:rFonts w:ascii="Calibri" w:hAnsi="Calibri" w:cs="Calibri"/>
                <w:color w:val="000000" w:themeColor="text1"/>
              </w:rPr>
              <w:t>WPB23.0</w:t>
            </w:r>
            <w:r w:rsidR="009658D4">
              <w:rPr>
                <w:rFonts w:ascii="Calibri" w:hAnsi="Calibri" w:cs="Calibri"/>
                <w:color w:val="000000" w:themeColor="text1"/>
              </w:rPr>
              <w:t>2</w:t>
            </w:r>
            <w:r w:rsidRPr="00CA2B35">
              <w:rPr>
                <w:rFonts w:ascii="Calibri" w:hAnsi="Calibri" w:cs="Calibri"/>
                <w:color w:val="000000" w:themeColor="text1"/>
              </w:rPr>
              <w:t xml:space="preserve"> (para 9</w:t>
            </w:r>
            <w:r w:rsidR="00CA2B35" w:rsidRPr="00CA2B35">
              <w:rPr>
                <w:rFonts w:ascii="Calibri" w:hAnsi="Calibri" w:cs="Calibri"/>
                <w:color w:val="000000" w:themeColor="text1"/>
              </w:rPr>
              <w:t>2</w:t>
            </w:r>
            <w:r w:rsidRPr="00CA2B35">
              <w:rPr>
                <w:rFonts w:ascii="Calibri" w:hAnsi="Calibri" w:cs="Calibri"/>
                <w:color w:val="000000" w:themeColor="text1"/>
              </w:rPr>
              <w:t xml:space="preserve">): </w:t>
            </w:r>
            <w:r w:rsidR="00CA2B35" w:rsidRPr="00CA2B35">
              <w:rPr>
                <w:rFonts w:ascii="Calibri" w:hAnsi="Calibri" w:cs="Calibri"/>
                <w:color w:val="000000" w:themeColor="text1"/>
              </w:rPr>
              <w:t xml:space="preserve">Following these discussions, the author of document </w:t>
            </w:r>
            <w:hyperlink r:id="rId14" w:history="1">
              <w:r w:rsidR="00CA2B35" w:rsidRPr="00CA2B35">
                <w:rPr>
                  <w:rFonts w:ascii="Calibri" w:hAnsi="Calibri" w:cs="Calibri"/>
                  <w:color w:val="000000" w:themeColor="text1"/>
                </w:rPr>
                <w:t>IOTC-2025-WPB23-16</w:t>
              </w:r>
            </w:hyperlink>
            <w:r w:rsidR="00CA2B35" w:rsidRPr="00CA2B35">
              <w:rPr>
                <w:rFonts w:ascii="Calibri" w:hAnsi="Calibri" w:cs="Calibri"/>
                <w:color w:val="000000" w:themeColor="text1"/>
              </w:rPr>
              <w:t xml:space="preserve"> tentatively drafted Guidelines for Longline CPUE Standardization (</w:t>
            </w:r>
            <w:hyperlink w:anchor="APP9" w:history="1">
              <w:r w:rsidR="00CA2B35" w:rsidRPr="00CA2B35">
                <w:rPr>
                  <w:rFonts w:ascii="Calibri" w:hAnsi="Calibri" w:cs="Calibri"/>
                  <w:color w:val="000000" w:themeColor="text1"/>
                </w:rPr>
                <w:t>Appendix IX</w:t>
              </w:r>
            </w:hyperlink>
            <w:r w:rsidR="00CA2B35" w:rsidRPr="00CA2B35">
              <w:rPr>
                <w:rFonts w:ascii="Calibri" w:hAnsi="Calibri" w:cs="Calibri"/>
                <w:color w:val="000000" w:themeColor="text1"/>
              </w:rPr>
              <w:t xml:space="preserve">). The WPB </w:t>
            </w:r>
            <w:r w:rsidR="00CA2B35" w:rsidRPr="009658D4">
              <w:rPr>
                <w:rFonts w:ascii="Calibri" w:hAnsi="Calibri" w:cs="Calibri"/>
                <w:b/>
                <w:bCs/>
                <w:color w:val="000000" w:themeColor="text1"/>
              </w:rPr>
              <w:t>RECOMMENDED</w:t>
            </w:r>
            <w:r w:rsidR="00CA2B35" w:rsidRPr="00CA2B35">
              <w:rPr>
                <w:rFonts w:ascii="Calibri" w:hAnsi="Calibri" w:cs="Calibri"/>
                <w:color w:val="000000" w:themeColor="text1"/>
              </w:rPr>
              <w:t xml:space="preserve"> that the SC review and further develop these guidelines for potential adoption in the future.</w:t>
            </w:r>
          </w:p>
          <w:p w14:paraId="7541E22E" w14:textId="77777777" w:rsidR="00D569DF" w:rsidRDefault="00D569DF" w:rsidP="00195B1B">
            <w:pPr>
              <w:pStyle w:val="IOTCReportNormalNumbered"/>
              <w:numPr>
                <w:ilvl w:val="0"/>
                <w:numId w:val="0"/>
              </w:numPr>
              <w:ind w:left="502" w:hanging="502"/>
              <w:rPr>
                <w:rFonts w:ascii="Calibri" w:hAnsi="Calibri" w:cs="Calibri"/>
                <w:color w:val="000000" w:themeColor="text1"/>
              </w:rPr>
            </w:pPr>
          </w:p>
          <w:p w14:paraId="628DA5A9" w14:textId="77777777" w:rsidR="00C33DF0" w:rsidRPr="00371198" w:rsidRDefault="00C33DF0" w:rsidP="00C33DF0">
            <w:pPr>
              <w:pStyle w:val="TOC2"/>
            </w:pPr>
            <w:r>
              <w:t>Indo Pacific sailfish</w:t>
            </w:r>
            <w:r w:rsidRPr="00E42F0F">
              <w:t xml:space="preserve"> </w:t>
            </w:r>
          </w:p>
          <w:p w14:paraId="61816F78" w14:textId="59CC8FB1" w:rsidR="00195B1B" w:rsidRPr="00195B1B" w:rsidRDefault="00195B1B" w:rsidP="00195B1B">
            <w:pPr>
              <w:pStyle w:val="IOTCReportNormalNumbered"/>
              <w:numPr>
                <w:ilvl w:val="0"/>
                <w:numId w:val="0"/>
              </w:numPr>
              <w:ind w:left="502" w:hanging="502"/>
              <w:rPr>
                <w:rFonts w:ascii="Calibri" w:hAnsi="Calibri" w:cs="Calibri"/>
                <w:color w:val="000000" w:themeColor="text1"/>
              </w:rPr>
            </w:pPr>
            <w:r w:rsidRPr="00CA2B35">
              <w:rPr>
                <w:rFonts w:ascii="Calibri" w:hAnsi="Calibri" w:cs="Calibri"/>
                <w:color w:val="000000" w:themeColor="text1"/>
              </w:rPr>
              <w:t>WPB23.0</w:t>
            </w:r>
            <w:r>
              <w:rPr>
                <w:rFonts w:ascii="Calibri" w:hAnsi="Calibri" w:cs="Calibri"/>
                <w:color w:val="000000" w:themeColor="text1"/>
              </w:rPr>
              <w:t>3</w:t>
            </w:r>
            <w:r w:rsidRPr="00CA2B35">
              <w:rPr>
                <w:rFonts w:ascii="Calibri" w:hAnsi="Calibri" w:cs="Calibri"/>
                <w:color w:val="000000" w:themeColor="text1"/>
              </w:rPr>
              <w:t xml:space="preserve"> (para </w:t>
            </w:r>
            <w:r>
              <w:rPr>
                <w:rFonts w:ascii="Calibri" w:hAnsi="Calibri" w:cs="Calibri"/>
                <w:color w:val="000000" w:themeColor="text1"/>
              </w:rPr>
              <w:t>138</w:t>
            </w:r>
            <w:r w:rsidRPr="00CA2B35">
              <w:rPr>
                <w:rFonts w:ascii="Calibri" w:hAnsi="Calibri" w:cs="Calibri"/>
                <w:color w:val="000000" w:themeColor="text1"/>
              </w:rPr>
              <w:t xml:space="preserve">): </w:t>
            </w:r>
            <w:r w:rsidRPr="00195B1B">
              <w:rPr>
                <w:rFonts w:ascii="Calibri" w:hAnsi="Calibri" w:cs="Calibri"/>
                <w:b/>
                <w:bCs/>
                <w:color w:val="000000" w:themeColor="text1"/>
              </w:rPr>
              <w:t>NOTING</w:t>
            </w:r>
            <w:r w:rsidRPr="00195B1B">
              <w:rPr>
                <w:rFonts w:ascii="Calibri" w:hAnsi="Calibri" w:cs="Calibri"/>
                <w:color w:val="000000" w:themeColor="text1"/>
              </w:rPr>
              <w:t xml:space="preserve"> that the methodology was not reviewed prior to the 2025 assessment, and </w:t>
            </w:r>
            <w:r w:rsidRPr="00E7666A">
              <w:rPr>
                <w:rFonts w:ascii="Calibri" w:hAnsi="Calibri" w:cs="Calibri"/>
                <w:b/>
                <w:bCs/>
                <w:color w:val="000000" w:themeColor="text1"/>
              </w:rPr>
              <w:t>NOTING</w:t>
            </w:r>
            <w:r w:rsidRPr="00195B1B">
              <w:rPr>
                <w:rFonts w:ascii="Calibri" w:hAnsi="Calibri" w:cs="Calibri"/>
                <w:color w:val="000000" w:themeColor="text1"/>
              </w:rPr>
              <w:t xml:space="preserve"> concern from the WPB, the WPB </w:t>
            </w:r>
            <w:r w:rsidRPr="00195B1B">
              <w:rPr>
                <w:rFonts w:ascii="Calibri" w:hAnsi="Calibri" w:cs="Calibri"/>
                <w:b/>
                <w:bCs/>
                <w:color w:val="000000" w:themeColor="text1"/>
              </w:rPr>
              <w:t>RECOMMENDED</w:t>
            </w:r>
            <w:r w:rsidRPr="00195B1B">
              <w:rPr>
                <w:rFonts w:ascii="Calibri" w:hAnsi="Calibri" w:cs="Calibri"/>
                <w:color w:val="000000" w:themeColor="text1"/>
              </w:rPr>
              <w:t xml:space="preserve"> that simulation testing be carried out prior to the next WPB in 2026 to understand whether the SPR index can be used as an abundance index in the JABBA model.</w:t>
            </w:r>
          </w:p>
          <w:p w14:paraId="3600F3A9" w14:textId="49A1403A" w:rsidR="00195B1B" w:rsidRDefault="00195B1B" w:rsidP="00195B1B">
            <w:pPr>
              <w:pStyle w:val="IOTCReportNormalNumbered"/>
              <w:numPr>
                <w:ilvl w:val="0"/>
                <w:numId w:val="0"/>
              </w:numPr>
              <w:ind w:left="502" w:hanging="502"/>
              <w:rPr>
                <w:rFonts w:ascii="Calibri" w:hAnsi="Calibri" w:cs="Calibri"/>
                <w:color w:val="000000" w:themeColor="text1"/>
              </w:rPr>
            </w:pPr>
            <w:r w:rsidRPr="00CA2B35">
              <w:rPr>
                <w:rFonts w:ascii="Calibri" w:hAnsi="Calibri" w:cs="Calibri"/>
                <w:color w:val="000000" w:themeColor="text1"/>
              </w:rPr>
              <w:t>WPB23.0</w:t>
            </w:r>
            <w:r>
              <w:rPr>
                <w:rFonts w:ascii="Calibri" w:hAnsi="Calibri" w:cs="Calibri"/>
                <w:color w:val="000000" w:themeColor="text1"/>
              </w:rPr>
              <w:t>4</w:t>
            </w:r>
            <w:r w:rsidRPr="00CA2B35">
              <w:rPr>
                <w:rFonts w:ascii="Calibri" w:hAnsi="Calibri" w:cs="Calibri"/>
                <w:color w:val="000000" w:themeColor="text1"/>
              </w:rPr>
              <w:t xml:space="preserve"> (para </w:t>
            </w:r>
            <w:r>
              <w:rPr>
                <w:rFonts w:ascii="Calibri" w:hAnsi="Calibri" w:cs="Calibri"/>
                <w:color w:val="000000" w:themeColor="text1"/>
              </w:rPr>
              <w:t>139</w:t>
            </w:r>
            <w:r w:rsidRPr="00CA2B35">
              <w:rPr>
                <w:rFonts w:ascii="Calibri" w:hAnsi="Calibri" w:cs="Calibri"/>
                <w:color w:val="000000" w:themeColor="text1"/>
              </w:rPr>
              <w:t xml:space="preserve">): </w:t>
            </w:r>
            <w:r w:rsidRPr="00195B1B">
              <w:rPr>
                <w:rFonts w:ascii="Calibri" w:hAnsi="Calibri" w:cs="Calibri"/>
                <w:color w:val="000000" w:themeColor="text1"/>
              </w:rPr>
              <w:t xml:space="preserve">The WPB </w:t>
            </w:r>
            <w:r w:rsidRPr="00195B1B">
              <w:rPr>
                <w:rFonts w:ascii="Calibri" w:hAnsi="Calibri" w:cs="Calibri"/>
                <w:b/>
                <w:bCs/>
                <w:color w:val="000000" w:themeColor="text1"/>
              </w:rPr>
              <w:t>RECOMMENDED</w:t>
            </w:r>
            <w:r w:rsidRPr="00195B1B">
              <w:rPr>
                <w:rFonts w:ascii="Calibri" w:hAnsi="Calibri" w:cs="Calibri"/>
                <w:color w:val="000000" w:themeColor="text1"/>
              </w:rPr>
              <w:t xml:space="preserve"> that the stock assessment be revisited at the next WPB after simulation testing has been completed, and an updated stock status be presented to the SC in 2026.</w:t>
            </w:r>
          </w:p>
          <w:p w14:paraId="0F6B6505" w14:textId="64DF6916" w:rsidR="002E7E66" w:rsidRPr="002E7E66" w:rsidRDefault="006C478C" w:rsidP="006C478C">
            <w:pPr>
              <w:pStyle w:val="IOTCsubheading2"/>
              <w:numPr>
                <w:ilvl w:val="0"/>
                <w:numId w:val="0"/>
              </w:numPr>
              <w:spacing w:before="240"/>
              <w:rPr>
                <w:rFonts w:ascii="Calibri" w:hAnsi="Calibri" w:cs="Calibri"/>
              </w:rPr>
            </w:pPr>
            <w:r w:rsidRPr="006760D1">
              <w:rPr>
                <w:rFonts w:ascii="Calibri" w:hAnsi="Calibri" w:cs="Calibri"/>
              </w:rPr>
              <w:t>Resolution 18/05 Catch Limits</w:t>
            </w:r>
          </w:p>
          <w:p w14:paraId="73936D3C" w14:textId="5C09FEC2" w:rsidR="00652C15" w:rsidRPr="00652C15" w:rsidRDefault="00652C15" w:rsidP="00652C15">
            <w:pPr>
              <w:pStyle w:val="IOTCReportNormalNumbered"/>
              <w:numPr>
                <w:ilvl w:val="0"/>
                <w:numId w:val="0"/>
              </w:numPr>
              <w:ind w:left="502" w:hanging="502"/>
              <w:rPr>
                <w:rFonts w:ascii="Calibri" w:hAnsi="Calibri" w:cs="Calibri"/>
                <w:color w:val="000000" w:themeColor="text1"/>
              </w:rPr>
            </w:pPr>
            <w:r w:rsidRPr="00CA2B35">
              <w:rPr>
                <w:rFonts w:ascii="Calibri" w:hAnsi="Calibri" w:cs="Calibri"/>
                <w:color w:val="000000" w:themeColor="text1"/>
              </w:rPr>
              <w:t>WPB23.0</w:t>
            </w:r>
            <w:r>
              <w:rPr>
                <w:rFonts w:ascii="Calibri" w:hAnsi="Calibri" w:cs="Calibri"/>
                <w:color w:val="000000" w:themeColor="text1"/>
              </w:rPr>
              <w:t>5</w:t>
            </w:r>
            <w:r w:rsidRPr="00CA2B35">
              <w:rPr>
                <w:rFonts w:ascii="Calibri" w:hAnsi="Calibri" w:cs="Calibri"/>
                <w:color w:val="000000" w:themeColor="text1"/>
              </w:rPr>
              <w:t xml:space="preserve"> (para </w:t>
            </w:r>
            <w:r>
              <w:rPr>
                <w:rFonts w:ascii="Calibri" w:hAnsi="Calibri" w:cs="Calibri"/>
                <w:color w:val="000000" w:themeColor="text1"/>
              </w:rPr>
              <w:t>16</w:t>
            </w:r>
            <w:r w:rsidR="00F5343F">
              <w:rPr>
                <w:rFonts w:ascii="Calibri" w:hAnsi="Calibri" w:cs="Calibri"/>
                <w:color w:val="000000" w:themeColor="text1"/>
              </w:rPr>
              <w:t>6</w:t>
            </w:r>
            <w:r w:rsidRPr="00CA2B35">
              <w:rPr>
                <w:rFonts w:ascii="Calibri" w:hAnsi="Calibri" w:cs="Calibri"/>
                <w:color w:val="000000" w:themeColor="text1"/>
              </w:rPr>
              <w:t xml:space="preserve">): </w:t>
            </w:r>
            <w:r w:rsidRPr="00652C15">
              <w:rPr>
                <w:rFonts w:ascii="Calibri" w:hAnsi="Calibri" w:cs="Calibri"/>
                <w:b/>
                <w:bCs/>
                <w:color w:val="000000" w:themeColor="text1"/>
              </w:rPr>
              <w:t>NOTING</w:t>
            </w:r>
            <w:r w:rsidRPr="00652C15">
              <w:rPr>
                <w:rFonts w:ascii="Calibri" w:hAnsi="Calibri" w:cs="Calibri"/>
                <w:color w:val="000000" w:themeColor="text1"/>
              </w:rPr>
              <w:t xml:space="preserve"> the necessity to gather information to enable the development of advice relating to a range of potential management measures to complement the commonly used CPC based catch advice, the WPB </w:t>
            </w:r>
            <w:r w:rsidRPr="006D272D">
              <w:rPr>
                <w:rFonts w:ascii="Calibri" w:hAnsi="Calibri" w:cs="Calibri"/>
                <w:b/>
                <w:bCs/>
                <w:color w:val="000000" w:themeColor="text1"/>
              </w:rPr>
              <w:t>RECOMMEND</w:t>
            </w:r>
            <w:r w:rsidR="000C4267">
              <w:rPr>
                <w:rFonts w:ascii="Calibri" w:hAnsi="Calibri" w:cs="Calibri"/>
                <w:b/>
                <w:bCs/>
                <w:color w:val="000000" w:themeColor="text1"/>
              </w:rPr>
              <w:t>ED</w:t>
            </w:r>
            <w:r w:rsidRPr="00652C15">
              <w:rPr>
                <w:rFonts w:ascii="Calibri" w:hAnsi="Calibri" w:cs="Calibri"/>
                <w:color w:val="000000" w:themeColor="text1"/>
              </w:rPr>
              <w:t xml:space="preserve"> that the Scientific Committee </w:t>
            </w:r>
            <w:r w:rsidRPr="006D272D">
              <w:rPr>
                <w:rFonts w:ascii="Calibri" w:hAnsi="Calibri" w:cs="Calibri"/>
                <w:b/>
                <w:bCs/>
                <w:color w:val="000000" w:themeColor="text1"/>
              </w:rPr>
              <w:t>REQUEST</w:t>
            </w:r>
            <w:r w:rsidRPr="00652C15">
              <w:rPr>
                <w:rFonts w:ascii="Calibri" w:hAnsi="Calibri" w:cs="Calibri"/>
                <w:color w:val="000000" w:themeColor="text1"/>
              </w:rPr>
              <w:t>:</w:t>
            </w:r>
          </w:p>
          <w:p w14:paraId="79D286BD" w14:textId="77777777" w:rsidR="00652C15" w:rsidRPr="00D719B1" w:rsidRDefault="00652C15" w:rsidP="00C63C9B">
            <w:pPr>
              <w:pStyle w:val="ListParagraph"/>
              <w:numPr>
                <w:ilvl w:val="0"/>
                <w:numId w:val="59"/>
              </w:numPr>
              <w:spacing w:after="160" w:line="278" w:lineRule="auto"/>
              <w:rPr>
                <w:rFonts w:ascii="Calibri" w:hAnsi="Calibri" w:cs="Calibri"/>
              </w:rPr>
            </w:pPr>
            <w:r w:rsidRPr="00D719B1">
              <w:rPr>
                <w:rFonts w:ascii="Calibri" w:hAnsi="Calibri" w:cs="Calibri"/>
              </w:rPr>
              <w:t>That the IOTC Secretariat (or alternately CPCs, where the Secretariat does not hold a CPCs relevant data or information) provide summaries of observer data (or logbook data or other relevant information) to WPB pertaining to the following data types for the following fishery types:</w:t>
            </w:r>
          </w:p>
          <w:p w14:paraId="1C87E8E3" w14:textId="77777777" w:rsidR="00652C15" w:rsidRPr="00D719B1" w:rsidRDefault="00652C15" w:rsidP="00C63C9B">
            <w:pPr>
              <w:pStyle w:val="ListParagraph"/>
              <w:numPr>
                <w:ilvl w:val="1"/>
                <w:numId w:val="59"/>
              </w:numPr>
              <w:spacing w:after="160" w:line="278" w:lineRule="auto"/>
              <w:rPr>
                <w:rFonts w:ascii="Calibri" w:hAnsi="Calibri" w:cs="Calibri"/>
              </w:rPr>
            </w:pPr>
            <w:r w:rsidRPr="00D719B1">
              <w:rPr>
                <w:rFonts w:ascii="Calibri" w:hAnsi="Calibri" w:cs="Calibri"/>
                <w:b/>
                <w:bCs/>
              </w:rPr>
              <w:t>All gear/fishery types</w:t>
            </w:r>
            <w:r w:rsidRPr="00D719B1">
              <w:rPr>
                <w:rFonts w:ascii="Calibri" w:hAnsi="Calibri" w:cs="Calibri"/>
              </w:rPr>
              <w:t xml:space="preserve"> – discarding/retention rates and at-haul mortality (%) for each marlin and sailfish species, by fishery/gear type.</w:t>
            </w:r>
          </w:p>
          <w:p w14:paraId="24FE196B" w14:textId="77777777" w:rsidR="00652C15" w:rsidRPr="00D719B1" w:rsidRDefault="00652C15" w:rsidP="00C63C9B">
            <w:pPr>
              <w:pStyle w:val="ListParagraph"/>
              <w:numPr>
                <w:ilvl w:val="1"/>
                <w:numId w:val="59"/>
              </w:numPr>
              <w:spacing w:after="160" w:line="278" w:lineRule="auto"/>
              <w:rPr>
                <w:rFonts w:ascii="Calibri" w:hAnsi="Calibri" w:cs="Calibri"/>
              </w:rPr>
            </w:pPr>
            <w:r w:rsidRPr="00D719B1">
              <w:rPr>
                <w:rFonts w:ascii="Calibri" w:hAnsi="Calibri" w:cs="Calibri"/>
                <w:b/>
                <w:bCs/>
              </w:rPr>
              <w:t>Longline</w:t>
            </w:r>
            <w:r w:rsidRPr="00D719B1">
              <w:rPr>
                <w:rFonts w:ascii="Calibri" w:hAnsi="Calibri" w:cs="Calibri"/>
              </w:rPr>
              <w:t xml:space="preserve"> – proportion of each fleet using different hook types and sizes (Japanese tuna, J hook, Circle hook, other)</w:t>
            </w:r>
          </w:p>
          <w:p w14:paraId="4321E641" w14:textId="77777777" w:rsidR="00652C15" w:rsidRPr="00D719B1" w:rsidRDefault="00652C15" w:rsidP="00C63C9B">
            <w:pPr>
              <w:pStyle w:val="ListParagraph"/>
              <w:numPr>
                <w:ilvl w:val="1"/>
                <w:numId w:val="59"/>
              </w:numPr>
              <w:spacing w:after="160" w:line="278" w:lineRule="auto"/>
              <w:rPr>
                <w:rFonts w:ascii="Calibri" w:hAnsi="Calibri" w:cs="Calibri"/>
              </w:rPr>
            </w:pPr>
            <w:r w:rsidRPr="00D719B1">
              <w:rPr>
                <w:rFonts w:ascii="Calibri" w:hAnsi="Calibri" w:cs="Calibri"/>
                <w:b/>
                <w:bCs/>
              </w:rPr>
              <w:lastRenderedPageBreak/>
              <w:t>Gillnet</w:t>
            </w:r>
            <w:r w:rsidRPr="00D719B1">
              <w:rPr>
                <w:rFonts w:ascii="Calibri" w:hAnsi="Calibri" w:cs="Calibri"/>
              </w:rPr>
              <w:t xml:space="preserve"> – estimate of the proportion of the gillnet fleet using subsurface setting, and if possible, preferred depths used in fishery, and whether the fishery predominantly sets/soaks the gear overnight or through the day (or other)</w:t>
            </w:r>
          </w:p>
          <w:p w14:paraId="068B10ED" w14:textId="73C76E32" w:rsidR="00652C15" w:rsidRPr="00D719B1" w:rsidRDefault="00652C15" w:rsidP="00C63C9B">
            <w:pPr>
              <w:pStyle w:val="ListParagraph"/>
              <w:numPr>
                <w:ilvl w:val="0"/>
                <w:numId w:val="59"/>
              </w:numPr>
              <w:spacing w:after="160" w:line="278" w:lineRule="auto"/>
              <w:rPr>
                <w:rFonts w:ascii="Calibri" w:hAnsi="Calibri" w:cs="Calibri"/>
              </w:rPr>
            </w:pPr>
            <w:r w:rsidRPr="00D719B1">
              <w:rPr>
                <w:rFonts w:ascii="Calibri" w:hAnsi="Calibri" w:cs="Calibri"/>
              </w:rPr>
              <w:t xml:space="preserve">CPCs to consider undertaking analyses </w:t>
            </w:r>
            <w:r w:rsidR="00547362">
              <w:rPr>
                <w:rFonts w:ascii="Calibri" w:hAnsi="Calibri" w:cs="Calibri"/>
              </w:rPr>
              <w:t xml:space="preserve">(e.g., </w:t>
            </w:r>
            <w:r w:rsidR="00547362" w:rsidRPr="00D719B1">
              <w:rPr>
                <w:rFonts w:ascii="Calibri" w:hAnsi="Calibri" w:cs="Calibri"/>
              </w:rPr>
              <w:t>model-based</w:t>
            </w:r>
            <w:r w:rsidR="00547362">
              <w:rPr>
                <w:rFonts w:ascii="Calibri" w:hAnsi="Calibri" w:cs="Calibri"/>
              </w:rPr>
              <w:t xml:space="preserve">) </w:t>
            </w:r>
            <w:r w:rsidRPr="00D719B1">
              <w:rPr>
                <w:rFonts w:ascii="Calibri" w:hAnsi="Calibri" w:cs="Calibri"/>
              </w:rPr>
              <w:t>of at-haul mortality, at a longline fleet level (and if possible for troll/handline), to help identify key factors driving at-haul mortality and subsequently, possibly help identify additional options to reduce at haul mortality.</w:t>
            </w:r>
          </w:p>
          <w:p w14:paraId="20150840" w14:textId="77777777" w:rsidR="00652C15" w:rsidRPr="00D719B1" w:rsidRDefault="00652C15" w:rsidP="00C63C9B">
            <w:pPr>
              <w:pStyle w:val="ListParagraph"/>
              <w:numPr>
                <w:ilvl w:val="0"/>
                <w:numId w:val="59"/>
              </w:numPr>
              <w:spacing w:after="160" w:line="278" w:lineRule="auto"/>
              <w:rPr>
                <w:rFonts w:ascii="Calibri" w:hAnsi="Calibri" w:cs="Calibri"/>
              </w:rPr>
            </w:pPr>
            <w:r w:rsidRPr="00D719B1">
              <w:rPr>
                <w:rFonts w:ascii="Calibri" w:hAnsi="Calibri" w:cs="Calibri"/>
              </w:rPr>
              <w:t>CPCs individually or collaboratively conduct gillnet experimental fishing trials that:</w:t>
            </w:r>
          </w:p>
          <w:p w14:paraId="61EA42E9" w14:textId="77777777" w:rsidR="00652C15" w:rsidRPr="00D719B1" w:rsidRDefault="00652C15" w:rsidP="00C63C9B">
            <w:pPr>
              <w:pStyle w:val="ListParagraph"/>
              <w:numPr>
                <w:ilvl w:val="1"/>
                <w:numId w:val="59"/>
              </w:numPr>
              <w:spacing w:after="160" w:line="278" w:lineRule="auto"/>
              <w:rPr>
                <w:rFonts w:ascii="Calibri" w:hAnsi="Calibri" w:cs="Calibri"/>
              </w:rPr>
            </w:pPr>
            <w:r w:rsidRPr="00D719B1">
              <w:rPr>
                <w:rFonts w:ascii="Calibri" w:hAnsi="Calibri" w:cs="Calibri"/>
              </w:rPr>
              <w:t>Aim to test different setting depths and times of setting/soaking (e.g. day/night), on catch rates and mortality of interacting species</w:t>
            </w:r>
          </w:p>
          <w:p w14:paraId="7315BF4E" w14:textId="77777777" w:rsidR="00652C15" w:rsidRPr="00D719B1" w:rsidRDefault="00652C15" w:rsidP="00C63C9B">
            <w:pPr>
              <w:pStyle w:val="ListParagraph"/>
              <w:numPr>
                <w:ilvl w:val="1"/>
                <w:numId w:val="59"/>
              </w:numPr>
              <w:spacing w:after="160" w:line="278" w:lineRule="auto"/>
              <w:rPr>
                <w:rFonts w:ascii="Calibri" w:hAnsi="Calibri" w:cs="Calibri"/>
              </w:rPr>
            </w:pPr>
            <w:r w:rsidRPr="00D719B1">
              <w:rPr>
                <w:rFonts w:ascii="Calibri" w:hAnsi="Calibri" w:cs="Calibri"/>
              </w:rPr>
              <w:t>Collect data on all interacting species including billfish bycatch, target tuna and vulnerable species (e.g. cetaceans, turtles), in order to provide the Commission a quantified understanding of likely effects and possible trade-offs of various subsurface setting options, on each species.</w:t>
            </w:r>
          </w:p>
          <w:p w14:paraId="24590B4C" w14:textId="77777777" w:rsidR="00652C15" w:rsidRPr="00D719B1" w:rsidRDefault="00652C15" w:rsidP="00C63C9B">
            <w:pPr>
              <w:pStyle w:val="ListParagraph"/>
              <w:numPr>
                <w:ilvl w:val="1"/>
                <w:numId w:val="59"/>
              </w:numPr>
              <w:spacing w:after="160" w:line="278" w:lineRule="auto"/>
              <w:rPr>
                <w:rFonts w:ascii="Calibri" w:hAnsi="Calibri" w:cs="Calibri"/>
              </w:rPr>
            </w:pPr>
            <w:r w:rsidRPr="00D719B1">
              <w:rPr>
                <w:rFonts w:ascii="Calibri" w:hAnsi="Calibri" w:cs="Calibri"/>
              </w:rPr>
              <w:t>Prioritise accurate species identification.</w:t>
            </w:r>
          </w:p>
          <w:p w14:paraId="5CB5C402" w14:textId="5CCAB048" w:rsidR="00DE60FF" w:rsidRPr="00C80550" w:rsidRDefault="000C4267" w:rsidP="00C80550">
            <w:pPr>
              <w:pStyle w:val="IOTCReportNormalNumbered"/>
              <w:numPr>
                <w:ilvl w:val="0"/>
                <w:numId w:val="0"/>
              </w:numPr>
              <w:ind w:left="502" w:hanging="502"/>
              <w:rPr>
                <w:rFonts w:ascii="Calibri" w:hAnsi="Calibri" w:cs="Calibri"/>
                <w:color w:val="000000" w:themeColor="text1"/>
              </w:rPr>
            </w:pPr>
            <w:r w:rsidRPr="00CA2B35">
              <w:rPr>
                <w:rFonts w:ascii="Calibri" w:hAnsi="Calibri" w:cs="Calibri"/>
                <w:color w:val="000000" w:themeColor="text1"/>
              </w:rPr>
              <w:t>WPB23.0</w:t>
            </w:r>
            <w:r>
              <w:rPr>
                <w:rFonts w:ascii="Calibri" w:hAnsi="Calibri" w:cs="Calibri"/>
                <w:color w:val="000000" w:themeColor="text1"/>
              </w:rPr>
              <w:t>6</w:t>
            </w:r>
            <w:r w:rsidRPr="00CA2B35">
              <w:rPr>
                <w:rFonts w:ascii="Calibri" w:hAnsi="Calibri" w:cs="Calibri"/>
                <w:color w:val="000000" w:themeColor="text1"/>
              </w:rPr>
              <w:t xml:space="preserve"> (para </w:t>
            </w:r>
            <w:r>
              <w:rPr>
                <w:rFonts w:ascii="Calibri" w:hAnsi="Calibri" w:cs="Calibri"/>
                <w:color w:val="000000" w:themeColor="text1"/>
              </w:rPr>
              <w:t>16</w:t>
            </w:r>
            <w:r w:rsidR="00F5343F">
              <w:rPr>
                <w:rFonts w:ascii="Calibri" w:hAnsi="Calibri" w:cs="Calibri"/>
                <w:color w:val="000000" w:themeColor="text1"/>
              </w:rPr>
              <w:t>7</w:t>
            </w:r>
            <w:r w:rsidRPr="00CA2B35">
              <w:rPr>
                <w:rFonts w:ascii="Calibri" w:hAnsi="Calibri" w:cs="Calibri"/>
                <w:color w:val="000000" w:themeColor="text1"/>
              </w:rPr>
              <w:t xml:space="preserve">): </w:t>
            </w:r>
            <w:r w:rsidR="00652C15" w:rsidRPr="000C4267">
              <w:rPr>
                <w:rFonts w:ascii="Calibri" w:hAnsi="Calibri" w:cs="Calibri"/>
                <w:color w:val="000000" w:themeColor="text1"/>
              </w:rPr>
              <w:t xml:space="preserve">In addition, the WPB </w:t>
            </w:r>
            <w:r w:rsidR="00652C15" w:rsidRPr="000C4267">
              <w:rPr>
                <w:rFonts w:ascii="Calibri" w:hAnsi="Calibri" w:cs="Calibri"/>
                <w:b/>
                <w:bCs/>
                <w:color w:val="000000" w:themeColor="text1"/>
              </w:rPr>
              <w:t>RECOMMENDED</w:t>
            </w:r>
            <w:r w:rsidR="00652C15" w:rsidRPr="000C4267">
              <w:rPr>
                <w:rFonts w:ascii="Calibri" w:hAnsi="Calibri" w:cs="Calibri"/>
                <w:color w:val="000000" w:themeColor="text1"/>
              </w:rPr>
              <w:t xml:space="preserve"> that the Scientific Committee advise the Commission to give consideration to how such a trial (point (3) above) might be supported financially and logistically. </w:t>
            </w:r>
          </w:p>
          <w:p w14:paraId="3E6CF183" w14:textId="37C2348C" w:rsidR="00B7241B" w:rsidRPr="006760D1" w:rsidRDefault="00B7241B" w:rsidP="00B7241B">
            <w:pPr>
              <w:pStyle w:val="IOTCsubheading2"/>
              <w:numPr>
                <w:ilvl w:val="0"/>
                <w:numId w:val="0"/>
              </w:numPr>
              <w:spacing w:before="240"/>
              <w:rPr>
                <w:rFonts w:ascii="Calibri" w:hAnsi="Calibri" w:cs="Calibri"/>
              </w:rPr>
            </w:pPr>
            <w:r w:rsidRPr="006760D1">
              <w:rPr>
                <w:rFonts w:ascii="Calibri" w:hAnsi="Calibri" w:cs="Calibri"/>
              </w:rPr>
              <w:t>Revision of the WPB Program of work (202</w:t>
            </w:r>
            <w:r w:rsidR="00C80550">
              <w:rPr>
                <w:rFonts w:ascii="Calibri" w:hAnsi="Calibri" w:cs="Calibri"/>
              </w:rPr>
              <w:t>6</w:t>
            </w:r>
            <w:r w:rsidRPr="006760D1">
              <w:rPr>
                <w:rFonts w:ascii="Calibri" w:hAnsi="Calibri" w:cs="Calibri"/>
              </w:rPr>
              <w:t>–20</w:t>
            </w:r>
            <w:r w:rsidR="00C80550">
              <w:rPr>
                <w:rFonts w:ascii="Calibri" w:hAnsi="Calibri" w:cs="Calibri"/>
              </w:rPr>
              <w:t>30</w:t>
            </w:r>
            <w:r w:rsidRPr="006760D1">
              <w:rPr>
                <w:rFonts w:ascii="Calibri" w:hAnsi="Calibri" w:cs="Calibri"/>
              </w:rPr>
              <w:t>)</w:t>
            </w:r>
          </w:p>
          <w:p w14:paraId="344DE47E" w14:textId="6EB9A21F" w:rsidR="001F364E" w:rsidRPr="00666B69" w:rsidRDefault="00B7241B" w:rsidP="00666B69">
            <w:pPr>
              <w:pStyle w:val="IOTCReportNormalNumbered"/>
              <w:numPr>
                <w:ilvl w:val="0"/>
                <w:numId w:val="0"/>
              </w:numPr>
              <w:ind w:left="502" w:hanging="502"/>
              <w:rPr>
                <w:rFonts w:ascii="Calibri" w:eastAsia="MS Mincho" w:hAnsi="Calibri" w:cs="Calibri"/>
                <w:color w:val="auto"/>
                <w:szCs w:val="22"/>
              </w:rPr>
            </w:pPr>
            <w:r w:rsidRPr="006760D1">
              <w:rPr>
                <w:rFonts w:ascii="Calibri" w:hAnsi="Calibri" w:cs="Calibri"/>
                <w:color w:val="000000" w:themeColor="text1"/>
              </w:rPr>
              <w:t>WPB2</w:t>
            </w:r>
            <w:r w:rsidR="00F01D74">
              <w:rPr>
                <w:rFonts w:ascii="Calibri" w:hAnsi="Calibri" w:cs="Calibri"/>
                <w:color w:val="000000" w:themeColor="text1"/>
              </w:rPr>
              <w:t>3</w:t>
            </w:r>
            <w:r w:rsidRPr="006760D1">
              <w:rPr>
                <w:rFonts w:ascii="Calibri" w:hAnsi="Calibri" w:cs="Calibri"/>
                <w:color w:val="000000" w:themeColor="text1"/>
              </w:rPr>
              <w:t>.</w:t>
            </w:r>
            <w:r w:rsidR="006760D1" w:rsidRPr="006760D1">
              <w:rPr>
                <w:rFonts w:ascii="Calibri" w:hAnsi="Calibri" w:cs="Calibri"/>
                <w:color w:val="000000" w:themeColor="text1"/>
              </w:rPr>
              <w:t>0</w:t>
            </w:r>
            <w:r w:rsidR="00C80550">
              <w:rPr>
                <w:rFonts w:ascii="Calibri" w:hAnsi="Calibri" w:cs="Calibri"/>
                <w:color w:val="000000" w:themeColor="text1"/>
              </w:rPr>
              <w:t>7</w:t>
            </w:r>
            <w:r w:rsidRPr="006760D1">
              <w:rPr>
                <w:rFonts w:ascii="Calibri" w:hAnsi="Calibri" w:cs="Calibri"/>
                <w:color w:val="000000" w:themeColor="text1"/>
              </w:rPr>
              <w:t xml:space="preserve"> (</w:t>
            </w:r>
            <w:r w:rsidRPr="006760D1">
              <w:rPr>
                <w:rFonts w:ascii="Calibri" w:hAnsi="Calibri" w:cs="Calibri"/>
              </w:rPr>
              <w:t xml:space="preserve">para </w:t>
            </w:r>
            <w:r w:rsidR="00C80550">
              <w:rPr>
                <w:rFonts w:ascii="Calibri" w:hAnsi="Calibri" w:cs="Calibri"/>
                <w:color w:val="000000" w:themeColor="text1"/>
              </w:rPr>
              <w:t>1</w:t>
            </w:r>
            <w:r w:rsidR="00F5343F">
              <w:rPr>
                <w:rFonts w:ascii="Calibri" w:hAnsi="Calibri" w:cs="Calibri"/>
                <w:color w:val="000000" w:themeColor="text1"/>
              </w:rPr>
              <w:t>71</w:t>
            </w:r>
            <w:r w:rsidR="009A4568">
              <w:rPr>
                <w:rFonts w:ascii="Calibri" w:hAnsi="Calibri" w:cs="Calibri"/>
                <w:color w:val="000000" w:themeColor="text1"/>
              </w:rPr>
              <w:t>):</w:t>
            </w:r>
            <w:r w:rsidRPr="006760D1">
              <w:rPr>
                <w:rFonts w:ascii="Calibri" w:hAnsi="Calibri" w:cs="Calibri"/>
                <w:color w:val="000000" w:themeColor="text1"/>
              </w:rPr>
              <w:t xml:space="preserve"> </w:t>
            </w:r>
            <w:r w:rsidRPr="006760D1">
              <w:rPr>
                <w:rFonts w:ascii="Calibri" w:eastAsia="MS Mincho" w:hAnsi="Calibri" w:cs="Calibri"/>
                <w:color w:val="auto"/>
                <w:szCs w:val="22"/>
              </w:rPr>
              <w:t xml:space="preserve">The WPB </w:t>
            </w:r>
            <w:r w:rsidRPr="006760D1">
              <w:rPr>
                <w:rFonts w:ascii="Calibri" w:eastAsia="MS Mincho" w:hAnsi="Calibri" w:cs="Calibri"/>
                <w:b/>
                <w:bCs/>
                <w:color w:val="auto"/>
                <w:szCs w:val="22"/>
              </w:rPr>
              <w:t>RECOMMENDED</w:t>
            </w:r>
            <w:r w:rsidRPr="006760D1">
              <w:rPr>
                <w:rFonts w:ascii="Calibri" w:eastAsia="MS Mincho" w:hAnsi="Calibri" w:cs="Calibri"/>
                <w:color w:val="auto"/>
                <w:szCs w:val="22"/>
              </w:rPr>
              <w:t xml:space="preserve"> that the SC consider and endorse the WPB Program of Work (202</w:t>
            </w:r>
            <w:r w:rsidR="00C80550">
              <w:rPr>
                <w:rFonts w:ascii="Calibri" w:eastAsia="MS Mincho" w:hAnsi="Calibri" w:cs="Calibri"/>
                <w:color w:val="auto"/>
                <w:szCs w:val="22"/>
              </w:rPr>
              <w:t>6</w:t>
            </w:r>
            <w:r w:rsidRPr="006760D1">
              <w:rPr>
                <w:rFonts w:ascii="Calibri" w:eastAsia="MS Mincho" w:hAnsi="Calibri" w:cs="Calibri"/>
                <w:color w:val="auto"/>
                <w:szCs w:val="22"/>
              </w:rPr>
              <w:t>–20</w:t>
            </w:r>
            <w:r w:rsidR="00C80550">
              <w:rPr>
                <w:rFonts w:ascii="Calibri" w:eastAsia="MS Mincho" w:hAnsi="Calibri" w:cs="Calibri"/>
                <w:color w:val="auto"/>
                <w:szCs w:val="22"/>
              </w:rPr>
              <w:t>30</w:t>
            </w:r>
            <w:r w:rsidRPr="006760D1">
              <w:rPr>
                <w:rFonts w:ascii="Calibri" w:eastAsia="MS Mincho" w:hAnsi="Calibri" w:cs="Calibri"/>
                <w:color w:val="auto"/>
                <w:szCs w:val="22"/>
              </w:rPr>
              <w:t xml:space="preserve">), as provided in </w:t>
            </w:r>
            <w:hyperlink w:anchor="APP10" w:history="1">
              <w:r w:rsidRPr="00C63C9B">
                <w:rPr>
                  <w:rStyle w:val="Hyperlink"/>
                  <w:rFonts w:ascii="Calibri" w:eastAsia="MS Mincho" w:hAnsi="Calibri" w:cs="Calibri"/>
                  <w:szCs w:val="22"/>
                </w:rPr>
                <w:t>Appendix X</w:t>
              </w:r>
            </w:hyperlink>
            <w:r w:rsidRPr="006760D1">
              <w:rPr>
                <w:rFonts w:ascii="Calibri" w:eastAsia="MS Mincho" w:hAnsi="Calibri" w:cs="Calibri"/>
                <w:color w:val="auto"/>
                <w:szCs w:val="22"/>
              </w:rPr>
              <w:t>.</w:t>
            </w:r>
          </w:p>
          <w:p w14:paraId="1ABD9DE5" w14:textId="6B0B77E5" w:rsidR="00B7241B" w:rsidRPr="00D7335E" w:rsidRDefault="00B7241B" w:rsidP="00B7241B">
            <w:pPr>
              <w:pStyle w:val="IOTCsubheading2"/>
              <w:numPr>
                <w:ilvl w:val="0"/>
                <w:numId w:val="0"/>
              </w:numPr>
              <w:rPr>
                <w:rFonts w:ascii="Calibri" w:hAnsi="Calibri" w:cs="Calibri"/>
              </w:rPr>
            </w:pPr>
            <w:r w:rsidRPr="00D7335E">
              <w:rPr>
                <w:rFonts w:ascii="Calibri" w:hAnsi="Calibri" w:cs="Calibri"/>
              </w:rPr>
              <w:t>Date and place of the 2</w:t>
            </w:r>
            <w:r w:rsidR="00D7335E" w:rsidRPr="00D7335E">
              <w:rPr>
                <w:rFonts w:ascii="Calibri" w:hAnsi="Calibri" w:cs="Calibri"/>
              </w:rPr>
              <w:t>4</w:t>
            </w:r>
            <w:r w:rsidRPr="00D7335E">
              <w:rPr>
                <w:rFonts w:ascii="Calibri" w:hAnsi="Calibri" w:cs="Calibri"/>
                <w:vertAlign w:val="superscript"/>
              </w:rPr>
              <w:t>rd</w:t>
            </w:r>
            <w:r w:rsidRPr="00D7335E">
              <w:rPr>
                <w:rFonts w:ascii="Calibri" w:hAnsi="Calibri" w:cs="Calibri"/>
              </w:rPr>
              <w:t xml:space="preserve"> </w:t>
            </w:r>
            <w:r w:rsidR="00C80550">
              <w:rPr>
                <w:rFonts w:ascii="Calibri" w:hAnsi="Calibri" w:cs="Calibri"/>
              </w:rPr>
              <w:t>and 25</w:t>
            </w:r>
            <w:r w:rsidR="00C80550" w:rsidRPr="00C80550">
              <w:rPr>
                <w:rFonts w:ascii="Calibri" w:hAnsi="Calibri" w:cs="Calibri"/>
                <w:vertAlign w:val="superscript"/>
              </w:rPr>
              <w:t>th</w:t>
            </w:r>
            <w:r w:rsidR="00C80550">
              <w:rPr>
                <w:rFonts w:ascii="Calibri" w:hAnsi="Calibri" w:cs="Calibri"/>
              </w:rPr>
              <w:t xml:space="preserve"> </w:t>
            </w:r>
            <w:r w:rsidRPr="00D7335E">
              <w:rPr>
                <w:rFonts w:ascii="Calibri" w:hAnsi="Calibri" w:cs="Calibri"/>
              </w:rPr>
              <w:t>Sessions of the Working Party on Billfish</w:t>
            </w:r>
          </w:p>
          <w:p w14:paraId="16C13218" w14:textId="726A8C37" w:rsidR="00B7241B" w:rsidRPr="009A4568" w:rsidRDefault="00B7241B" w:rsidP="00B7241B">
            <w:pPr>
              <w:pStyle w:val="IOTCReportNormalNumbered"/>
              <w:numPr>
                <w:ilvl w:val="0"/>
                <w:numId w:val="0"/>
              </w:numPr>
              <w:ind w:left="502" w:hanging="502"/>
              <w:rPr>
                <w:rFonts w:ascii="Calibri" w:hAnsi="Calibri" w:cs="Calibri"/>
                <w:color w:val="000000" w:themeColor="text1"/>
              </w:rPr>
            </w:pPr>
            <w:r w:rsidRPr="009A4568">
              <w:rPr>
                <w:rFonts w:ascii="Calibri" w:hAnsi="Calibri" w:cs="Calibri"/>
                <w:color w:val="000000" w:themeColor="text1"/>
              </w:rPr>
              <w:t>WPB2</w:t>
            </w:r>
            <w:r w:rsidR="00F01D74">
              <w:rPr>
                <w:rFonts w:ascii="Calibri" w:hAnsi="Calibri" w:cs="Calibri"/>
                <w:color w:val="000000" w:themeColor="text1"/>
              </w:rPr>
              <w:t>3</w:t>
            </w:r>
            <w:r w:rsidRPr="009A4568">
              <w:rPr>
                <w:rFonts w:ascii="Calibri" w:hAnsi="Calibri" w:cs="Calibri"/>
                <w:color w:val="000000" w:themeColor="text1"/>
              </w:rPr>
              <w:t>.</w:t>
            </w:r>
            <w:r w:rsidR="009A4568">
              <w:rPr>
                <w:rFonts w:ascii="Calibri" w:hAnsi="Calibri" w:cs="Calibri"/>
                <w:color w:val="000000" w:themeColor="text1"/>
              </w:rPr>
              <w:t>0</w:t>
            </w:r>
            <w:r w:rsidR="00F01D74">
              <w:rPr>
                <w:rFonts w:ascii="Calibri" w:hAnsi="Calibri" w:cs="Calibri"/>
                <w:color w:val="000000" w:themeColor="text1"/>
              </w:rPr>
              <w:t>8</w:t>
            </w:r>
            <w:r w:rsidRPr="009A4568">
              <w:rPr>
                <w:rFonts w:ascii="Calibri" w:hAnsi="Calibri" w:cs="Calibri"/>
                <w:color w:val="000000" w:themeColor="text1"/>
              </w:rPr>
              <w:t xml:space="preserve"> (para </w:t>
            </w:r>
            <w:r w:rsidR="009E1672">
              <w:rPr>
                <w:rFonts w:ascii="Calibri" w:hAnsi="Calibri" w:cs="Calibri"/>
                <w:color w:val="000000" w:themeColor="text1"/>
              </w:rPr>
              <w:t>1</w:t>
            </w:r>
            <w:r w:rsidR="00F5343F">
              <w:rPr>
                <w:rFonts w:ascii="Calibri" w:hAnsi="Calibri" w:cs="Calibri"/>
                <w:color w:val="000000" w:themeColor="text1"/>
              </w:rPr>
              <w:t>81</w:t>
            </w:r>
            <w:r w:rsidRPr="009A4568">
              <w:rPr>
                <w:rFonts w:ascii="Calibri" w:hAnsi="Calibri" w:cs="Calibri"/>
                <w:color w:val="000000" w:themeColor="text1"/>
              </w:rPr>
              <w:t xml:space="preserve">): </w:t>
            </w:r>
            <w:r w:rsidR="000E6410" w:rsidRPr="267C31E2">
              <w:rPr>
                <w:rFonts w:ascii="Calibri" w:eastAsia="Calibri" w:hAnsi="Calibri" w:cs="Calibri"/>
              </w:rPr>
              <w:t xml:space="preserve">The </w:t>
            </w:r>
            <w:r w:rsidR="009E1672" w:rsidRPr="267C31E2">
              <w:rPr>
                <w:rFonts w:ascii="Calibri" w:eastAsia="Calibri" w:hAnsi="Calibri" w:cs="Calibri"/>
              </w:rPr>
              <w:t xml:space="preserve">WPB </w:t>
            </w:r>
            <w:r w:rsidR="009E1672" w:rsidRPr="267C31E2">
              <w:rPr>
                <w:rFonts w:ascii="Calibri" w:eastAsia="Calibri" w:hAnsi="Calibri" w:cs="Calibri"/>
                <w:b/>
                <w:bCs/>
              </w:rPr>
              <w:t>RECOMMENDED</w:t>
            </w:r>
            <w:r w:rsidR="009E1672" w:rsidRPr="267C31E2">
              <w:rPr>
                <w:rFonts w:ascii="Calibri" w:eastAsia="Calibri" w:hAnsi="Calibri" w:cs="Calibri"/>
              </w:rPr>
              <w:t xml:space="preserve"> the SC consider early September as a preferred time period to hold the WPB2</w:t>
            </w:r>
            <w:r w:rsidR="009E1672">
              <w:rPr>
                <w:rFonts w:ascii="Calibri" w:eastAsia="Calibri" w:hAnsi="Calibri" w:cs="Calibri"/>
              </w:rPr>
              <w:t>4</w:t>
            </w:r>
            <w:r w:rsidR="009E1672" w:rsidRPr="267C31E2">
              <w:rPr>
                <w:rFonts w:ascii="Calibri" w:eastAsia="Calibri" w:hAnsi="Calibri" w:cs="Calibri"/>
              </w:rPr>
              <w:t xml:space="preserve"> in 202</w:t>
            </w:r>
            <w:r w:rsidR="009E1672">
              <w:rPr>
                <w:rFonts w:ascii="Calibri" w:eastAsia="Calibri" w:hAnsi="Calibri" w:cs="Calibri"/>
              </w:rPr>
              <w:t>6</w:t>
            </w:r>
            <w:r w:rsidR="009E1672" w:rsidRPr="267C31E2">
              <w:rPr>
                <w:rFonts w:ascii="Calibri" w:eastAsia="Calibri" w:hAnsi="Calibri" w:cs="Calibri"/>
              </w:rPr>
              <w:t xml:space="preserve">. As usual it was also </w:t>
            </w:r>
            <w:r w:rsidR="009E1672" w:rsidRPr="267C31E2">
              <w:rPr>
                <w:rFonts w:ascii="Calibri" w:eastAsia="Calibri" w:hAnsi="Calibri" w:cs="Calibri"/>
                <w:b/>
                <w:bCs/>
              </w:rPr>
              <w:t>AGREED</w:t>
            </w:r>
            <w:r w:rsidR="009E1672" w:rsidRPr="267C31E2">
              <w:rPr>
                <w:rFonts w:ascii="Calibri" w:eastAsia="Calibri" w:hAnsi="Calibri" w:cs="Calibri"/>
              </w:rPr>
              <w:t xml:space="preserve"> that this meeting should continue to be held back-to-back with the WPEB and that in 202</w:t>
            </w:r>
            <w:r w:rsidR="009E1672">
              <w:rPr>
                <w:rFonts w:ascii="Calibri" w:eastAsia="Calibri" w:hAnsi="Calibri" w:cs="Calibri"/>
              </w:rPr>
              <w:t>6</w:t>
            </w:r>
            <w:r w:rsidR="009E1672" w:rsidRPr="267C31E2">
              <w:rPr>
                <w:rFonts w:ascii="Calibri" w:eastAsia="Calibri" w:hAnsi="Calibri" w:cs="Calibri"/>
              </w:rPr>
              <w:t xml:space="preserve"> WPB will be held in the week </w:t>
            </w:r>
            <w:r w:rsidR="009E1672">
              <w:rPr>
                <w:rFonts w:ascii="Calibri" w:eastAsia="Calibri" w:hAnsi="Calibri" w:cs="Calibri"/>
              </w:rPr>
              <w:t>before</w:t>
            </w:r>
            <w:r w:rsidR="009E1672" w:rsidRPr="267C31E2">
              <w:rPr>
                <w:rFonts w:ascii="Calibri" w:eastAsia="Calibri" w:hAnsi="Calibri" w:cs="Calibri"/>
              </w:rPr>
              <w:t xml:space="preserve"> the WPEB</w:t>
            </w:r>
            <w:r w:rsidRPr="009A4568">
              <w:rPr>
                <w:rFonts w:ascii="Calibri" w:hAnsi="Calibri" w:cs="Calibri"/>
                <w:color w:val="000000" w:themeColor="text1"/>
              </w:rPr>
              <w:t>.</w:t>
            </w:r>
          </w:p>
          <w:p w14:paraId="0CAB8855" w14:textId="36C462F7" w:rsidR="00B7241B" w:rsidRPr="009A4568" w:rsidRDefault="00B7241B" w:rsidP="00B7241B">
            <w:pPr>
              <w:pStyle w:val="IOTCsubheading2"/>
              <w:numPr>
                <w:ilvl w:val="0"/>
                <w:numId w:val="0"/>
              </w:numPr>
              <w:spacing w:before="240"/>
              <w:rPr>
                <w:rFonts w:ascii="Calibri" w:hAnsi="Calibri" w:cs="Calibri"/>
                <w:color w:val="auto"/>
              </w:rPr>
            </w:pPr>
            <w:r w:rsidRPr="009A4568">
              <w:rPr>
                <w:rFonts w:ascii="Calibri" w:hAnsi="Calibri" w:cs="Calibri"/>
                <w:color w:val="auto"/>
              </w:rPr>
              <w:t>Review of the draft, and adoption of the Report of the 2</w:t>
            </w:r>
            <w:r w:rsidR="00F01D74">
              <w:rPr>
                <w:rFonts w:ascii="Calibri" w:hAnsi="Calibri" w:cs="Calibri"/>
                <w:color w:val="auto"/>
              </w:rPr>
              <w:t>3</w:t>
            </w:r>
            <w:r w:rsidR="00F01D74" w:rsidRPr="00F01D74">
              <w:rPr>
                <w:rFonts w:ascii="Calibri" w:hAnsi="Calibri" w:cs="Calibri"/>
                <w:color w:val="auto"/>
                <w:vertAlign w:val="superscript"/>
              </w:rPr>
              <w:t>rd</w:t>
            </w:r>
            <w:r w:rsidR="00F01D74">
              <w:rPr>
                <w:rFonts w:ascii="Calibri" w:hAnsi="Calibri" w:cs="Calibri"/>
                <w:color w:val="auto"/>
              </w:rPr>
              <w:t xml:space="preserve"> </w:t>
            </w:r>
            <w:r w:rsidRPr="009A4568">
              <w:rPr>
                <w:rFonts w:ascii="Calibri" w:hAnsi="Calibri" w:cs="Calibri"/>
                <w:color w:val="auto"/>
              </w:rPr>
              <w:t>Session of the Working Party on Billfish</w:t>
            </w:r>
          </w:p>
          <w:p w14:paraId="2B99CE8A" w14:textId="431058BB" w:rsidR="00B7241B" w:rsidRPr="00B87799" w:rsidRDefault="00B7241B" w:rsidP="00B7241B">
            <w:pPr>
              <w:pStyle w:val="IOTCReportNormalNumbered"/>
              <w:numPr>
                <w:ilvl w:val="0"/>
                <w:numId w:val="0"/>
              </w:numPr>
              <w:ind w:left="502" w:hanging="502"/>
              <w:rPr>
                <w:rFonts w:ascii="Calibri" w:hAnsi="Calibri" w:cs="Calibri"/>
                <w:color w:val="000000" w:themeColor="text1"/>
              </w:rPr>
            </w:pPr>
            <w:r w:rsidRPr="009A4568">
              <w:rPr>
                <w:rFonts w:ascii="Calibri" w:hAnsi="Calibri" w:cs="Calibri"/>
                <w:color w:val="000000" w:themeColor="text1"/>
              </w:rPr>
              <w:t>WPB2</w:t>
            </w:r>
            <w:r w:rsidR="00F01D74">
              <w:rPr>
                <w:rFonts w:ascii="Calibri" w:hAnsi="Calibri" w:cs="Calibri"/>
                <w:color w:val="000000" w:themeColor="text1"/>
              </w:rPr>
              <w:t>3</w:t>
            </w:r>
            <w:r w:rsidRPr="009A4568">
              <w:rPr>
                <w:rFonts w:ascii="Calibri" w:hAnsi="Calibri" w:cs="Calibri"/>
                <w:color w:val="000000" w:themeColor="text1"/>
              </w:rPr>
              <w:t>.</w:t>
            </w:r>
            <w:r w:rsidR="009A4568">
              <w:rPr>
                <w:rFonts w:ascii="Calibri" w:hAnsi="Calibri" w:cs="Calibri"/>
                <w:color w:val="000000" w:themeColor="text1"/>
              </w:rPr>
              <w:t>0</w:t>
            </w:r>
            <w:r w:rsidR="00F01D74">
              <w:rPr>
                <w:rFonts w:ascii="Calibri" w:hAnsi="Calibri" w:cs="Calibri"/>
                <w:color w:val="000000" w:themeColor="text1"/>
              </w:rPr>
              <w:t>9</w:t>
            </w:r>
            <w:r w:rsidRPr="009A4568">
              <w:rPr>
                <w:rFonts w:ascii="Calibri" w:hAnsi="Calibri" w:cs="Calibri"/>
                <w:color w:val="000000" w:themeColor="text1"/>
              </w:rPr>
              <w:t xml:space="preserve"> (para </w:t>
            </w:r>
            <w:r w:rsidR="00F01D74">
              <w:rPr>
                <w:rFonts w:ascii="Calibri" w:hAnsi="Calibri" w:cs="Calibri"/>
                <w:color w:val="000000" w:themeColor="text1"/>
              </w:rPr>
              <w:t>1</w:t>
            </w:r>
            <w:r w:rsidR="00F5343F">
              <w:rPr>
                <w:rFonts w:ascii="Calibri" w:hAnsi="Calibri" w:cs="Calibri"/>
                <w:color w:val="000000" w:themeColor="text1"/>
              </w:rPr>
              <w:t>83</w:t>
            </w:r>
            <w:r w:rsidRPr="009A4568">
              <w:rPr>
                <w:rFonts w:ascii="Calibri" w:hAnsi="Calibri" w:cs="Calibri"/>
                <w:color w:val="000000" w:themeColor="text1"/>
              </w:rPr>
              <w:t xml:space="preserve">): The WPB </w:t>
            </w:r>
            <w:r w:rsidRPr="009A4568">
              <w:rPr>
                <w:rFonts w:ascii="Calibri" w:hAnsi="Calibri" w:cs="Calibri"/>
                <w:b/>
                <w:bCs/>
                <w:color w:val="000000" w:themeColor="text1"/>
              </w:rPr>
              <w:t>RECOMMENDED</w:t>
            </w:r>
            <w:r w:rsidRPr="009A4568">
              <w:rPr>
                <w:rFonts w:ascii="Calibri" w:hAnsi="Calibri" w:cs="Calibri"/>
                <w:color w:val="000000" w:themeColor="text1"/>
              </w:rPr>
              <w:t xml:space="preserve"> that the Scientific Committee consider the consolidated set of recommendations arising from WPB2</w:t>
            </w:r>
            <w:r w:rsidR="76A88D42" w:rsidRPr="009A4568">
              <w:rPr>
                <w:rFonts w:ascii="Calibri" w:hAnsi="Calibri" w:cs="Calibri"/>
                <w:color w:val="000000" w:themeColor="text1"/>
              </w:rPr>
              <w:t>2</w:t>
            </w:r>
            <w:r w:rsidRPr="009A4568">
              <w:rPr>
                <w:rFonts w:ascii="Calibri" w:hAnsi="Calibri" w:cs="Calibri"/>
                <w:color w:val="000000" w:themeColor="text1"/>
              </w:rPr>
              <w:t xml:space="preserve">, provided  at </w:t>
            </w:r>
            <w:hyperlink w:anchor="APP11">
              <w:r w:rsidRPr="006C67B5">
                <w:rPr>
                  <w:rStyle w:val="Hyperlink"/>
                  <w:rFonts w:ascii="Calibri" w:hAnsi="Calibri" w:cs="Calibri"/>
                  <w:snapToGrid/>
                  <w:szCs w:val="22"/>
                  <w:lang w:eastAsia="fr-FR"/>
                </w:rPr>
                <w:t xml:space="preserve">Appendix </w:t>
              </w:r>
              <w:r w:rsidR="006C67B5" w:rsidRPr="006C67B5">
                <w:rPr>
                  <w:rStyle w:val="Hyperlink"/>
                  <w:rFonts w:ascii="Calibri" w:hAnsi="Calibri" w:cs="Calibri"/>
                  <w:snapToGrid/>
                  <w:szCs w:val="22"/>
                  <w:lang w:eastAsia="fr-FR"/>
                </w:rPr>
                <w:t>XI</w:t>
              </w:r>
            </w:hyperlink>
            <w:r w:rsidRPr="009A4568">
              <w:rPr>
                <w:rFonts w:ascii="Calibri" w:hAnsi="Calibri" w:cs="Calibri"/>
                <w:color w:val="000000" w:themeColor="text1"/>
              </w:rPr>
              <w:t>, as well as the management advice provided in the draft resource stock status summary for each of the five billfish species under the IOTC mandate, and the combined Kobe plot for the five species assigned a stock status in 202</w:t>
            </w:r>
            <w:r w:rsidR="0057028E" w:rsidRPr="009A4568">
              <w:rPr>
                <w:rFonts w:ascii="Calibri" w:hAnsi="Calibri" w:cs="Calibri"/>
                <w:color w:val="000000" w:themeColor="text1"/>
              </w:rPr>
              <w:t>4</w:t>
            </w:r>
            <w:r w:rsidRPr="009A4568">
              <w:rPr>
                <w:rFonts w:ascii="Calibri" w:hAnsi="Calibri" w:cs="Calibri"/>
                <w:color w:val="000000" w:themeColor="text1"/>
              </w:rPr>
              <w:t xml:space="preserve"> (Fig. </w:t>
            </w:r>
            <w:r w:rsidR="00F84091">
              <w:rPr>
                <w:rFonts w:ascii="Calibri" w:hAnsi="Calibri" w:cs="Calibri"/>
                <w:color w:val="000000" w:themeColor="text1"/>
              </w:rPr>
              <w:t>3</w:t>
            </w:r>
            <w:r w:rsidRPr="009A4568">
              <w:rPr>
                <w:rFonts w:ascii="Calibri" w:hAnsi="Calibri" w:cs="Calibri"/>
                <w:color w:val="000000" w:themeColor="text1"/>
              </w:rPr>
              <w:t>):</w:t>
            </w:r>
          </w:p>
          <w:p w14:paraId="2A504DC9" w14:textId="77777777" w:rsidR="00561ED1" w:rsidRPr="009B294D" w:rsidRDefault="00561ED1" w:rsidP="00561ED1">
            <w:pPr>
              <w:numPr>
                <w:ilvl w:val="1"/>
                <w:numId w:val="13"/>
              </w:numPr>
              <w:spacing w:before="240"/>
              <w:jc w:val="both"/>
              <w:rPr>
                <w:rFonts w:ascii="Calibri" w:eastAsia="MS Mincho" w:hAnsi="Calibri" w:cs="Calibri"/>
                <w:snapToGrid w:val="0"/>
                <w:lang w:eastAsia="en-US"/>
              </w:rPr>
            </w:pPr>
            <w:r w:rsidRPr="009B294D">
              <w:rPr>
                <w:rFonts w:ascii="Calibri" w:eastAsia="MS Mincho" w:hAnsi="Calibri" w:cs="Calibri"/>
                <w:snapToGrid w:val="0"/>
                <w:lang w:eastAsia="en-US"/>
              </w:rPr>
              <w:t>Swordfish (</w:t>
            </w:r>
            <w:r w:rsidRPr="009B294D">
              <w:rPr>
                <w:rFonts w:ascii="Calibri" w:eastAsia="MS Mincho" w:hAnsi="Calibri" w:cs="Calibri"/>
                <w:i/>
                <w:snapToGrid w:val="0"/>
                <w:lang w:eastAsia="en-US"/>
              </w:rPr>
              <w:t>Xiphias gladius</w:t>
            </w:r>
            <w:r w:rsidRPr="009B294D">
              <w:rPr>
                <w:rFonts w:ascii="Calibri" w:eastAsia="MS Mincho" w:hAnsi="Calibri" w:cs="Calibri"/>
                <w:snapToGrid w:val="0"/>
                <w:lang w:eastAsia="en-US"/>
              </w:rPr>
              <w:t>)</w:t>
            </w:r>
            <w:r w:rsidRPr="009B294D">
              <w:rPr>
                <w:rFonts w:ascii="Calibri" w:hAnsi="Calibri" w:cs="Calibri"/>
              </w:rPr>
              <w:t xml:space="preserve">– </w:t>
            </w:r>
            <w:hyperlink w:anchor="APP4" w:history="1">
              <w:r>
                <w:rPr>
                  <w:rStyle w:val="Hyperlink"/>
                  <w:rFonts w:ascii="Calibri" w:hAnsi="Calibri" w:cs="Calibri"/>
                </w:rPr>
                <w:t>Appendix IV</w:t>
              </w:r>
            </w:hyperlink>
          </w:p>
          <w:p w14:paraId="65C4E318" w14:textId="77777777" w:rsidR="00561ED1" w:rsidRPr="009B294D" w:rsidRDefault="00561ED1" w:rsidP="00561ED1">
            <w:pPr>
              <w:numPr>
                <w:ilvl w:val="1"/>
                <w:numId w:val="13"/>
              </w:numPr>
              <w:jc w:val="both"/>
              <w:rPr>
                <w:rFonts w:ascii="Calibri" w:eastAsia="MS Mincho" w:hAnsi="Calibri" w:cs="Calibri"/>
                <w:snapToGrid w:val="0"/>
                <w:lang w:eastAsia="en-US"/>
              </w:rPr>
            </w:pPr>
            <w:r w:rsidRPr="009B294D">
              <w:rPr>
                <w:rFonts w:ascii="Calibri" w:eastAsia="MS Mincho" w:hAnsi="Calibri" w:cs="Calibri"/>
                <w:snapToGrid w:val="0"/>
                <w:lang w:eastAsia="en-US"/>
              </w:rPr>
              <w:t xml:space="preserve">Black marlin (Istiompax </w:t>
            </w:r>
            <w:r w:rsidRPr="24FF6681">
              <w:rPr>
                <w:rFonts w:ascii="Calibri" w:eastAsia="MS Mincho" w:hAnsi="Calibri" w:cs="Calibri"/>
                <w:i/>
                <w:iCs/>
                <w:snapToGrid w:val="0"/>
                <w:lang w:eastAsia="en-US"/>
              </w:rPr>
              <w:t>indica</w:t>
            </w:r>
            <w:r w:rsidRPr="009B294D">
              <w:rPr>
                <w:rFonts w:ascii="Calibri" w:eastAsia="MS Mincho" w:hAnsi="Calibri" w:cs="Calibri"/>
                <w:snapToGrid w:val="0"/>
                <w:lang w:eastAsia="en-US"/>
              </w:rPr>
              <w:t xml:space="preserve">) </w:t>
            </w:r>
            <w:r w:rsidRPr="009B294D">
              <w:rPr>
                <w:rFonts w:ascii="Calibri" w:hAnsi="Calibri" w:cs="Calibri"/>
              </w:rPr>
              <w:t xml:space="preserve">– </w:t>
            </w:r>
            <w:hyperlink w:anchor="APP5" w:history="1">
              <w:r>
                <w:rPr>
                  <w:rStyle w:val="Hyperlink"/>
                  <w:rFonts w:ascii="Calibri" w:hAnsi="Calibri" w:cs="Calibri"/>
                </w:rPr>
                <w:t>Appendix V</w:t>
              </w:r>
            </w:hyperlink>
          </w:p>
          <w:p w14:paraId="4D491012" w14:textId="77777777" w:rsidR="00561ED1" w:rsidRPr="002B0E95" w:rsidRDefault="00561ED1" w:rsidP="00561ED1">
            <w:pPr>
              <w:numPr>
                <w:ilvl w:val="1"/>
                <w:numId w:val="13"/>
              </w:numPr>
              <w:jc w:val="both"/>
              <w:rPr>
                <w:rFonts w:ascii="Calibri" w:eastAsia="MS Mincho" w:hAnsi="Calibri" w:cs="Calibri"/>
                <w:i/>
                <w:snapToGrid w:val="0"/>
                <w:lang w:eastAsia="en-US"/>
              </w:rPr>
            </w:pPr>
            <w:r w:rsidRPr="009B294D">
              <w:rPr>
                <w:rFonts w:ascii="Calibri" w:eastAsia="MS Mincho" w:hAnsi="Calibri" w:cs="Calibri"/>
                <w:snapToGrid w:val="0"/>
                <w:lang w:eastAsia="en-US"/>
              </w:rPr>
              <w:t>Blue marlin (</w:t>
            </w:r>
            <w:r w:rsidRPr="009B294D">
              <w:rPr>
                <w:rFonts w:ascii="Calibri" w:eastAsia="MS Mincho" w:hAnsi="Calibri" w:cs="Calibri"/>
                <w:i/>
                <w:snapToGrid w:val="0"/>
                <w:lang w:eastAsia="en-US"/>
              </w:rPr>
              <w:t>Makaira nigricans</w:t>
            </w:r>
            <w:r w:rsidRPr="009B294D">
              <w:rPr>
                <w:rFonts w:ascii="Calibri" w:eastAsia="MS Mincho" w:hAnsi="Calibri" w:cs="Calibri"/>
                <w:snapToGrid w:val="0"/>
                <w:lang w:eastAsia="en-US"/>
              </w:rPr>
              <w:t xml:space="preserve">) </w:t>
            </w:r>
            <w:r w:rsidRPr="009B294D">
              <w:rPr>
                <w:rFonts w:ascii="Calibri" w:hAnsi="Calibri" w:cs="Calibri"/>
              </w:rPr>
              <w:t xml:space="preserve">– </w:t>
            </w:r>
            <w:hyperlink w:anchor="APP6" w:history="1">
              <w:r>
                <w:rPr>
                  <w:rStyle w:val="Hyperlink"/>
                  <w:rFonts w:ascii="Calibri" w:hAnsi="Calibri" w:cs="Calibri"/>
                </w:rPr>
                <w:t>Appendix VI</w:t>
              </w:r>
            </w:hyperlink>
          </w:p>
          <w:p w14:paraId="06FA6227" w14:textId="77777777" w:rsidR="00561ED1" w:rsidRPr="002B0E95" w:rsidRDefault="00561ED1" w:rsidP="00561ED1">
            <w:pPr>
              <w:numPr>
                <w:ilvl w:val="1"/>
                <w:numId w:val="13"/>
              </w:numPr>
              <w:jc w:val="both"/>
              <w:rPr>
                <w:rFonts w:ascii="Calibri" w:eastAsia="MS Mincho" w:hAnsi="Calibri" w:cs="Calibri"/>
                <w:snapToGrid w:val="0"/>
                <w:lang w:eastAsia="en-US"/>
              </w:rPr>
            </w:pPr>
            <w:r w:rsidRPr="002B0E95">
              <w:rPr>
                <w:rFonts w:ascii="Calibri" w:eastAsia="MS Mincho" w:hAnsi="Calibri" w:cs="Calibri"/>
                <w:snapToGrid w:val="0"/>
                <w:lang w:eastAsia="en-US"/>
              </w:rPr>
              <w:t>Striped marlin (</w:t>
            </w:r>
            <w:r w:rsidRPr="24FF6681">
              <w:rPr>
                <w:rFonts w:ascii="Calibri" w:eastAsia="MS Mincho" w:hAnsi="Calibri" w:cs="Calibri"/>
                <w:i/>
                <w:iCs/>
                <w:snapToGrid w:val="0"/>
                <w:lang w:eastAsia="en-US"/>
              </w:rPr>
              <w:t>Kajikia audax</w:t>
            </w:r>
            <w:r w:rsidRPr="002B0E95">
              <w:rPr>
                <w:rFonts w:ascii="Calibri" w:eastAsia="MS Mincho" w:hAnsi="Calibri" w:cs="Calibri"/>
                <w:snapToGrid w:val="0"/>
                <w:lang w:eastAsia="en-US"/>
              </w:rPr>
              <w:t xml:space="preserve">) </w:t>
            </w:r>
            <w:r w:rsidRPr="002B0E95">
              <w:rPr>
                <w:rFonts w:ascii="Calibri" w:hAnsi="Calibri" w:cs="Calibri"/>
              </w:rPr>
              <w:t xml:space="preserve">– </w:t>
            </w:r>
            <w:hyperlink w:anchor="APP7" w:history="1">
              <w:r w:rsidRPr="00DD4342">
                <w:rPr>
                  <w:rStyle w:val="Hyperlink"/>
                  <w:rFonts w:ascii="Calibri" w:hAnsi="Calibri" w:cs="Calibri"/>
                </w:rPr>
                <w:t>Appendix VII</w:t>
              </w:r>
            </w:hyperlink>
          </w:p>
          <w:p w14:paraId="4E941CF4" w14:textId="77777777" w:rsidR="00561ED1" w:rsidRPr="002B0E95" w:rsidRDefault="00561ED1" w:rsidP="00561ED1">
            <w:pPr>
              <w:numPr>
                <w:ilvl w:val="1"/>
                <w:numId w:val="13"/>
              </w:numPr>
              <w:jc w:val="both"/>
              <w:rPr>
                <w:rFonts w:ascii="Calibri" w:eastAsia="MS Mincho" w:hAnsi="Calibri" w:cs="Calibri"/>
                <w:snapToGrid w:val="0"/>
                <w:lang w:eastAsia="en-US"/>
              </w:rPr>
            </w:pPr>
            <w:r w:rsidRPr="002B0E95">
              <w:rPr>
                <w:rFonts w:ascii="Calibri" w:eastAsia="MS Mincho" w:hAnsi="Calibri" w:cs="Calibri"/>
                <w:snapToGrid w:val="0"/>
                <w:lang w:eastAsia="en-US"/>
              </w:rPr>
              <w:t>Indo-Pacific sailfish (</w:t>
            </w:r>
            <w:r w:rsidRPr="002B0E95">
              <w:rPr>
                <w:rFonts w:ascii="Calibri" w:eastAsia="MS Mincho" w:hAnsi="Calibri" w:cs="Calibri"/>
                <w:i/>
                <w:snapToGrid w:val="0"/>
                <w:lang w:eastAsia="en-US"/>
              </w:rPr>
              <w:t>Istiophorus platypterus</w:t>
            </w:r>
            <w:r w:rsidRPr="002B0E95">
              <w:rPr>
                <w:rFonts w:ascii="Calibri" w:eastAsia="MS Mincho" w:hAnsi="Calibri" w:cs="Calibri"/>
                <w:snapToGrid w:val="0"/>
                <w:lang w:eastAsia="en-US"/>
              </w:rPr>
              <w:t xml:space="preserve">)  </w:t>
            </w:r>
            <w:r w:rsidRPr="002B0E95">
              <w:rPr>
                <w:rFonts w:ascii="Calibri" w:hAnsi="Calibri" w:cs="Calibri"/>
              </w:rPr>
              <w:t xml:space="preserve">– </w:t>
            </w:r>
            <w:hyperlink w:anchor="APP8" w:history="1">
              <w:r>
                <w:rPr>
                  <w:rStyle w:val="Hyperlink"/>
                  <w:rFonts w:ascii="Calibri" w:hAnsi="Calibri" w:cs="Calibri"/>
                </w:rPr>
                <w:t>Appendix VIII</w:t>
              </w:r>
            </w:hyperlink>
          </w:p>
          <w:p w14:paraId="4B922ECA" w14:textId="77777777" w:rsidR="00B7241B" w:rsidRPr="002B0E95" w:rsidRDefault="00B7241B" w:rsidP="00B7241B">
            <w:pPr>
              <w:pStyle w:val="IOTCReportNormalNumbered"/>
              <w:numPr>
                <w:ilvl w:val="0"/>
                <w:numId w:val="0"/>
              </w:numPr>
              <w:spacing w:before="0"/>
              <w:jc w:val="center"/>
              <w:rPr>
                <w:rFonts w:ascii="Calibri" w:hAnsi="Calibri" w:cs="Calibri"/>
                <w:b/>
                <w:color w:val="auto"/>
              </w:rPr>
            </w:pPr>
          </w:p>
          <w:p w14:paraId="4219D526" w14:textId="311FD888" w:rsidR="00B7241B" w:rsidRPr="00B934CC" w:rsidRDefault="00F42B92" w:rsidP="00B7241B">
            <w:pPr>
              <w:pStyle w:val="ListParagraph"/>
              <w:spacing w:after="240"/>
              <w:jc w:val="center"/>
              <w:rPr>
                <w:highlight w:val="yellow"/>
              </w:rPr>
            </w:pPr>
            <w:r>
              <w:rPr>
                <w:noProof/>
              </w:rPr>
              <w:lastRenderedPageBreak/>
              <w:drawing>
                <wp:inline distT="0" distB="0" distL="0" distR="0" wp14:anchorId="2DC2B558" wp14:editId="423757DD">
                  <wp:extent cx="3200400" cy="3196800"/>
                  <wp:effectExtent l="0" t="0" r="0" b="3810"/>
                  <wp:docPr id="14856478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647856" name="Picture 1485647856"/>
                          <pic:cNvPicPr/>
                        </pic:nvPicPr>
                        <pic:blipFill>
                          <a:blip r:embed="rId15"/>
                          <a:stretch>
                            <a:fillRect/>
                          </a:stretch>
                        </pic:blipFill>
                        <pic:spPr>
                          <a:xfrm>
                            <a:off x="0" y="0"/>
                            <a:ext cx="3200400" cy="3196800"/>
                          </a:xfrm>
                          <a:prstGeom prst="rect">
                            <a:avLst/>
                          </a:prstGeom>
                        </pic:spPr>
                      </pic:pic>
                    </a:graphicData>
                  </a:graphic>
                </wp:inline>
              </w:drawing>
            </w:r>
          </w:p>
          <w:p w14:paraId="4A8CD7C8" w14:textId="0A1E98DF" w:rsidR="005757BB" w:rsidRPr="009B294D" w:rsidRDefault="00B7241B" w:rsidP="00B7241B">
            <w:pPr>
              <w:pStyle w:val="IOTCReportNormalNumbered"/>
              <w:numPr>
                <w:ilvl w:val="0"/>
                <w:numId w:val="0"/>
              </w:numPr>
              <w:spacing w:after="240"/>
              <w:ind w:left="567" w:right="543"/>
              <w:rPr>
                <w:rFonts w:ascii="Calibri" w:hAnsi="Calibri" w:cs="Calibri"/>
                <w:b/>
                <w:bCs/>
                <w:color w:val="auto"/>
              </w:rPr>
            </w:pPr>
            <w:r w:rsidRPr="008E03F2">
              <w:rPr>
                <w:rFonts w:ascii="Calibri" w:hAnsi="Calibri" w:cs="Calibri"/>
                <w:b/>
                <w:bCs/>
                <w:color w:val="auto"/>
                <w:sz w:val="20"/>
              </w:rPr>
              <w:t xml:space="preserve">Fig. </w:t>
            </w:r>
            <w:r w:rsidR="00F84091">
              <w:rPr>
                <w:rFonts w:ascii="Calibri" w:hAnsi="Calibri" w:cs="Calibri"/>
                <w:b/>
                <w:bCs/>
                <w:color w:val="auto"/>
                <w:sz w:val="20"/>
              </w:rPr>
              <w:t>3</w:t>
            </w:r>
            <w:r w:rsidRPr="008E03F2">
              <w:rPr>
                <w:rFonts w:ascii="Calibri" w:hAnsi="Calibri" w:cs="Calibri"/>
                <w:b/>
                <w:bCs/>
                <w:color w:val="auto"/>
                <w:sz w:val="20"/>
              </w:rPr>
              <w:t>.</w:t>
            </w:r>
            <w:r w:rsidRPr="008E03F2">
              <w:rPr>
                <w:rFonts w:ascii="Calibri" w:hAnsi="Calibri" w:cs="Calibri"/>
                <w:color w:val="auto"/>
                <w:sz w:val="20"/>
              </w:rPr>
              <w:t xml:space="preserve"> Combined Kobe plot for swordfish (grey), </w:t>
            </w:r>
            <w:r w:rsidR="3D2F6024" w:rsidRPr="008E03F2">
              <w:rPr>
                <w:rFonts w:ascii="Calibri" w:hAnsi="Calibri" w:cs="Calibri"/>
                <w:color w:val="auto"/>
                <w:sz w:val="20"/>
              </w:rPr>
              <w:t>I</w:t>
            </w:r>
            <w:r w:rsidRPr="008E03F2">
              <w:rPr>
                <w:rFonts w:ascii="Calibri" w:hAnsi="Calibri" w:cs="Calibri"/>
                <w:color w:val="auto"/>
                <w:sz w:val="20"/>
              </w:rPr>
              <w:t>ndo-pacific sailfish (cyan), black marlin (black), blue marlin (blue) and striped marlin (purple) showing the 2023</w:t>
            </w:r>
            <w:r w:rsidR="002F56FB" w:rsidRPr="008E03F2">
              <w:rPr>
                <w:rFonts w:ascii="Calibri" w:hAnsi="Calibri" w:cs="Calibri"/>
                <w:color w:val="auto"/>
                <w:sz w:val="20"/>
              </w:rPr>
              <w:t>, 2024</w:t>
            </w:r>
            <w:r w:rsidR="008E03F2" w:rsidRPr="008E03F2">
              <w:rPr>
                <w:rFonts w:ascii="Calibri" w:hAnsi="Calibri" w:cs="Calibri"/>
                <w:color w:val="auto"/>
                <w:sz w:val="20"/>
              </w:rPr>
              <w:t>, and 2025</w:t>
            </w:r>
            <w:r w:rsidR="002F56FB" w:rsidRPr="008E03F2">
              <w:rPr>
                <w:rFonts w:ascii="Calibri" w:hAnsi="Calibri" w:cs="Calibri"/>
                <w:color w:val="auto"/>
                <w:sz w:val="20"/>
              </w:rPr>
              <w:t xml:space="preserve"> </w:t>
            </w:r>
            <w:r w:rsidRPr="008E03F2">
              <w:rPr>
                <w:rFonts w:ascii="Calibri" w:hAnsi="Calibri" w:cs="Calibri"/>
                <w:color w:val="auto"/>
                <w:sz w:val="20"/>
              </w:rPr>
              <w:t>estimates of current stock size (SB or B, species assessment dependent) and current fishing mortality (F) in relation to optimal spawning stock size and optimal fishing mortality. Cross bars illustrate the range of uncertainty from the model runs.</w:t>
            </w:r>
          </w:p>
          <w:p w14:paraId="24C825D1" w14:textId="2BCEC009" w:rsidR="007D5859" w:rsidRPr="00936260" w:rsidRDefault="007D5859" w:rsidP="00936260">
            <w:pPr>
              <w:pStyle w:val="IOTCReportNormalNumbered"/>
              <w:numPr>
                <w:ilvl w:val="0"/>
                <w:numId w:val="0"/>
              </w:numPr>
              <w:ind w:left="502" w:hanging="502"/>
              <w:rPr>
                <w:rFonts w:ascii="Calibri" w:hAnsi="Calibri" w:cs="Calibri"/>
                <w:color w:val="000000" w:themeColor="text1"/>
              </w:rPr>
            </w:pPr>
          </w:p>
        </w:tc>
      </w:tr>
    </w:tbl>
    <w:p w14:paraId="43C98E05" w14:textId="77777777" w:rsidR="000558C0" w:rsidRPr="009B294D" w:rsidRDefault="000558C0" w:rsidP="005A6A5C">
      <w:pPr>
        <w:keepNext/>
        <w:outlineLvl w:val="0"/>
        <w:rPr>
          <w:rFonts w:ascii="Calibri" w:hAnsi="Calibri" w:cs="Calibri"/>
          <w:b/>
          <w:snapToGrid w:val="0"/>
          <w:color w:val="FF0000"/>
          <w:szCs w:val="20"/>
          <w:lang w:eastAsia="en-US"/>
        </w:rPr>
        <w:sectPr w:rsidR="000558C0" w:rsidRPr="009B294D" w:rsidSect="00453B9B">
          <w:headerReference w:type="default" r:id="rId16"/>
          <w:footerReference w:type="default" r:id="rId17"/>
          <w:headerReference w:type="first" r:id="rId18"/>
          <w:footerReference w:type="first" r:id="rId19"/>
          <w:pgSz w:w="11906" w:h="16838" w:code="9"/>
          <w:pgMar w:top="720" w:right="720" w:bottom="720" w:left="720" w:header="432" w:footer="288" w:gutter="0"/>
          <w:cols w:space="708"/>
          <w:titlePg/>
          <w:docGrid w:linePitch="360"/>
        </w:sectPr>
      </w:pPr>
    </w:p>
    <w:p w14:paraId="265A2850" w14:textId="16D9050F" w:rsidR="005A6A5C" w:rsidRPr="003545A6" w:rsidRDefault="005A6A5C" w:rsidP="003F29F2">
      <w:pPr>
        <w:spacing w:before="240" w:after="120"/>
        <w:rPr>
          <w:rFonts w:ascii="Calibri" w:hAnsi="Calibri" w:cs="Calibri"/>
          <w:snapToGrid w:val="0"/>
          <w:lang w:eastAsia="en-US"/>
        </w:rPr>
      </w:pPr>
      <w:r w:rsidRPr="003545A6">
        <w:rPr>
          <w:rFonts w:ascii="Calibri" w:hAnsi="Calibri" w:cs="Calibri"/>
          <w:b/>
          <w:snapToGrid w:val="0"/>
          <w:lang w:eastAsia="en-US"/>
        </w:rPr>
        <w:lastRenderedPageBreak/>
        <w:t>Table 1</w:t>
      </w:r>
      <w:r w:rsidRPr="003545A6">
        <w:rPr>
          <w:rFonts w:ascii="Calibri" w:hAnsi="Calibri" w:cs="Calibri"/>
          <w:snapToGrid w:val="0"/>
          <w:lang w:eastAsia="en-US"/>
        </w:rPr>
        <w:t xml:space="preserve">. Status summary for billfish species under the IOTC </w:t>
      </w:r>
      <w:r w:rsidR="0047756C" w:rsidRPr="003545A6">
        <w:rPr>
          <w:rFonts w:ascii="Calibri" w:hAnsi="Calibri" w:cs="Calibri"/>
          <w:snapToGrid w:val="0"/>
          <w:lang w:eastAsia="en-US"/>
        </w:rPr>
        <w:t>mandate</w:t>
      </w:r>
      <w:r w:rsidR="00FC4EC6" w:rsidRPr="003545A6">
        <w:rPr>
          <w:rFonts w:ascii="Calibri" w:hAnsi="Calibri" w:cs="Calibri"/>
          <w:snapToGrid w:val="0"/>
          <w:lang w:eastAsia="en-US"/>
        </w:rPr>
        <w:t>.</w:t>
      </w:r>
    </w:p>
    <w:tbl>
      <w:tblPr>
        <w:tblW w:w="1538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FFFFFF" w:themeFill="background1"/>
        <w:tblLook w:val="04A0" w:firstRow="1" w:lastRow="0" w:firstColumn="1" w:lastColumn="0" w:noHBand="0" w:noVBand="1"/>
      </w:tblPr>
      <w:tblGrid>
        <w:gridCol w:w="1332"/>
        <w:gridCol w:w="3276"/>
        <w:gridCol w:w="607"/>
        <w:gridCol w:w="621"/>
        <w:gridCol w:w="622"/>
        <w:gridCol w:w="635"/>
        <w:gridCol w:w="669"/>
        <w:gridCol w:w="7626"/>
      </w:tblGrid>
      <w:tr w:rsidR="00C438CC" w:rsidRPr="003545A6" w14:paraId="2D9773CC" w14:textId="77777777" w:rsidTr="0666C0EC">
        <w:trPr>
          <w:trHeight w:val="964"/>
        </w:trPr>
        <w:tc>
          <w:tcPr>
            <w:tcW w:w="133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BC95E60" w14:textId="77777777" w:rsidR="00C438CC" w:rsidRPr="003545A6" w:rsidRDefault="00C438CC" w:rsidP="00C438CC">
            <w:pPr>
              <w:spacing w:before="60"/>
              <w:jc w:val="center"/>
              <w:rPr>
                <w:rFonts w:ascii="Calibri" w:hAnsi="Calibri" w:cs="Calibri"/>
                <w:sz w:val="18"/>
                <w:szCs w:val="18"/>
                <w:lang w:eastAsia="en-US"/>
              </w:rPr>
            </w:pPr>
            <w:r w:rsidRPr="003545A6">
              <w:rPr>
                <w:rFonts w:ascii="Calibri" w:hAnsi="Calibri" w:cs="Calibri"/>
                <w:b/>
                <w:bCs/>
                <w:sz w:val="18"/>
                <w:szCs w:val="18"/>
                <w:lang w:eastAsia="en-US"/>
              </w:rPr>
              <w:t>Stock</w:t>
            </w:r>
          </w:p>
        </w:tc>
        <w:tc>
          <w:tcPr>
            <w:tcW w:w="3278"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FFFFFF" w:themeFill="background1"/>
            <w:vAlign w:val="center"/>
          </w:tcPr>
          <w:p w14:paraId="2736767F" w14:textId="77777777" w:rsidR="00C438CC" w:rsidRPr="003545A6" w:rsidRDefault="00C438CC" w:rsidP="00C438CC">
            <w:pPr>
              <w:keepNext/>
              <w:keepLines/>
              <w:widowControl w:val="0"/>
              <w:autoSpaceDE w:val="0"/>
              <w:autoSpaceDN w:val="0"/>
              <w:adjustRightInd w:val="0"/>
              <w:snapToGrid w:val="0"/>
              <w:jc w:val="center"/>
              <w:rPr>
                <w:rFonts w:ascii="Calibri" w:eastAsia="MS Mincho" w:hAnsi="Calibri" w:cs="Calibri"/>
                <w:kern w:val="2"/>
                <w:sz w:val="18"/>
                <w:szCs w:val="18"/>
                <w:lang w:eastAsia="ja-JP"/>
              </w:rPr>
            </w:pPr>
            <w:r w:rsidRPr="003545A6">
              <w:rPr>
                <w:rFonts w:ascii="Calibri" w:hAnsi="Calibri" w:cs="Calibri"/>
                <w:b/>
                <w:bCs/>
                <w:sz w:val="18"/>
                <w:szCs w:val="18"/>
                <w:lang w:eastAsia="en-US"/>
              </w:rPr>
              <w:t>Indicators</w:t>
            </w:r>
          </w:p>
        </w:tc>
        <w:tc>
          <w:tcPr>
            <w:tcW w:w="607" w:type="dxa"/>
            <w:tcBorders>
              <w:left w:val="single" w:sz="4" w:space="0" w:color="000000" w:themeColor="text1"/>
              <w:bottom w:val="single" w:sz="4" w:space="0" w:color="000000" w:themeColor="text1"/>
              <w:right w:val="single" w:sz="4" w:space="0" w:color="000000" w:themeColor="text1"/>
            </w:tcBorders>
            <w:vAlign w:val="center"/>
          </w:tcPr>
          <w:p w14:paraId="1D40289E" w14:textId="4071F129" w:rsidR="00C438CC" w:rsidRPr="003545A6" w:rsidRDefault="00C438CC" w:rsidP="00C438CC">
            <w:pPr>
              <w:jc w:val="center"/>
              <w:rPr>
                <w:rFonts w:ascii="Calibri" w:hAnsi="Calibri" w:cs="Calibri"/>
                <w:b/>
                <w:bCs/>
                <w:sz w:val="18"/>
                <w:szCs w:val="18"/>
                <w:lang w:eastAsia="en-US"/>
              </w:rPr>
            </w:pPr>
            <w:r w:rsidRPr="003545A6">
              <w:rPr>
                <w:rFonts w:ascii="Calibri" w:hAnsi="Calibri" w:cs="Calibri"/>
                <w:b/>
                <w:bCs/>
                <w:sz w:val="18"/>
                <w:szCs w:val="18"/>
                <w:lang w:eastAsia="en-US"/>
              </w:rPr>
              <w:t>2021</w:t>
            </w:r>
          </w:p>
        </w:tc>
        <w:tc>
          <w:tcPr>
            <w:tcW w:w="611" w:type="dxa"/>
            <w:tcBorders>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BBA5933" w14:textId="4BD5A992" w:rsidR="00C438CC" w:rsidRPr="003545A6" w:rsidRDefault="00C438CC" w:rsidP="00C438CC">
            <w:pPr>
              <w:jc w:val="center"/>
              <w:rPr>
                <w:rFonts w:ascii="Calibri" w:hAnsi="Calibri" w:cs="Calibri"/>
                <w:b/>
                <w:bCs/>
                <w:sz w:val="18"/>
                <w:szCs w:val="18"/>
                <w:lang w:eastAsia="en-US"/>
              </w:rPr>
            </w:pPr>
            <w:r w:rsidRPr="003545A6">
              <w:rPr>
                <w:rFonts w:ascii="Calibri" w:hAnsi="Calibri" w:cs="Calibri"/>
                <w:b/>
                <w:bCs/>
                <w:sz w:val="18"/>
                <w:szCs w:val="18"/>
                <w:lang w:eastAsia="en-US"/>
              </w:rPr>
              <w:t>2022</w:t>
            </w:r>
          </w:p>
        </w:tc>
        <w:tc>
          <w:tcPr>
            <w:tcW w:w="622" w:type="dxa"/>
            <w:tcBorders>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A822819" w14:textId="7D36D4AF" w:rsidR="00C438CC" w:rsidRPr="003545A6" w:rsidRDefault="00C438CC" w:rsidP="00C438CC">
            <w:pPr>
              <w:jc w:val="center"/>
              <w:rPr>
                <w:rFonts w:ascii="Calibri" w:hAnsi="Calibri" w:cs="Calibri"/>
                <w:b/>
                <w:bCs/>
                <w:sz w:val="18"/>
                <w:szCs w:val="18"/>
                <w:lang w:eastAsia="en-US"/>
              </w:rPr>
            </w:pPr>
            <w:r w:rsidRPr="003545A6">
              <w:rPr>
                <w:rFonts w:ascii="Calibri" w:hAnsi="Calibri" w:cs="Calibri"/>
                <w:b/>
                <w:bCs/>
                <w:sz w:val="18"/>
                <w:szCs w:val="18"/>
                <w:lang w:eastAsia="en-US"/>
              </w:rPr>
              <w:t>2023</w:t>
            </w:r>
          </w:p>
        </w:tc>
        <w:tc>
          <w:tcPr>
            <w:tcW w:w="635" w:type="dxa"/>
            <w:tcBorders>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09F98A1" w14:textId="40A79618" w:rsidR="00C438CC" w:rsidRPr="003545A6" w:rsidRDefault="00C438CC" w:rsidP="00C438CC">
            <w:pPr>
              <w:jc w:val="center"/>
              <w:rPr>
                <w:rFonts w:ascii="Calibri" w:hAnsi="Calibri" w:cs="Calibri"/>
                <w:b/>
                <w:bCs/>
                <w:sz w:val="18"/>
                <w:szCs w:val="18"/>
                <w:lang w:eastAsia="en-US"/>
              </w:rPr>
            </w:pPr>
            <w:r w:rsidRPr="003545A6">
              <w:rPr>
                <w:rFonts w:ascii="Calibri" w:hAnsi="Calibri" w:cs="Calibri"/>
                <w:b/>
                <w:bCs/>
                <w:sz w:val="18"/>
                <w:szCs w:val="18"/>
                <w:lang w:eastAsia="en-US"/>
              </w:rPr>
              <w:t>2024</w:t>
            </w:r>
          </w:p>
        </w:tc>
        <w:tc>
          <w:tcPr>
            <w:tcW w:w="669" w:type="dxa"/>
            <w:tcBorders>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32E839E" w14:textId="250AAA21" w:rsidR="00C438CC" w:rsidRPr="003545A6" w:rsidRDefault="00C438CC" w:rsidP="00C438CC">
            <w:pPr>
              <w:jc w:val="center"/>
              <w:rPr>
                <w:rFonts w:ascii="Calibri" w:hAnsi="Calibri" w:cs="Calibri"/>
                <w:b/>
                <w:bCs/>
                <w:sz w:val="18"/>
                <w:szCs w:val="18"/>
                <w:lang w:eastAsia="en-US"/>
              </w:rPr>
            </w:pPr>
            <w:r w:rsidRPr="003545A6">
              <w:rPr>
                <w:rFonts w:ascii="Calibri" w:hAnsi="Calibri" w:cs="Calibri"/>
                <w:b/>
                <w:bCs/>
                <w:sz w:val="18"/>
                <w:szCs w:val="18"/>
                <w:lang w:eastAsia="en-US"/>
              </w:rPr>
              <w:t>202</w:t>
            </w:r>
            <w:r>
              <w:rPr>
                <w:rFonts w:ascii="Calibri" w:hAnsi="Calibri" w:cs="Calibri"/>
                <w:b/>
                <w:bCs/>
                <w:sz w:val="18"/>
                <w:szCs w:val="18"/>
                <w:lang w:eastAsia="en-US"/>
              </w:rPr>
              <w:t>5</w:t>
            </w:r>
          </w:p>
        </w:tc>
        <w:tc>
          <w:tcPr>
            <w:tcW w:w="7633" w:type="dxa"/>
            <w:tcBorders>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0D16EE0" w14:textId="1B003CF0" w:rsidR="00C438CC" w:rsidRPr="003545A6" w:rsidRDefault="00C438CC" w:rsidP="00C438CC">
            <w:pPr>
              <w:spacing w:before="60"/>
              <w:jc w:val="center"/>
              <w:rPr>
                <w:rFonts w:ascii="Calibri" w:hAnsi="Calibri" w:cs="Calibri"/>
                <w:sz w:val="18"/>
                <w:szCs w:val="18"/>
                <w:lang w:eastAsia="en-US"/>
              </w:rPr>
            </w:pPr>
            <w:r w:rsidRPr="003545A6">
              <w:rPr>
                <w:rFonts w:ascii="Calibri" w:hAnsi="Calibri" w:cs="Calibri"/>
                <w:b/>
                <w:bCs/>
                <w:sz w:val="18"/>
                <w:szCs w:val="18"/>
                <w:lang w:eastAsia="en-US"/>
              </w:rPr>
              <w:t>Advice to the Scientific Committee</w:t>
            </w:r>
          </w:p>
        </w:tc>
      </w:tr>
      <w:tr w:rsidR="005044FD" w:rsidRPr="003545A6" w14:paraId="38262304" w14:textId="77777777" w:rsidTr="0666C0EC">
        <w:trPr>
          <w:trHeight w:val="964"/>
        </w:trPr>
        <w:tc>
          <w:tcPr>
            <w:tcW w:w="133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26422CA8" w14:textId="77777777" w:rsidR="005044FD" w:rsidRPr="003545A6" w:rsidRDefault="2A224977" w:rsidP="1EA925F2">
            <w:pPr>
              <w:spacing w:before="60"/>
              <w:rPr>
                <w:rFonts w:ascii="Calibri" w:hAnsi="Calibri" w:cs="Calibri"/>
                <w:sz w:val="18"/>
                <w:szCs w:val="18"/>
                <w:lang w:eastAsia="en-US"/>
              </w:rPr>
            </w:pPr>
            <w:r w:rsidRPr="003545A6">
              <w:rPr>
                <w:rFonts w:ascii="Calibri" w:hAnsi="Calibri" w:cs="Calibri"/>
                <w:sz w:val="18"/>
                <w:szCs w:val="18"/>
                <w:lang w:eastAsia="en-US"/>
              </w:rPr>
              <w:t xml:space="preserve">Swordfish </w:t>
            </w:r>
          </w:p>
          <w:p w14:paraId="53B7F0D0" w14:textId="77777777" w:rsidR="005044FD" w:rsidRPr="003545A6" w:rsidRDefault="2A224977" w:rsidP="1EA925F2">
            <w:pPr>
              <w:spacing w:before="60"/>
              <w:rPr>
                <w:rFonts w:ascii="Calibri" w:hAnsi="Calibri" w:cs="Calibri"/>
                <w:i/>
                <w:iCs/>
                <w:sz w:val="18"/>
                <w:szCs w:val="18"/>
                <w:lang w:eastAsia="en-US"/>
              </w:rPr>
            </w:pPr>
            <w:r w:rsidRPr="003545A6">
              <w:rPr>
                <w:rFonts w:ascii="Calibri" w:hAnsi="Calibri" w:cs="Calibri"/>
                <w:i/>
                <w:iCs/>
                <w:sz w:val="18"/>
                <w:szCs w:val="18"/>
                <w:lang w:eastAsia="en-US"/>
              </w:rPr>
              <w:t>Xiphias gladius</w:t>
            </w:r>
          </w:p>
        </w:tc>
        <w:tc>
          <w:tcPr>
            <w:tcW w:w="3278" w:type="dxa"/>
            <w:tcBorders>
              <w:top w:val="single" w:sz="4" w:space="0" w:color="000000" w:themeColor="text1"/>
              <w:left w:val="single" w:sz="4" w:space="0" w:color="000000" w:themeColor="text1"/>
              <w:bottom w:val="single" w:sz="4" w:space="0" w:color="auto"/>
              <w:right w:val="nil"/>
            </w:tcBorders>
            <w:shd w:val="clear" w:color="auto" w:fill="FFFFFF" w:themeFill="background1"/>
          </w:tcPr>
          <w:p w14:paraId="09CD950B" w14:textId="5F007449" w:rsidR="000F2D18" w:rsidRPr="00BB48D2" w:rsidRDefault="0DEB14C0" w:rsidP="622C4CE3">
            <w:pPr>
              <w:jc w:val="right"/>
              <w:rPr>
                <w:rFonts w:ascii="Calibri" w:hAnsi="Calibri" w:cs="Calibri"/>
                <w:color w:val="000000"/>
                <w:sz w:val="18"/>
                <w:szCs w:val="18"/>
                <w:lang w:val="fr-FR" w:eastAsia="en-GB"/>
              </w:rPr>
            </w:pPr>
            <w:r w:rsidRPr="00BB48D2">
              <w:rPr>
                <w:rFonts w:ascii="Calibri" w:hAnsi="Calibri" w:cs="Calibri"/>
                <w:color w:val="000000" w:themeColor="text1"/>
                <w:sz w:val="18"/>
                <w:szCs w:val="18"/>
                <w:lang w:val="fr-FR" w:eastAsia="en-GB"/>
              </w:rPr>
              <w:t>Catch 20</w:t>
            </w:r>
            <w:r w:rsidR="13112797" w:rsidRPr="00BB48D2">
              <w:rPr>
                <w:rFonts w:ascii="Calibri" w:hAnsi="Calibri" w:cs="Calibri"/>
                <w:color w:val="000000" w:themeColor="text1"/>
                <w:sz w:val="18"/>
                <w:szCs w:val="18"/>
                <w:lang w:val="fr-FR" w:eastAsia="en-GB"/>
              </w:rPr>
              <w:t>2</w:t>
            </w:r>
            <w:r w:rsidR="004E207A" w:rsidRPr="00BB48D2">
              <w:rPr>
                <w:rFonts w:ascii="Calibri" w:hAnsi="Calibri" w:cs="Calibri"/>
                <w:color w:val="000000" w:themeColor="text1"/>
                <w:sz w:val="18"/>
                <w:szCs w:val="18"/>
                <w:lang w:val="fr-FR" w:eastAsia="en-GB"/>
              </w:rPr>
              <w:t>3</w:t>
            </w:r>
            <w:r w:rsidRPr="00BB48D2">
              <w:rPr>
                <w:rFonts w:ascii="Calibri" w:hAnsi="Calibri" w:cs="Calibri"/>
                <w:color w:val="000000" w:themeColor="text1"/>
                <w:sz w:val="18"/>
                <w:szCs w:val="18"/>
                <w:lang w:val="fr-FR" w:eastAsia="en-GB"/>
              </w:rPr>
              <w:t xml:space="preserve"> (</w:t>
            </w:r>
            <w:r w:rsidR="348CEF21" w:rsidRPr="00BB48D2">
              <w:rPr>
                <w:rFonts w:ascii="Calibri" w:hAnsi="Calibri" w:cs="Calibri"/>
                <w:color w:val="000000" w:themeColor="text1"/>
                <w:sz w:val="18"/>
                <w:szCs w:val="18"/>
                <w:lang w:val="fr-FR" w:eastAsia="en-GB"/>
              </w:rPr>
              <w:t>t</w:t>
            </w:r>
            <w:r w:rsidRPr="00BB48D2">
              <w:rPr>
                <w:rFonts w:ascii="Calibri" w:hAnsi="Calibri" w:cs="Calibri"/>
                <w:color w:val="000000" w:themeColor="text1"/>
                <w:sz w:val="18"/>
                <w:szCs w:val="18"/>
                <w:lang w:val="fr-FR" w:eastAsia="en-GB"/>
              </w:rPr>
              <w:t xml:space="preserve">): </w:t>
            </w:r>
            <w:r w:rsidR="5FB4924E" w:rsidRPr="00BB48D2">
              <w:rPr>
                <w:rFonts w:ascii="Calibri" w:hAnsi="Calibri" w:cs="Calibri"/>
                <w:color w:val="000000" w:themeColor="text1"/>
                <w:sz w:val="18"/>
                <w:szCs w:val="18"/>
                <w:lang w:val="fr-FR" w:eastAsia="en-GB"/>
              </w:rPr>
              <w:t>2</w:t>
            </w:r>
            <w:r w:rsidR="004E207A" w:rsidRPr="00BB48D2">
              <w:rPr>
                <w:rFonts w:ascii="Calibri" w:hAnsi="Calibri" w:cs="Calibri"/>
                <w:color w:val="000000" w:themeColor="text1"/>
                <w:sz w:val="18"/>
                <w:szCs w:val="18"/>
                <w:lang w:val="fr-FR" w:eastAsia="en-GB"/>
              </w:rPr>
              <w:t>4</w:t>
            </w:r>
            <w:r w:rsidR="5FB4924E" w:rsidRPr="00BB48D2">
              <w:rPr>
                <w:rFonts w:ascii="Calibri" w:hAnsi="Calibri" w:cs="Calibri"/>
                <w:color w:val="000000" w:themeColor="text1"/>
                <w:sz w:val="18"/>
                <w:szCs w:val="18"/>
                <w:lang w:val="fr-FR" w:eastAsia="en-GB"/>
              </w:rPr>
              <w:t>,</w:t>
            </w:r>
            <w:r w:rsidR="004E207A" w:rsidRPr="00BB48D2">
              <w:rPr>
                <w:rFonts w:ascii="Calibri" w:hAnsi="Calibri" w:cs="Calibri"/>
                <w:color w:val="000000" w:themeColor="text1"/>
                <w:sz w:val="18"/>
                <w:szCs w:val="18"/>
                <w:lang w:val="fr-FR" w:eastAsia="en-GB"/>
              </w:rPr>
              <w:t>115</w:t>
            </w:r>
          </w:p>
          <w:p w14:paraId="417D2F32" w14:textId="3C6825E4" w:rsidR="005044FD" w:rsidRPr="00BB48D2" w:rsidRDefault="0DEB14C0" w:rsidP="622C4CE3">
            <w:pPr>
              <w:jc w:val="right"/>
              <w:rPr>
                <w:rFonts w:ascii="Calibri" w:hAnsi="Calibri" w:cs="Calibri"/>
                <w:color w:val="000000"/>
                <w:sz w:val="18"/>
                <w:szCs w:val="18"/>
                <w:lang w:val="fr-FR" w:eastAsia="en-GB"/>
              </w:rPr>
            </w:pPr>
            <w:r w:rsidRPr="00BB48D2">
              <w:rPr>
                <w:rFonts w:ascii="Calibri" w:hAnsi="Calibri" w:cs="Calibri"/>
                <w:color w:val="000000" w:themeColor="text1"/>
                <w:sz w:val="18"/>
                <w:szCs w:val="18"/>
                <w:lang w:val="fr-FR" w:eastAsia="en-GB"/>
              </w:rPr>
              <w:t>Average catch 201</w:t>
            </w:r>
            <w:r w:rsidR="004E207A" w:rsidRPr="00BB48D2">
              <w:rPr>
                <w:rFonts w:ascii="Calibri" w:hAnsi="Calibri" w:cs="Calibri"/>
                <w:color w:val="000000" w:themeColor="text1"/>
                <w:sz w:val="18"/>
                <w:szCs w:val="18"/>
                <w:lang w:val="fr-FR" w:eastAsia="en-GB"/>
              </w:rPr>
              <w:t>9</w:t>
            </w:r>
            <w:r w:rsidRPr="00BB48D2">
              <w:rPr>
                <w:rFonts w:ascii="Calibri" w:hAnsi="Calibri" w:cs="Calibri"/>
                <w:color w:val="000000" w:themeColor="text1"/>
                <w:sz w:val="18"/>
                <w:szCs w:val="18"/>
                <w:lang w:val="fr-FR" w:eastAsia="en-GB"/>
              </w:rPr>
              <w:t>-20</w:t>
            </w:r>
            <w:r w:rsidR="13112797" w:rsidRPr="00BB48D2">
              <w:rPr>
                <w:rFonts w:ascii="Calibri" w:hAnsi="Calibri" w:cs="Calibri"/>
                <w:color w:val="000000" w:themeColor="text1"/>
                <w:sz w:val="18"/>
                <w:szCs w:val="18"/>
                <w:lang w:val="fr-FR" w:eastAsia="en-GB"/>
              </w:rPr>
              <w:t>2</w:t>
            </w:r>
            <w:r w:rsidR="004E207A" w:rsidRPr="00BB48D2">
              <w:rPr>
                <w:rFonts w:ascii="Calibri" w:hAnsi="Calibri" w:cs="Calibri"/>
                <w:color w:val="000000" w:themeColor="text1"/>
                <w:sz w:val="18"/>
                <w:szCs w:val="18"/>
                <w:lang w:val="fr-FR" w:eastAsia="en-GB"/>
              </w:rPr>
              <w:t>3</w:t>
            </w:r>
            <w:r w:rsidRPr="00BB48D2">
              <w:rPr>
                <w:rFonts w:ascii="Calibri" w:hAnsi="Calibri" w:cs="Calibri"/>
                <w:color w:val="000000" w:themeColor="text1"/>
                <w:sz w:val="18"/>
                <w:szCs w:val="18"/>
                <w:lang w:val="fr-FR" w:eastAsia="en-GB"/>
              </w:rPr>
              <w:t xml:space="preserve"> (</w:t>
            </w:r>
            <w:r w:rsidR="348CEF21" w:rsidRPr="00BB48D2">
              <w:rPr>
                <w:rFonts w:ascii="Calibri" w:hAnsi="Calibri" w:cs="Calibri"/>
                <w:color w:val="000000" w:themeColor="text1"/>
                <w:sz w:val="18"/>
                <w:szCs w:val="18"/>
                <w:lang w:val="fr-FR" w:eastAsia="en-GB"/>
              </w:rPr>
              <w:t>t</w:t>
            </w:r>
            <w:r w:rsidRPr="00BB48D2">
              <w:rPr>
                <w:rFonts w:ascii="Calibri" w:hAnsi="Calibri" w:cs="Calibri"/>
                <w:color w:val="000000" w:themeColor="text1"/>
                <w:sz w:val="18"/>
                <w:szCs w:val="18"/>
                <w:lang w:val="fr-FR" w:eastAsia="en-GB"/>
              </w:rPr>
              <w:t xml:space="preserve">): </w:t>
            </w:r>
            <w:r w:rsidR="518D2F4D" w:rsidRPr="00BB48D2">
              <w:rPr>
                <w:rFonts w:ascii="Calibri" w:hAnsi="Calibri" w:cs="Calibri"/>
                <w:color w:val="000000" w:themeColor="text1"/>
                <w:sz w:val="18"/>
                <w:szCs w:val="18"/>
                <w:lang w:val="fr-FR" w:eastAsia="en-GB"/>
              </w:rPr>
              <w:t>2</w:t>
            </w:r>
            <w:r w:rsidR="004E207A" w:rsidRPr="00BB48D2">
              <w:rPr>
                <w:rFonts w:ascii="Calibri" w:hAnsi="Calibri" w:cs="Calibri"/>
                <w:color w:val="000000" w:themeColor="text1"/>
                <w:sz w:val="18"/>
                <w:szCs w:val="18"/>
                <w:lang w:val="fr-FR" w:eastAsia="en-GB"/>
              </w:rPr>
              <w:t>7</w:t>
            </w:r>
            <w:r w:rsidR="518D2F4D" w:rsidRPr="00BB48D2">
              <w:rPr>
                <w:rFonts w:ascii="Calibri" w:hAnsi="Calibri" w:cs="Calibri"/>
                <w:color w:val="000000" w:themeColor="text1"/>
                <w:sz w:val="18"/>
                <w:szCs w:val="18"/>
                <w:lang w:val="fr-FR" w:eastAsia="en-GB"/>
              </w:rPr>
              <w:t>,</w:t>
            </w:r>
            <w:r w:rsidR="004E207A" w:rsidRPr="00BB48D2">
              <w:rPr>
                <w:rFonts w:ascii="Calibri" w:hAnsi="Calibri" w:cs="Calibri"/>
                <w:color w:val="000000" w:themeColor="text1"/>
                <w:sz w:val="18"/>
                <w:szCs w:val="18"/>
                <w:lang w:val="fr-FR" w:eastAsia="en-GB"/>
              </w:rPr>
              <w:t>651</w:t>
            </w:r>
          </w:p>
          <w:p w14:paraId="5E3D8F48" w14:textId="7D660B72" w:rsidR="000F2D18" w:rsidRPr="003545A6" w:rsidRDefault="0DEB14C0" w:rsidP="1EA925F2">
            <w:pPr>
              <w:jc w:val="right"/>
              <w:rPr>
                <w:rFonts w:ascii="Calibri" w:hAnsi="Calibri" w:cs="Calibri"/>
                <w:sz w:val="18"/>
                <w:szCs w:val="18"/>
                <w:lang w:val="fr-FR" w:eastAsia="en-US"/>
              </w:rPr>
            </w:pPr>
            <w:r w:rsidRPr="3F1DEBE1">
              <w:rPr>
                <w:rFonts w:ascii="Calibri" w:hAnsi="Calibri" w:cs="Calibri"/>
                <w:sz w:val="18"/>
                <w:szCs w:val="18"/>
                <w:lang w:val="fr-FR" w:eastAsia="en-US"/>
              </w:rPr>
              <w:t xml:space="preserve">MSY (1,000 </w:t>
            </w:r>
            <w:r w:rsidR="348CEF21" w:rsidRPr="3F1DEBE1">
              <w:rPr>
                <w:rFonts w:ascii="Calibri" w:hAnsi="Calibri" w:cs="Calibri"/>
                <w:sz w:val="18"/>
                <w:szCs w:val="18"/>
                <w:lang w:val="fr-FR" w:eastAsia="en-US"/>
              </w:rPr>
              <w:t>t</w:t>
            </w:r>
            <w:r w:rsidRPr="3F1DEBE1">
              <w:rPr>
                <w:rFonts w:ascii="Calibri" w:hAnsi="Calibri" w:cs="Calibri"/>
                <w:sz w:val="18"/>
                <w:szCs w:val="18"/>
                <w:lang w:val="fr-FR" w:eastAsia="en-US"/>
              </w:rPr>
              <w:t>) (80% CI): 3</w:t>
            </w:r>
            <w:r w:rsidR="5379A08D" w:rsidRPr="3F1DEBE1">
              <w:rPr>
                <w:rFonts w:ascii="Calibri" w:hAnsi="Calibri" w:cs="Calibri"/>
                <w:sz w:val="18"/>
                <w:szCs w:val="18"/>
                <w:lang w:val="fr-FR" w:eastAsia="en-US"/>
              </w:rPr>
              <w:t xml:space="preserve">0 </w:t>
            </w:r>
            <w:r w:rsidRPr="3F1DEBE1">
              <w:rPr>
                <w:rFonts w:ascii="Calibri" w:hAnsi="Calibri" w:cs="Calibri"/>
                <w:sz w:val="18"/>
                <w:szCs w:val="18"/>
                <w:lang w:val="fr-FR" w:eastAsia="en-US"/>
              </w:rPr>
              <w:t>(2</w:t>
            </w:r>
            <w:r w:rsidR="2640D6C9" w:rsidRPr="3F1DEBE1">
              <w:rPr>
                <w:rFonts w:ascii="Calibri" w:hAnsi="Calibri" w:cs="Calibri"/>
                <w:sz w:val="18"/>
                <w:szCs w:val="18"/>
                <w:lang w:val="fr-FR" w:eastAsia="en-US"/>
              </w:rPr>
              <w:t>6</w:t>
            </w:r>
            <w:r w:rsidRPr="3F1DEBE1">
              <w:rPr>
                <w:rFonts w:ascii="Calibri" w:hAnsi="Calibri" w:cs="Calibri"/>
                <w:sz w:val="18"/>
                <w:szCs w:val="18"/>
                <w:lang w:val="fr-FR" w:eastAsia="en-US"/>
              </w:rPr>
              <w:t>–</w:t>
            </w:r>
            <w:r w:rsidR="43211A45" w:rsidRPr="3F1DEBE1">
              <w:rPr>
                <w:rFonts w:ascii="Calibri" w:hAnsi="Calibri" w:cs="Calibri"/>
                <w:sz w:val="18"/>
                <w:szCs w:val="18"/>
                <w:lang w:val="fr-FR" w:eastAsia="en-US"/>
              </w:rPr>
              <w:t>33</w:t>
            </w:r>
            <w:r w:rsidRPr="3F1DEBE1">
              <w:rPr>
                <w:rFonts w:ascii="Calibri" w:hAnsi="Calibri" w:cs="Calibri"/>
                <w:sz w:val="18"/>
                <w:szCs w:val="18"/>
                <w:lang w:val="fr-FR" w:eastAsia="en-US"/>
              </w:rPr>
              <w:t>)</w:t>
            </w:r>
          </w:p>
          <w:p w14:paraId="7AAEA215" w14:textId="4ED2106B" w:rsidR="000F2D18" w:rsidRPr="003545A6" w:rsidRDefault="0DEB14C0" w:rsidP="1EA925F2">
            <w:pPr>
              <w:jc w:val="right"/>
              <w:rPr>
                <w:rFonts w:ascii="Calibri" w:hAnsi="Calibri" w:cs="Calibri"/>
                <w:sz w:val="18"/>
                <w:szCs w:val="18"/>
                <w:lang w:val="fr-FR" w:eastAsia="en-US"/>
              </w:rPr>
            </w:pPr>
            <w:r w:rsidRPr="3F1DEBE1">
              <w:rPr>
                <w:rFonts w:ascii="Calibri" w:hAnsi="Calibri" w:cs="Calibri"/>
                <w:sz w:val="18"/>
                <w:szCs w:val="18"/>
                <w:lang w:val="fr-FR" w:eastAsia="en-US"/>
              </w:rPr>
              <w:t>F</w:t>
            </w:r>
            <w:r w:rsidRPr="3F1DEBE1">
              <w:rPr>
                <w:rFonts w:ascii="Calibri" w:hAnsi="Calibri" w:cs="Calibri"/>
                <w:sz w:val="18"/>
                <w:szCs w:val="18"/>
                <w:vertAlign w:val="subscript"/>
                <w:lang w:val="fr-FR" w:eastAsia="en-US"/>
              </w:rPr>
              <w:t>MSY</w:t>
            </w:r>
            <w:r w:rsidRPr="3F1DEBE1">
              <w:rPr>
                <w:rFonts w:ascii="Calibri" w:hAnsi="Calibri" w:cs="Calibri"/>
                <w:sz w:val="18"/>
                <w:szCs w:val="18"/>
                <w:lang w:val="fr-FR" w:eastAsia="en-US"/>
              </w:rPr>
              <w:t xml:space="preserve"> (80% CI): 0.</w:t>
            </w:r>
            <w:r w:rsidR="44F67AA1" w:rsidRPr="3F1DEBE1">
              <w:rPr>
                <w:rFonts w:ascii="Calibri" w:hAnsi="Calibri" w:cs="Calibri"/>
                <w:sz w:val="18"/>
                <w:szCs w:val="18"/>
                <w:lang w:val="fr-FR" w:eastAsia="en-US"/>
              </w:rPr>
              <w:t>16</w:t>
            </w:r>
            <w:r w:rsidRPr="3F1DEBE1">
              <w:rPr>
                <w:rFonts w:ascii="Calibri" w:hAnsi="Calibri" w:cs="Calibri"/>
                <w:sz w:val="18"/>
                <w:szCs w:val="18"/>
                <w:lang w:val="fr-FR" w:eastAsia="en-US"/>
              </w:rPr>
              <w:t xml:space="preserve"> (0.1</w:t>
            </w:r>
            <w:r w:rsidR="25A6A35F" w:rsidRPr="3F1DEBE1">
              <w:rPr>
                <w:rFonts w:ascii="Calibri" w:hAnsi="Calibri" w:cs="Calibri"/>
                <w:sz w:val="18"/>
                <w:szCs w:val="18"/>
                <w:lang w:val="fr-FR" w:eastAsia="en-US"/>
              </w:rPr>
              <w:t>2</w:t>
            </w:r>
            <w:r w:rsidRPr="3F1DEBE1">
              <w:rPr>
                <w:rFonts w:ascii="Calibri" w:hAnsi="Calibri" w:cs="Calibri"/>
                <w:sz w:val="18"/>
                <w:szCs w:val="18"/>
                <w:lang w:val="fr-FR" w:eastAsia="en-US"/>
              </w:rPr>
              <w:t>–0.</w:t>
            </w:r>
            <w:r w:rsidR="230120C4" w:rsidRPr="3F1DEBE1">
              <w:rPr>
                <w:rFonts w:ascii="Calibri" w:hAnsi="Calibri" w:cs="Calibri"/>
                <w:sz w:val="18"/>
                <w:szCs w:val="18"/>
                <w:lang w:val="fr-FR" w:eastAsia="en-US"/>
              </w:rPr>
              <w:t>20</w:t>
            </w:r>
            <w:r w:rsidRPr="3F1DEBE1">
              <w:rPr>
                <w:rFonts w:ascii="Calibri" w:hAnsi="Calibri" w:cs="Calibri"/>
                <w:sz w:val="18"/>
                <w:szCs w:val="18"/>
                <w:lang w:val="fr-FR" w:eastAsia="en-US"/>
              </w:rPr>
              <w:t xml:space="preserve">) </w:t>
            </w:r>
          </w:p>
          <w:p w14:paraId="188CF32C" w14:textId="6BCCCA63" w:rsidR="000F2D18" w:rsidRPr="003545A6" w:rsidRDefault="0DEB14C0" w:rsidP="1EA925F2">
            <w:pPr>
              <w:jc w:val="right"/>
              <w:rPr>
                <w:rFonts w:ascii="Calibri" w:hAnsi="Calibri" w:cs="Calibri"/>
                <w:sz w:val="18"/>
                <w:szCs w:val="18"/>
                <w:lang w:val="fr-FR" w:eastAsia="en-US"/>
              </w:rPr>
            </w:pPr>
            <w:r w:rsidRPr="3F1DEBE1">
              <w:rPr>
                <w:rFonts w:ascii="Calibri" w:hAnsi="Calibri" w:cs="Calibri"/>
                <w:sz w:val="18"/>
                <w:szCs w:val="18"/>
                <w:lang w:val="fr-FR" w:eastAsia="en-US"/>
              </w:rPr>
              <w:t>SB</w:t>
            </w:r>
            <w:r w:rsidRPr="3F1DEBE1">
              <w:rPr>
                <w:rFonts w:ascii="Calibri" w:hAnsi="Calibri" w:cs="Calibri"/>
                <w:sz w:val="18"/>
                <w:szCs w:val="18"/>
                <w:vertAlign w:val="subscript"/>
                <w:lang w:val="fr-FR" w:eastAsia="en-US"/>
              </w:rPr>
              <w:t>MSY</w:t>
            </w:r>
            <w:r w:rsidRPr="3F1DEBE1">
              <w:rPr>
                <w:rFonts w:ascii="Calibri" w:hAnsi="Calibri" w:cs="Calibri"/>
                <w:sz w:val="18"/>
                <w:szCs w:val="18"/>
                <w:lang w:val="fr-FR" w:eastAsia="en-US"/>
              </w:rPr>
              <w:t xml:space="preserve"> (1,000 </w:t>
            </w:r>
            <w:r w:rsidR="348CEF21" w:rsidRPr="3F1DEBE1">
              <w:rPr>
                <w:rFonts w:ascii="Calibri" w:hAnsi="Calibri" w:cs="Calibri"/>
                <w:sz w:val="18"/>
                <w:szCs w:val="18"/>
                <w:lang w:val="fr-FR" w:eastAsia="en-US"/>
              </w:rPr>
              <w:t>t</w:t>
            </w:r>
            <w:r w:rsidRPr="3F1DEBE1">
              <w:rPr>
                <w:rFonts w:ascii="Calibri" w:hAnsi="Calibri" w:cs="Calibri"/>
                <w:sz w:val="18"/>
                <w:szCs w:val="18"/>
                <w:lang w:val="fr-FR" w:eastAsia="en-US"/>
              </w:rPr>
              <w:t>) (80% CI): 5</w:t>
            </w:r>
            <w:r w:rsidR="7EBEDE59" w:rsidRPr="3F1DEBE1">
              <w:rPr>
                <w:rFonts w:ascii="Calibri" w:hAnsi="Calibri" w:cs="Calibri"/>
                <w:sz w:val="18"/>
                <w:szCs w:val="18"/>
                <w:lang w:val="fr-FR" w:eastAsia="en-US"/>
              </w:rPr>
              <w:t>5</w:t>
            </w:r>
            <w:r w:rsidRPr="3F1DEBE1">
              <w:rPr>
                <w:rFonts w:ascii="Calibri" w:hAnsi="Calibri" w:cs="Calibri"/>
                <w:sz w:val="18"/>
                <w:szCs w:val="18"/>
                <w:lang w:val="fr-FR" w:eastAsia="en-US"/>
              </w:rPr>
              <w:t>(4</w:t>
            </w:r>
            <w:r w:rsidR="50E7A459" w:rsidRPr="3F1DEBE1">
              <w:rPr>
                <w:rFonts w:ascii="Calibri" w:hAnsi="Calibri" w:cs="Calibri"/>
                <w:sz w:val="18"/>
                <w:szCs w:val="18"/>
                <w:lang w:val="fr-FR" w:eastAsia="en-US"/>
              </w:rPr>
              <w:t>0</w:t>
            </w:r>
            <w:r w:rsidRPr="3F1DEBE1">
              <w:rPr>
                <w:rFonts w:ascii="Calibri" w:hAnsi="Calibri" w:cs="Calibri"/>
                <w:sz w:val="18"/>
                <w:szCs w:val="18"/>
                <w:lang w:val="fr-FR" w:eastAsia="en-US"/>
              </w:rPr>
              <w:t>–7</w:t>
            </w:r>
            <w:r w:rsidR="7E3FFD16" w:rsidRPr="3F1DEBE1">
              <w:rPr>
                <w:rFonts w:ascii="Calibri" w:hAnsi="Calibri" w:cs="Calibri"/>
                <w:sz w:val="18"/>
                <w:szCs w:val="18"/>
                <w:lang w:val="fr-FR" w:eastAsia="en-US"/>
              </w:rPr>
              <w:t>0</w:t>
            </w:r>
            <w:r w:rsidRPr="3F1DEBE1">
              <w:rPr>
                <w:rFonts w:ascii="Calibri" w:hAnsi="Calibri" w:cs="Calibri"/>
                <w:sz w:val="18"/>
                <w:szCs w:val="18"/>
                <w:lang w:val="fr-FR" w:eastAsia="en-US"/>
              </w:rPr>
              <w:t>)</w:t>
            </w:r>
          </w:p>
          <w:p w14:paraId="7259960E" w14:textId="35E424C8" w:rsidR="000F2D18" w:rsidRPr="003545A6" w:rsidRDefault="0DEB14C0" w:rsidP="1EA925F2">
            <w:pPr>
              <w:jc w:val="right"/>
              <w:rPr>
                <w:rFonts w:ascii="Calibri" w:hAnsi="Calibri" w:cs="Calibri"/>
                <w:sz w:val="18"/>
                <w:szCs w:val="18"/>
                <w:lang w:val="fr-FR" w:eastAsia="en-US"/>
              </w:rPr>
            </w:pPr>
            <w:r w:rsidRPr="3F1DEBE1">
              <w:rPr>
                <w:rFonts w:ascii="Calibri" w:hAnsi="Calibri" w:cs="Calibri"/>
                <w:sz w:val="18"/>
                <w:szCs w:val="18"/>
                <w:lang w:val="fr-FR" w:eastAsia="en-US"/>
              </w:rPr>
              <w:t>F</w:t>
            </w:r>
            <w:r w:rsidRPr="3F1DEBE1">
              <w:rPr>
                <w:rFonts w:ascii="Calibri" w:hAnsi="Calibri" w:cs="Calibri"/>
                <w:sz w:val="18"/>
                <w:szCs w:val="18"/>
                <w:vertAlign w:val="subscript"/>
                <w:lang w:val="fr-FR" w:eastAsia="en-US"/>
              </w:rPr>
              <w:t>20</w:t>
            </w:r>
            <w:r w:rsidR="29D4B95F" w:rsidRPr="3F1DEBE1">
              <w:rPr>
                <w:rFonts w:ascii="Calibri" w:hAnsi="Calibri" w:cs="Calibri"/>
                <w:sz w:val="18"/>
                <w:szCs w:val="18"/>
                <w:vertAlign w:val="subscript"/>
                <w:lang w:val="fr-FR" w:eastAsia="en-US"/>
              </w:rPr>
              <w:t>21</w:t>
            </w:r>
            <w:r w:rsidRPr="3F1DEBE1">
              <w:rPr>
                <w:rFonts w:ascii="Calibri" w:hAnsi="Calibri" w:cs="Calibri"/>
                <w:sz w:val="18"/>
                <w:szCs w:val="18"/>
                <w:lang w:val="fr-FR" w:eastAsia="en-US"/>
              </w:rPr>
              <w:t>/F</w:t>
            </w:r>
            <w:r w:rsidRPr="3F1DEBE1">
              <w:rPr>
                <w:rFonts w:ascii="Calibri" w:hAnsi="Calibri" w:cs="Calibri"/>
                <w:sz w:val="18"/>
                <w:szCs w:val="18"/>
                <w:vertAlign w:val="subscript"/>
                <w:lang w:val="fr-FR" w:eastAsia="en-US"/>
              </w:rPr>
              <w:t>MSY</w:t>
            </w:r>
            <w:r w:rsidRPr="3F1DEBE1">
              <w:rPr>
                <w:rFonts w:ascii="Calibri" w:hAnsi="Calibri" w:cs="Calibri"/>
                <w:sz w:val="18"/>
                <w:szCs w:val="18"/>
                <w:lang w:val="fr-FR" w:eastAsia="en-US"/>
              </w:rPr>
              <w:t xml:space="preserve"> (80% CI): 0.60 (0.4</w:t>
            </w:r>
            <w:r w:rsidR="53F3C434" w:rsidRPr="3F1DEBE1">
              <w:rPr>
                <w:rFonts w:ascii="Calibri" w:hAnsi="Calibri" w:cs="Calibri"/>
                <w:sz w:val="18"/>
                <w:szCs w:val="18"/>
                <w:lang w:val="fr-FR" w:eastAsia="en-US"/>
              </w:rPr>
              <w:t>3</w:t>
            </w:r>
            <w:r w:rsidRPr="3F1DEBE1">
              <w:rPr>
                <w:rFonts w:ascii="Calibri" w:hAnsi="Calibri" w:cs="Calibri"/>
                <w:sz w:val="18"/>
                <w:szCs w:val="18"/>
                <w:lang w:val="fr-FR" w:eastAsia="en-US"/>
              </w:rPr>
              <w:t>–0.</w:t>
            </w:r>
            <w:r w:rsidR="7219D2DC" w:rsidRPr="3F1DEBE1">
              <w:rPr>
                <w:rFonts w:ascii="Calibri" w:hAnsi="Calibri" w:cs="Calibri"/>
                <w:sz w:val="18"/>
                <w:szCs w:val="18"/>
                <w:lang w:val="fr-FR" w:eastAsia="en-US"/>
              </w:rPr>
              <w:t>77</w:t>
            </w:r>
            <w:r w:rsidRPr="3F1DEBE1">
              <w:rPr>
                <w:rFonts w:ascii="Calibri" w:hAnsi="Calibri" w:cs="Calibri"/>
                <w:sz w:val="18"/>
                <w:szCs w:val="18"/>
                <w:lang w:val="fr-FR" w:eastAsia="en-US"/>
              </w:rPr>
              <w:t xml:space="preserve">) </w:t>
            </w:r>
          </w:p>
          <w:p w14:paraId="71DE8454" w14:textId="0C63D710" w:rsidR="000F2D18" w:rsidRPr="003545A6" w:rsidRDefault="0DEB14C0" w:rsidP="1EA925F2">
            <w:pPr>
              <w:jc w:val="right"/>
              <w:rPr>
                <w:rFonts w:ascii="Calibri" w:hAnsi="Calibri" w:cs="Calibri"/>
                <w:sz w:val="18"/>
                <w:szCs w:val="18"/>
                <w:lang w:val="fr-FR" w:eastAsia="en-US"/>
              </w:rPr>
            </w:pPr>
            <w:r w:rsidRPr="3F1DEBE1">
              <w:rPr>
                <w:rFonts w:ascii="Calibri" w:hAnsi="Calibri" w:cs="Calibri"/>
                <w:sz w:val="18"/>
                <w:szCs w:val="18"/>
                <w:lang w:val="fr-FR" w:eastAsia="en-US"/>
              </w:rPr>
              <w:t>SB</w:t>
            </w:r>
            <w:r w:rsidRPr="3F1DEBE1">
              <w:rPr>
                <w:rFonts w:ascii="Calibri" w:hAnsi="Calibri" w:cs="Calibri"/>
                <w:sz w:val="18"/>
                <w:szCs w:val="18"/>
                <w:vertAlign w:val="subscript"/>
                <w:lang w:val="fr-FR" w:eastAsia="en-US"/>
              </w:rPr>
              <w:t>20</w:t>
            </w:r>
            <w:r w:rsidR="572CD852" w:rsidRPr="3F1DEBE1">
              <w:rPr>
                <w:rFonts w:ascii="Calibri" w:hAnsi="Calibri" w:cs="Calibri"/>
                <w:sz w:val="18"/>
                <w:szCs w:val="18"/>
                <w:vertAlign w:val="subscript"/>
                <w:lang w:val="fr-FR" w:eastAsia="en-US"/>
              </w:rPr>
              <w:t>21</w:t>
            </w:r>
            <w:r w:rsidRPr="3F1DEBE1">
              <w:rPr>
                <w:rFonts w:ascii="Calibri" w:hAnsi="Calibri" w:cs="Calibri"/>
                <w:sz w:val="18"/>
                <w:szCs w:val="18"/>
                <w:lang w:val="fr-FR" w:eastAsia="en-US"/>
              </w:rPr>
              <w:t>/SB</w:t>
            </w:r>
            <w:r w:rsidRPr="3F1DEBE1">
              <w:rPr>
                <w:rFonts w:ascii="Calibri" w:hAnsi="Calibri" w:cs="Calibri"/>
                <w:sz w:val="18"/>
                <w:szCs w:val="18"/>
                <w:vertAlign w:val="subscript"/>
                <w:lang w:val="fr-FR" w:eastAsia="en-US"/>
              </w:rPr>
              <w:t>MSY</w:t>
            </w:r>
            <w:r w:rsidRPr="3F1DEBE1">
              <w:rPr>
                <w:rFonts w:ascii="Calibri" w:hAnsi="Calibri" w:cs="Calibri"/>
                <w:sz w:val="18"/>
                <w:szCs w:val="18"/>
                <w:lang w:val="fr-FR" w:eastAsia="en-US"/>
              </w:rPr>
              <w:t xml:space="preserve"> (80% CI):</w:t>
            </w:r>
            <w:r w:rsidRPr="3F1DEBE1">
              <w:rPr>
                <w:lang w:val="fr-FR"/>
              </w:rPr>
              <w:t xml:space="preserve"> </w:t>
            </w:r>
            <w:r w:rsidRPr="3F1DEBE1">
              <w:rPr>
                <w:rFonts w:ascii="Calibri" w:hAnsi="Calibri" w:cs="Calibri"/>
                <w:sz w:val="18"/>
                <w:szCs w:val="18"/>
                <w:lang w:val="fr-FR" w:eastAsia="en-US"/>
              </w:rPr>
              <w:t>1.</w:t>
            </w:r>
            <w:r w:rsidR="69B01A05" w:rsidRPr="3F1DEBE1">
              <w:rPr>
                <w:rFonts w:ascii="Calibri" w:hAnsi="Calibri" w:cs="Calibri"/>
                <w:sz w:val="18"/>
                <w:szCs w:val="18"/>
                <w:lang w:val="fr-FR" w:eastAsia="en-US"/>
              </w:rPr>
              <w:t>39</w:t>
            </w:r>
            <w:r w:rsidRPr="3F1DEBE1">
              <w:rPr>
                <w:rFonts w:ascii="Calibri" w:hAnsi="Calibri" w:cs="Calibri"/>
                <w:sz w:val="18"/>
                <w:szCs w:val="18"/>
                <w:lang w:val="fr-FR" w:eastAsia="en-US"/>
              </w:rPr>
              <w:t xml:space="preserve"> (1.</w:t>
            </w:r>
            <w:r w:rsidR="370D339C" w:rsidRPr="3F1DEBE1">
              <w:rPr>
                <w:rFonts w:ascii="Calibri" w:hAnsi="Calibri" w:cs="Calibri"/>
                <w:sz w:val="18"/>
                <w:szCs w:val="18"/>
                <w:lang w:val="fr-FR" w:eastAsia="en-US"/>
              </w:rPr>
              <w:t>01</w:t>
            </w:r>
            <w:r w:rsidRPr="3F1DEBE1">
              <w:rPr>
                <w:rFonts w:ascii="Calibri" w:hAnsi="Calibri" w:cs="Calibri"/>
                <w:sz w:val="18"/>
                <w:szCs w:val="18"/>
                <w:lang w:val="fr-FR" w:eastAsia="en-US"/>
              </w:rPr>
              <w:t>–</w:t>
            </w:r>
            <w:r w:rsidR="4FAE438E" w:rsidRPr="3F1DEBE1">
              <w:rPr>
                <w:rFonts w:ascii="Calibri" w:hAnsi="Calibri" w:cs="Calibri"/>
                <w:sz w:val="18"/>
                <w:szCs w:val="18"/>
                <w:lang w:val="fr-FR" w:eastAsia="en-US"/>
              </w:rPr>
              <w:t>1</w:t>
            </w:r>
            <w:r w:rsidRPr="3F1DEBE1">
              <w:rPr>
                <w:rFonts w:ascii="Calibri" w:hAnsi="Calibri" w:cs="Calibri"/>
                <w:sz w:val="18"/>
                <w:szCs w:val="18"/>
                <w:lang w:val="fr-FR" w:eastAsia="en-US"/>
              </w:rPr>
              <w:t>.</w:t>
            </w:r>
            <w:r w:rsidR="0741D863" w:rsidRPr="3F1DEBE1">
              <w:rPr>
                <w:rFonts w:ascii="Calibri" w:hAnsi="Calibri" w:cs="Calibri"/>
                <w:sz w:val="18"/>
                <w:szCs w:val="18"/>
                <w:lang w:val="fr-FR" w:eastAsia="en-US"/>
              </w:rPr>
              <w:t>77</w:t>
            </w:r>
            <w:r w:rsidRPr="3F1DEBE1">
              <w:rPr>
                <w:rFonts w:ascii="Calibri" w:hAnsi="Calibri" w:cs="Calibri"/>
                <w:sz w:val="18"/>
                <w:szCs w:val="18"/>
                <w:lang w:val="fr-FR" w:eastAsia="en-US"/>
              </w:rPr>
              <w:t xml:space="preserve">)  </w:t>
            </w:r>
          </w:p>
          <w:p w14:paraId="2EA10835" w14:textId="47E804A4" w:rsidR="000F2D18" w:rsidRPr="003545A6" w:rsidRDefault="3DCA2162" w:rsidP="1EA925F2">
            <w:pPr>
              <w:jc w:val="right"/>
              <w:rPr>
                <w:rFonts w:ascii="Calibri" w:hAnsi="Calibri" w:cs="Calibri"/>
                <w:sz w:val="18"/>
                <w:szCs w:val="18"/>
                <w:lang w:val="fr-FR" w:eastAsia="en-US"/>
              </w:rPr>
            </w:pPr>
            <w:r w:rsidRPr="003545A6">
              <w:rPr>
                <w:rFonts w:ascii="Calibri" w:hAnsi="Calibri" w:cs="Calibri"/>
                <w:sz w:val="18"/>
                <w:szCs w:val="18"/>
                <w:lang w:val="fr-FR" w:eastAsia="en-US"/>
              </w:rPr>
              <w:t>SB</w:t>
            </w:r>
            <w:r w:rsidRPr="003545A6">
              <w:rPr>
                <w:rFonts w:ascii="Calibri" w:hAnsi="Calibri" w:cs="Calibri"/>
                <w:sz w:val="18"/>
                <w:szCs w:val="18"/>
                <w:vertAlign w:val="subscript"/>
                <w:lang w:val="fr-FR" w:eastAsia="en-US"/>
              </w:rPr>
              <w:t>20</w:t>
            </w:r>
            <w:r w:rsidR="417BA67B" w:rsidRPr="003545A6">
              <w:rPr>
                <w:rFonts w:ascii="Calibri" w:hAnsi="Calibri" w:cs="Calibri"/>
                <w:sz w:val="18"/>
                <w:szCs w:val="18"/>
                <w:vertAlign w:val="subscript"/>
                <w:lang w:val="fr-FR" w:eastAsia="en-US"/>
              </w:rPr>
              <w:t>21</w:t>
            </w:r>
            <w:r w:rsidRPr="003545A6">
              <w:rPr>
                <w:rFonts w:ascii="Calibri" w:hAnsi="Calibri" w:cs="Calibri"/>
                <w:sz w:val="18"/>
                <w:szCs w:val="18"/>
                <w:lang w:val="fr-FR" w:eastAsia="en-US"/>
              </w:rPr>
              <w:t>/SB</w:t>
            </w:r>
            <w:r w:rsidRPr="003545A6">
              <w:rPr>
                <w:rFonts w:ascii="Calibri" w:hAnsi="Calibri" w:cs="Calibri"/>
                <w:sz w:val="18"/>
                <w:szCs w:val="18"/>
                <w:vertAlign w:val="subscript"/>
                <w:lang w:val="fr-FR" w:eastAsia="en-US"/>
              </w:rPr>
              <w:t>1950</w:t>
            </w:r>
            <w:r w:rsidRPr="003545A6">
              <w:rPr>
                <w:rFonts w:ascii="Calibri" w:hAnsi="Calibri" w:cs="Calibri"/>
                <w:sz w:val="18"/>
                <w:szCs w:val="18"/>
                <w:lang w:val="fr-FR" w:eastAsia="en-US"/>
              </w:rPr>
              <w:t xml:space="preserve"> (80% CI):</w:t>
            </w:r>
            <w:r w:rsidRPr="003545A6">
              <w:rPr>
                <w:lang w:val="fr-FR"/>
              </w:rPr>
              <w:t xml:space="preserve"> </w:t>
            </w:r>
            <w:r w:rsidRPr="003545A6">
              <w:rPr>
                <w:rFonts w:ascii="Calibri" w:hAnsi="Calibri" w:cs="Calibri"/>
                <w:sz w:val="18"/>
                <w:szCs w:val="18"/>
                <w:lang w:val="fr-FR" w:eastAsia="en-US"/>
              </w:rPr>
              <w:t>0.</w:t>
            </w:r>
            <w:r w:rsidR="68351BE6" w:rsidRPr="003545A6">
              <w:rPr>
                <w:rFonts w:ascii="Calibri" w:hAnsi="Calibri" w:cs="Calibri"/>
                <w:sz w:val="18"/>
                <w:szCs w:val="18"/>
                <w:lang w:val="fr-FR" w:eastAsia="en-US"/>
              </w:rPr>
              <w:t>35</w:t>
            </w:r>
            <w:r w:rsidRPr="003545A6">
              <w:rPr>
                <w:rFonts w:ascii="Calibri" w:hAnsi="Calibri" w:cs="Calibri"/>
                <w:sz w:val="18"/>
                <w:szCs w:val="18"/>
                <w:lang w:val="fr-FR" w:eastAsia="en-US"/>
              </w:rPr>
              <w:t xml:space="preserve"> (0.3</w:t>
            </w:r>
            <w:r w:rsidR="24D492CC" w:rsidRPr="003545A6">
              <w:rPr>
                <w:rFonts w:ascii="Calibri" w:hAnsi="Calibri" w:cs="Calibri"/>
                <w:sz w:val="18"/>
                <w:szCs w:val="18"/>
                <w:lang w:val="fr-FR" w:eastAsia="en-US"/>
              </w:rPr>
              <w:t>2</w:t>
            </w:r>
            <w:r w:rsidRPr="003545A6">
              <w:rPr>
                <w:rFonts w:ascii="Calibri" w:hAnsi="Calibri" w:cs="Calibri"/>
                <w:sz w:val="18"/>
                <w:szCs w:val="18"/>
                <w:lang w:val="fr-FR" w:eastAsia="en-US"/>
              </w:rPr>
              <w:t>–0.</w:t>
            </w:r>
            <w:r w:rsidR="3BD77352" w:rsidRPr="003545A6">
              <w:rPr>
                <w:rFonts w:ascii="Calibri" w:hAnsi="Calibri" w:cs="Calibri"/>
                <w:sz w:val="18"/>
                <w:szCs w:val="18"/>
                <w:lang w:val="fr-FR" w:eastAsia="en-US"/>
              </w:rPr>
              <w:t>3</w:t>
            </w:r>
            <w:r w:rsidRPr="003545A6">
              <w:rPr>
                <w:rFonts w:ascii="Calibri" w:hAnsi="Calibri" w:cs="Calibri"/>
                <w:sz w:val="18"/>
                <w:szCs w:val="18"/>
                <w:lang w:val="fr-FR" w:eastAsia="en-US"/>
              </w:rPr>
              <w:t xml:space="preserve">7) </w:t>
            </w:r>
          </w:p>
        </w:tc>
        <w:tc>
          <w:tcPr>
            <w:tcW w:w="607" w:type="dxa"/>
            <w:tcBorders>
              <w:left w:val="single" w:sz="4" w:space="0" w:color="000000" w:themeColor="text1"/>
              <w:bottom w:val="single" w:sz="4" w:space="0" w:color="000000" w:themeColor="text1"/>
              <w:right w:val="single" w:sz="4" w:space="0" w:color="000000" w:themeColor="text1"/>
            </w:tcBorders>
            <w:shd w:val="clear" w:color="auto" w:fill="92D050"/>
            <w:vAlign w:val="center"/>
          </w:tcPr>
          <w:p w14:paraId="44E6DC13" w14:textId="77777777" w:rsidR="005044FD" w:rsidRPr="003545A6" w:rsidRDefault="005044FD" w:rsidP="1EA925F2">
            <w:pPr>
              <w:jc w:val="center"/>
              <w:rPr>
                <w:rFonts w:ascii="Calibri" w:hAnsi="Calibri" w:cs="Calibri"/>
                <w:sz w:val="18"/>
                <w:szCs w:val="18"/>
                <w:lang w:val="fr-FR" w:eastAsia="en-US"/>
              </w:rPr>
            </w:pPr>
          </w:p>
        </w:tc>
        <w:tc>
          <w:tcPr>
            <w:tcW w:w="611" w:type="dxa"/>
            <w:tcBorders>
              <w:left w:val="single" w:sz="4" w:space="0" w:color="000000" w:themeColor="text1"/>
              <w:bottom w:val="single" w:sz="4" w:space="0" w:color="000000" w:themeColor="text1"/>
              <w:right w:val="single" w:sz="4" w:space="0" w:color="000000" w:themeColor="text1"/>
            </w:tcBorders>
            <w:shd w:val="clear" w:color="auto" w:fill="92D050"/>
            <w:vAlign w:val="center"/>
          </w:tcPr>
          <w:p w14:paraId="6795935A" w14:textId="77777777" w:rsidR="005044FD" w:rsidRPr="003545A6" w:rsidRDefault="005044FD" w:rsidP="1EA925F2">
            <w:pPr>
              <w:jc w:val="center"/>
              <w:rPr>
                <w:rFonts w:ascii="Calibri" w:hAnsi="Calibri" w:cs="Calibri"/>
                <w:sz w:val="18"/>
                <w:szCs w:val="18"/>
                <w:lang w:val="fr-FR" w:eastAsia="en-US"/>
              </w:rPr>
            </w:pPr>
          </w:p>
        </w:tc>
        <w:tc>
          <w:tcPr>
            <w:tcW w:w="622" w:type="dxa"/>
            <w:tcBorders>
              <w:left w:val="single" w:sz="4" w:space="0" w:color="000000" w:themeColor="text1"/>
              <w:bottom w:val="single" w:sz="4" w:space="0" w:color="000000" w:themeColor="text1"/>
              <w:right w:val="single" w:sz="4" w:space="0" w:color="000000" w:themeColor="text1"/>
            </w:tcBorders>
            <w:shd w:val="clear" w:color="auto" w:fill="92D050"/>
            <w:vAlign w:val="center"/>
          </w:tcPr>
          <w:p w14:paraId="7042C45A" w14:textId="77777777" w:rsidR="005044FD" w:rsidRPr="003545A6" w:rsidRDefault="005044FD" w:rsidP="1EA925F2">
            <w:pPr>
              <w:jc w:val="center"/>
              <w:rPr>
                <w:rFonts w:ascii="Calibri" w:hAnsi="Calibri" w:cs="Calibri"/>
                <w:sz w:val="18"/>
                <w:szCs w:val="18"/>
                <w:lang w:val="fr-FR" w:eastAsia="en-US"/>
              </w:rPr>
            </w:pPr>
          </w:p>
        </w:tc>
        <w:tc>
          <w:tcPr>
            <w:tcW w:w="635" w:type="dxa"/>
            <w:tcBorders>
              <w:left w:val="single" w:sz="4" w:space="0" w:color="000000" w:themeColor="text1"/>
              <w:bottom w:val="single" w:sz="4" w:space="0" w:color="000000" w:themeColor="text1"/>
              <w:right w:val="single" w:sz="4" w:space="0" w:color="000000" w:themeColor="text1"/>
            </w:tcBorders>
            <w:shd w:val="clear" w:color="auto" w:fill="92D050"/>
          </w:tcPr>
          <w:p w14:paraId="365E0E71" w14:textId="77777777" w:rsidR="00C438CC" w:rsidRDefault="00C438CC" w:rsidP="1EA925F2">
            <w:pPr>
              <w:jc w:val="center"/>
              <w:rPr>
                <w:rFonts w:ascii="Calibri" w:hAnsi="Calibri" w:cs="Calibri"/>
                <w:b/>
                <w:bCs/>
                <w:i/>
                <w:iCs/>
                <w:sz w:val="18"/>
                <w:szCs w:val="18"/>
              </w:rPr>
            </w:pPr>
          </w:p>
          <w:p w14:paraId="725E4851" w14:textId="77777777" w:rsidR="00C438CC" w:rsidRDefault="00C438CC" w:rsidP="1EA925F2">
            <w:pPr>
              <w:jc w:val="center"/>
              <w:rPr>
                <w:rFonts w:ascii="Calibri" w:hAnsi="Calibri" w:cs="Calibri"/>
                <w:b/>
                <w:bCs/>
                <w:i/>
                <w:iCs/>
                <w:sz w:val="18"/>
                <w:szCs w:val="18"/>
              </w:rPr>
            </w:pPr>
          </w:p>
          <w:p w14:paraId="4CA19CEE" w14:textId="77777777" w:rsidR="00C438CC" w:rsidRDefault="00C438CC" w:rsidP="1EA925F2">
            <w:pPr>
              <w:jc w:val="center"/>
              <w:rPr>
                <w:rFonts w:ascii="Calibri" w:hAnsi="Calibri" w:cs="Calibri"/>
                <w:b/>
                <w:bCs/>
                <w:i/>
                <w:iCs/>
                <w:sz w:val="18"/>
                <w:szCs w:val="18"/>
              </w:rPr>
            </w:pPr>
          </w:p>
          <w:p w14:paraId="0D03FB4C" w14:textId="77777777" w:rsidR="00C438CC" w:rsidRDefault="00C438CC" w:rsidP="1EA925F2">
            <w:pPr>
              <w:jc w:val="center"/>
              <w:rPr>
                <w:rFonts w:ascii="Calibri" w:hAnsi="Calibri" w:cs="Calibri"/>
                <w:b/>
                <w:bCs/>
                <w:i/>
                <w:iCs/>
                <w:sz w:val="18"/>
                <w:szCs w:val="18"/>
              </w:rPr>
            </w:pPr>
          </w:p>
          <w:p w14:paraId="73984C70" w14:textId="77777777" w:rsidR="00C438CC" w:rsidRDefault="00C438CC" w:rsidP="1EA925F2">
            <w:pPr>
              <w:jc w:val="center"/>
              <w:rPr>
                <w:rFonts w:ascii="Calibri" w:hAnsi="Calibri" w:cs="Calibri"/>
                <w:b/>
                <w:bCs/>
                <w:i/>
                <w:iCs/>
                <w:sz w:val="18"/>
                <w:szCs w:val="18"/>
              </w:rPr>
            </w:pPr>
          </w:p>
          <w:p w14:paraId="4543E8E3" w14:textId="77777777" w:rsidR="00C438CC" w:rsidRDefault="00C438CC" w:rsidP="1EA925F2">
            <w:pPr>
              <w:jc w:val="center"/>
              <w:rPr>
                <w:rFonts w:ascii="Calibri" w:hAnsi="Calibri" w:cs="Calibri"/>
                <w:b/>
                <w:bCs/>
                <w:i/>
                <w:iCs/>
                <w:sz w:val="18"/>
                <w:szCs w:val="18"/>
              </w:rPr>
            </w:pPr>
          </w:p>
          <w:p w14:paraId="0EC5D7D4" w14:textId="77777777" w:rsidR="00C438CC" w:rsidRDefault="00C438CC" w:rsidP="1EA925F2">
            <w:pPr>
              <w:jc w:val="center"/>
              <w:rPr>
                <w:rFonts w:ascii="Calibri" w:hAnsi="Calibri" w:cs="Calibri"/>
                <w:b/>
                <w:bCs/>
                <w:i/>
                <w:iCs/>
                <w:sz w:val="18"/>
                <w:szCs w:val="18"/>
              </w:rPr>
            </w:pPr>
          </w:p>
          <w:p w14:paraId="2595810B" w14:textId="77777777" w:rsidR="00C438CC" w:rsidRDefault="00C438CC" w:rsidP="1EA925F2">
            <w:pPr>
              <w:jc w:val="center"/>
              <w:rPr>
                <w:rFonts w:ascii="Calibri" w:hAnsi="Calibri" w:cs="Calibri"/>
                <w:b/>
                <w:bCs/>
                <w:i/>
                <w:iCs/>
                <w:sz w:val="18"/>
                <w:szCs w:val="18"/>
              </w:rPr>
            </w:pPr>
          </w:p>
          <w:p w14:paraId="34D992B9" w14:textId="77777777" w:rsidR="00C438CC" w:rsidRDefault="00C438CC" w:rsidP="1EA925F2">
            <w:pPr>
              <w:jc w:val="center"/>
              <w:rPr>
                <w:rFonts w:ascii="Calibri" w:hAnsi="Calibri" w:cs="Calibri"/>
                <w:b/>
                <w:bCs/>
                <w:i/>
                <w:iCs/>
                <w:sz w:val="18"/>
                <w:szCs w:val="18"/>
              </w:rPr>
            </w:pPr>
          </w:p>
          <w:p w14:paraId="084D944D" w14:textId="77777777" w:rsidR="00C438CC" w:rsidRDefault="00C438CC" w:rsidP="1EA925F2">
            <w:pPr>
              <w:jc w:val="center"/>
              <w:rPr>
                <w:rFonts w:ascii="Calibri" w:hAnsi="Calibri" w:cs="Calibri"/>
                <w:b/>
                <w:bCs/>
                <w:i/>
                <w:iCs/>
                <w:sz w:val="18"/>
                <w:szCs w:val="18"/>
              </w:rPr>
            </w:pPr>
          </w:p>
          <w:p w14:paraId="40C605DE" w14:textId="77777777" w:rsidR="00C438CC" w:rsidRDefault="00C438CC" w:rsidP="1EA925F2">
            <w:pPr>
              <w:jc w:val="center"/>
              <w:rPr>
                <w:rFonts w:ascii="Calibri" w:hAnsi="Calibri" w:cs="Calibri"/>
                <w:b/>
                <w:bCs/>
                <w:i/>
                <w:iCs/>
                <w:sz w:val="18"/>
                <w:szCs w:val="18"/>
              </w:rPr>
            </w:pPr>
          </w:p>
          <w:p w14:paraId="1A20AFDD" w14:textId="77777777" w:rsidR="00C438CC" w:rsidRDefault="00C438CC" w:rsidP="1EA925F2">
            <w:pPr>
              <w:jc w:val="center"/>
              <w:rPr>
                <w:rFonts w:ascii="Calibri" w:hAnsi="Calibri" w:cs="Calibri"/>
                <w:b/>
                <w:bCs/>
                <w:i/>
                <w:iCs/>
                <w:sz w:val="18"/>
                <w:szCs w:val="18"/>
              </w:rPr>
            </w:pPr>
          </w:p>
          <w:p w14:paraId="7E3B584D" w14:textId="77777777" w:rsidR="00C438CC" w:rsidRDefault="00C438CC" w:rsidP="1EA925F2">
            <w:pPr>
              <w:jc w:val="center"/>
              <w:rPr>
                <w:rFonts w:ascii="Calibri" w:hAnsi="Calibri" w:cs="Calibri"/>
                <w:b/>
                <w:bCs/>
                <w:i/>
                <w:iCs/>
                <w:sz w:val="18"/>
                <w:szCs w:val="18"/>
              </w:rPr>
            </w:pPr>
          </w:p>
          <w:p w14:paraId="2B1854F6" w14:textId="77777777" w:rsidR="00C438CC" w:rsidRDefault="00C438CC" w:rsidP="1EA925F2">
            <w:pPr>
              <w:jc w:val="center"/>
              <w:rPr>
                <w:rFonts w:ascii="Calibri" w:hAnsi="Calibri" w:cs="Calibri"/>
                <w:b/>
                <w:bCs/>
                <w:i/>
                <w:iCs/>
                <w:sz w:val="18"/>
                <w:szCs w:val="18"/>
              </w:rPr>
            </w:pPr>
          </w:p>
          <w:p w14:paraId="4008D0A5" w14:textId="45B77BE2" w:rsidR="005044FD" w:rsidRPr="003545A6" w:rsidRDefault="00C438CC" w:rsidP="1EA925F2">
            <w:pPr>
              <w:jc w:val="center"/>
              <w:rPr>
                <w:rFonts w:ascii="Calibri" w:hAnsi="Calibri" w:cs="Calibri"/>
                <w:color w:val="000000" w:themeColor="text1"/>
                <w:sz w:val="18"/>
                <w:szCs w:val="18"/>
                <w:lang w:val="fr-FR" w:eastAsia="en-US"/>
              </w:rPr>
            </w:pPr>
            <w:r w:rsidRPr="003545A6">
              <w:rPr>
                <w:rFonts w:ascii="Calibri" w:hAnsi="Calibri" w:cs="Calibri"/>
                <w:b/>
                <w:bCs/>
                <w:i/>
                <w:iCs/>
                <w:sz w:val="18"/>
                <w:szCs w:val="18"/>
              </w:rPr>
              <w:t>97%</w:t>
            </w:r>
          </w:p>
        </w:tc>
        <w:tc>
          <w:tcPr>
            <w:tcW w:w="669" w:type="dxa"/>
            <w:tcBorders>
              <w:left w:val="single" w:sz="4" w:space="0" w:color="000000" w:themeColor="text1"/>
              <w:bottom w:val="single" w:sz="4" w:space="0" w:color="000000" w:themeColor="text1"/>
              <w:right w:val="single" w:sz="4" w:space="0" w:color="000000" w:themeColor="text1"/>
            </w:tcBorders>
            <w:shd w:val="clear" w:color="auto" w:fill="92D050"/>
            <w:vAlign w:val="center"/>
          </w:tcPr>
          <w:p w14:paraId="6AB89CBA" w14:textId="5C59B5B5" w:rsidR="005044FD" w:rsidRPr="003545A6" w:rsidRDefault="005044FD" w:rsidP="1EA925F2">
            <w:pPr>
              <w:jc w:val="center"/>
              <w:rPr>
                <w:rFonts w:ascii="Calibri" w:hAnsi="Calibri" w:cs="Calibri"/>
                <w:b/>
                <w:bCs/>
                <w:i/>
                <w:iCs/>
                <w:sz w:val="18"/>
                <w:szCs w:val="18"/>
              </w:rPr>
            </w:pPr>
          </w:p>
        </w:tc>
        <w:tc>
          <w:tcPr>
            <w:tcW w:w="7633" w:type="dxa"/>
            <w:tcBorders>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6848DD7" w14:textId="5B80EB6A" w:rsidR="005044FD" w:rsidRPr="003545A6" w:rsidRDefault="24BD566D" w:rsidP="1EA925F2">
            <w:pPr>
              <w:jc w:val="both"/>
              <w:rPr>
                <w:rFonts w:ascii="Calibri" w:hAnsi="Calibri" w:cs="Calibri"/>
                <w:sz w:val="18"/>
                <w:szCs w:val="18"/>
              </w:rPr>
            </w:pPr>
            <w:r w:rsidRPr="0666C0EC">
              <w:rPr>
                <w:rFonts w:ascii="Calibri" w:hAnsi="Calibri" w:cs="Calibri"/>
                <w:b/>
                <w:bCs/>
                <w:i/>
                <w:iCs/>
                <w:sz w:val="18"/>
                <w:szCs w:val="18"/>
              </w:rPr>
              <w:t xml:space="preserve">Stock status. </w:t>
            </w:r>
            <w:r w:rsidR="7CDBC652" w:rsidRPr="0666C0EC">
              <w:rPr>
                <w:rFonts w:ascii="Calibri" w:hAnsi="Calibri" w:cs="Calibri"/>
                <w:sz w:val="18"/>
                <w:szCs w:val="18"/>
              </w:rPr>
              <w:t>No new stock assessment was carried out for Swordfish in 202</w:t>
            </w:r>
            <w:r w:rsidR="00B21C4D">
              <w:rPr>
                <w:rFonts w:ascii="Calibri" w:hAnsi="Calibri" w:cs="Calibri"/>
                <w:sz w:val="18"/>
                <w:szCs w:val="18"/>
              </w:rPr>
              <w:t>5</w:t>
            </w:r>
            <w:r w:rsidR="7CDBC652" w:rsidRPr="0666C0EC">
              <w:rPr>
                <w:rFonts w:ascii="Calibri" w:hAnsi="Calibri" w:cs="Calibri"/>
                <w:sz w:val="18"/>
                <w:szCs w:val="18"/>
              </w:rPr>
              <w:t>, thus</w:t>
            </w:r>
            <w:r w:rsidR="6688CCFA" w:rsidRPr="0666C0EC">
              <w:rPr>
                <w:rFonts w:ascii="Calibri" w:hAnsi="Calibri" w:cs="Calibri"/>
                <w:color w:val="000000" w:themeColor="text1"/>
                <w:sz w:val="18"/>
                <w:szCs w:val="18"/>
              </w:rPr>
              <w:t>, the stock status estimates are based on the assessment carried out in 2023. Two models were applied to the swordfish stock (ASPIC and Stock Synthesis (SS3)), with the SS3 stock assessment selected to provide scientific advice (as done previously)</w:t>
            </w:r>
            <w:r w:rsidR="0A6ED08A" w:rsidRPr="0666C0EC">
              <w:rPr>
                <w:rFonts w:ascii="Calibri" w:hAnsi="Calibri" w:cs="Calibri"/>
                <w:color w:val="000000" w:themeColor="text1"/>
                <w:sz w:val="18"/>
                <w:szCs w:val="18"/>
              </w:rPr>
              <w:t>. An update of the JABBA model was also conducted during the WPB meeting. The reported SS3 stock status is based on a grid of 4</w:t>
            </w:r>
            <w:r w:rsidR="5C272C8A" w:rsidRPr="0666C0EC">
              <w:rPr>
                <w:rFonts w:ascii="Calibri" w:hAnsi="Calibri" w:cs="Calibri"/>
                <w:color w:val="000000" w:themeColor="text1"/>
                <w:sz w:val="18"/>
                <w:szCs w:val="18"/>
              </w:rPr>
              <w:t>8</w:t>
            </w:r>
            <w:r w:rsidR="0A6ED08A" w:rsidRPr="0666C0EC">
              <w:rPr>
                <w:rFonts w:ascii="Calibri" w:hAnsi="Calibri" w:cs="Calibri"/>
                <w:color w:val="000000" w:themeColor="text1"/>
                <w:sz w:val="18"/>
                <w:szCs w:val="18"/>
              </w:rPr>
              <w:t xml:space="preserve"> model configurations designed to capture the uncertainty relating to steepness of the stock recruitment relationship (0.7, 0.8, and 0.9), recruitment variability (two levels), CPUE series (2 options), growth (2 options) and weighting of length composition data (two options). A number of the options included in the final grid were selected from a range of additional sensitivity runs that were conducted to explore uncertainties. Median spawning biomass in 2021 was estimated to be 35% (80% CI: 32-37%) of the unfished levels in 2021 and 1.39 (80% CI: 1.01-1.77) times higher than the level required to support MSY. Median fishing mortality in 2021 was estimated to be 60% (80% CI 43%-77%) of the FMSY level, and catch in 2021 (</w:t>
            </w:r>
            <w:r w:rsidR="7EC00A7E" w:rsidRPr="0666C0EC">
              <w:rPr>
                <w:rFonts w:ascii="Calibri" w:hAnsi="Calibri" w:cs="Calibri"/>
                <w:color w:val="000000" w:themeColor="text1"/>
                <w:sz w:val="18"/>
                <w:szCs w:val="18"/>
              </w:rPr>
              <w:t xml:space="preserve">23,237 </w:t>
            </w:r>
            <w:r w:rsidR="0A6ED08A" w:rsidRPr="0666C0EC">
              <w:rPr>
                <w:rFonts w:ascii="Calibri" w:hAnsi="Calibri" w:cs="Calibri"/>
                <w:color w:val="000000" w:themeColor="text1"/>
                <w:sz w:val="18"/>
                <w:szCs w:val="18"/>
              </w:rPr>
              <w:t>t) was well below the estimated MSY level of 29</w:t>
            </w:r>
            <w:r w:rsidR="18FA8259" w:rsidRPr="0666C0EC">
              <w:rPr>
                <w:rFonts w:ascii="Calibri" w:hAnsi="Calibri" w:cs="Calibri"/>
                <w:color w:val="000000" w:themeColor="text1"/>
                <w:sz w:val="18"/>
                <w:szCs w:val="18"/>
              </w:rPr>
              <w:t>,</w:t>
            </w:r>
            <w:r w:rsidR="0A6ED08A" w:rsidRPr="0666C0EC">
              <w:rPr>
                <w:rFonts w:ascii="Calibri" w:hAnsi="Calibri" w:cs="Calibri"/>
                <w:color w:val="000000" w:themeColor="text1"/>
                <w:sz w:val="18"/>
                <w:szCs w:val="18"/>
              </w:rPr>
              <w:t xml:space="preserve">856 t (80% CI: 26,319-33,393t). Taking into account the characterized uncertainty, and on the weight-of-evidence available in 2023, the swordfish stock is determined to be </w:t>
            </w:r>
            <w:r w:rsidR="0A6ED08A" w:rsidRPr="0666C0EC">
              <w:rPr>
                <w:rFonts w:ascii="Calibri" w:hAnsi="Calibri" w:cs="Calibri"/>
                <w:b/>
                <w:bCs/>
                <w:color w:val="000000" w:themeColor="text1"/>
                <w:sz w:val="18"/>
                <w:szCs w:val="18"/>
              </w:rPr>
              <w:t>not overfished</w:t>
            </w:r>
            <w:r w:rsidR="0A6ED08A" w:rsidRPr="0666C0EC">
              <w:rPr>
                <w:rFonts w:ascii="Calibri" w:hAnsi="Calibri" w:cs="Calibri"/>
                <w:color w:val="000000" w:themeColor="text1"/>
                <w:sz w:val="18"/>
                <w:szCs w:val="18"/>
              </w:rPr>
              <w:t xml:space="preserve"> and </w:t>
            </w:r>
            <w:r w:rsidR="0A6ED08A" w:rsidRPr="0666C0EC">
              <w:rPr>
                <w:rFonts w:ascii="Calibri" w:hAnsi="Calibri" w:cs="Calibri"/>
                <w:b/>
                <w:bCs/>
                <w:color w:val="000000" w:themeColor="text1"/>
                <w:sz w:val="18"/>
                <w:szCs w:val="18"/>
              </w:rPr>
              <w:t>not subject to overfishing</w:t>
            </w:r>
            <w:r w:rsidR="0A6ED08A" w:rsidRPr="0666C0EC">
              <w:rPr>
                <w:rFonts w:ascii="Calibri" w:hAnsi="Calibri" w:cs="Calibri"/>
                <w:color w:val="000000" w:themeColor="text1"/>
                <w:sz w:val="18"/>
                <w:szCs w:val="18"/>
              </w:rPr>
              <w:t>.</w:t>
            </w:r>
            <w:r w:rsidRPr="0666C0EC">
              <w:rPr>
                <w:rFonts w:ascii="Calibri" w:hAnsi="Calibri" w:cs="Calibri"/>
                <w:color w:val="000000" w:themeColor="text1"/>
                <w:sz w:val="18"/>
                <w:szCs w:val="18"/>
              </w:rPr>
              <w:t xml:space="preserve"> </w:t>
            </w:r>
          </w:p>
          <w:p w14:paraId="3CC68D99" w14:textId="796C7792" w:rsidR="005044FD" w:rsidRPr="003545A6" w:rsidRDefault="33FC8991" w:rsidP="1EA925F2">
            <w:pPr>
              <w:spacing w:before="120" w:after="120"/>
              <w:jc w:val="both"/>
              <w:rPr>
                <w:rFonts w:ascii="Calibri" w:hAnsi="Calibri" w:cs="Calibri"/>
                <w:sz w:val="18"/>
                <w:szCs w:val="18"/>
              </w:rPr>
            </w:pPr>
            <w:r w:rsidRPr="3F1DEBE1">
              <w:rPr>
                <w:rFonts w:ascii="Calibri" w:hAnsi="Calibri" w:cs="Calibri"/>
                <w:b/>
                <w:bCs/>
                <w:i/>
                <w:iCs/>
                <w:snapToGrid w:val="0"/>
                <w:color w:val="000000"/>
                <w:sz w:val="18"/>
                <w:szCs w:val="18"/>
              </w:rPr>
              <w:t>Management advice</w:t>
            </w:r>
            <w:r w:rsidRPr="003545A6">
              <w:rPr>
                <w:rFonts w:ascii="Calibri" w:hAnsi="Calibri" w:cs="Calibri"/>
                <w:b/>
                <w:bCs/>
                <w:snapToGrid w:val="0"/>
                <w:color w:val="000000"/>
                <w:sz w:val="18"/>
                <w:szCs w:val="18"/>
              </w:rPr>
              <w:t xml:space="preserve">. </w:t>
            </w:r>
            <w:r w:rsidR="325169E1" w:rsidRPr="00CD669F">
              <w:rPr>
                <w:rFonts w:ascii="Calibri" w:hAnsi="Calibri" w:cs="Calibri"/>
                <w:color w:val="000000" w:themeColor="text1"/>
                <w:sz w:val="18"/>
                <w:szCs w:val="18"/>
              </w:rPr>
              <w:t>The 2021 catches (23,237</w:t>
            </w:r>
            <w:r w:rsidR="6E0A300E" w:rsidRPr="00CD669F">
              <w:rPr>
                <w:rFonts w:ascii="Calibri" w:hAnsi="Calibri" w:cs="Calibri"/>
                <w:color w:val="000000" w:themeColor="text1"/>
                <w:sz w:val="18"/>
                <w:szCs w:val="18"/>
              </w:rPr>
              <w:t xml:space="preserve"> </w:t>
            </w:r>
            <w:r w:rsidR="325169E1" w:rsidRPr="00CD669F">
              <w:rPr>
                <w:rFonts w:ascii="Calibri" w:hAnsi="Calibri" w:cs="Calibri"/>
                <w:color w:val="000000" w:themeColor="text1"/>
                <w:sz w:val="18"/>
                <w:szCs w:val="18"/>
              </w:rPr>
              <w:t>t at the time of the assessment) were significantly lower than the estimated MSY level (29,856 t). Under those levels of catches, the spawning biomass was projected to likely increase, with a high probability of maintaining at or above the SBMSY for the longer term. There is a very low risk of exceeding MSY-based reference points by 2031 if catches are maintained at 2021 levels (&lt;1% risk that SB</w:t>
            </w:r>
            <w:r w:rsidR="325169E1" w:rsidRPr="00EA101F">
              <w:rPr>
                <w:rFonts w:ascii="Calibri" w:hAnsi="Calibri" w:cs="Calibri"/>
                <w:color w:val="000000" w:themeColor="text1"/>
                <w:sz w:val="18"/>
                <w:szCs w:val="18"/>
                <w:vertAlign w:val="subscript"/>
              </w:rPr>
              <w:t>2031</w:t>
            </w:r>
            <w:r w:rsidR="325169E1" w:rsidRPr="00CD669F">
              <w:rPr>
                <w:rFonts w:ascii="Calibri" w:hAnsi="Calibri" w:cs="Calibri"/>
                <w:color w:val="000000" w:themeColor="text1"/>
                <w:sz w:val="18"/>
                <w:szCs w:val="18"/>
              </w:rPr>
              <w:t>&lt; SB</w:t>
            </w:r>
            <w:r w:rsidR="325169E1" w:rsidRPr="00EA101F">
              <w:rPr>
                <w:rFonts w:ascii="Calibri" w:hAnsi="Calibri" w:cs="Calibri"/>
                <w:color w:val="000000" w:themeColor="text1"/>
                <w:sz w:val="18"/>
                <w:szCs w:val="18"/>
                <w:vertAlign w:val="subscript"/>
              </w:rPr>
              <w:t>MSY</w:t>
            </w:r>
            <w:r w:rsidR="325169E1" w:rsidRPr="00CD669F">
              <w:rPr>
                <w:rFonts w:ascii="Calibri" w:hAnsi="Calibri" w:cs="Calibri"/>
                <w:color w:val="000000" w:themeColor="text1"/>
                <w:sz w:val="18"/>
                <w:szCs w:val="18"/>
              </w:rPr>
              <w:t>, and &lt;1% risk that F</w:t>
            </w:r>
            <w:r w:rsidR="325169E1" w:rsidRPr="00EA101F">
              <w:rPr>
                <w:rFonts w:ascii="Calibri" w:hAnsi="Calibri" w:cs="Calibri"/>
                <w:color w:val="000000" w:themeColor="text1"/>
                <w:sz w:val="18"/>
                <w:szCs w:val="18"/>
                <w:vertAlign w:val="subscript"/>
              </w:rPr>
              <w:t>2021</w:t>
            </w:r>
            <w:r w:rsidR="325169E1" w:rsidRPr="00CD669F">
              <w:rPr>
                <w:rFonts w:ascii="Calibri" w:hAnsi="Calibri" w:cs="Calibri"/>
                <w:color w:val="000000" w:themeColor="text1"/>
                <w:sz w:val="18"/>
                <w:szCs w:val="18"/>
              </w:rPr>
              <w:t>&gt; F</w:t>
            </w:r>
            <w:r w:rsidR="325169E1" w:rsidRPr="00EA101F">
              <w:rPr>
                <w:rFonts w:ascii="Calibri" w:hAnsi="Calibri" w:cs="Calibri"/>
                <w:color w:val="000000" w:themeColor="text1"/>
                <w:sz w:val="18"/>
                <w:szCs w:val="18"/>
                <w:vertAlign w:val="subscript"/>
              </w:rPr>
              <w:t>MSY</w:t>
            </w:r>
            <w:r w:rsidR="325169E1" w:rsidRPr="00CD669F">
              <w:rPr>
                <w:rFonts w:ascii="Calibri" w:hAnsi="Calibri" w:cs="Calibri"/>
                <w:color w:val="000000" w:themeColor="text1"/>
                <w:sz w:val="18"/>
                <w:szCs w:val="18"/>
              </w:rPr>
              <w:t>). The projections indicate that an increase of 40% or more from 2021 catch levels will not likely result in the biomass dropping below the SBMSY level for the longer term (with a 15% probability). Catches in 2022 (23,597t) were still lower than the estimated MSY. Nevertheless, the Commission should consider monitoring the catches to ensure that the probability of exceeding the SBMSY target reference points in the long term remains minimal. Taking into account the differential CPUE and biomass trends between regions, the WPB noted that there is recurring evidence for localised depletion in the South Western region (which appears to be more depleted than other regions) and suggests this should be further monitored</w:t>
            </w:r>
            <w:r w:rsidRPr="003545A6">
              <w:rPr>
                <w:rFonts w:ascii="Calibri" w:hAnsi="Calibri" w:cs="Calibri"/>
                <w:color w:val="000000" w:themeColor="text1"/>
                <w:sz w:val="18"/>
                <w:szCs w:val="18"/>
              </w:rPr>
              <w:t>.</w:t>
            </w:r>
          </w:p>
          <w:p w14:paraId="7B9C5998" w14:textId="2045725B" w:rsidR="005044FD" w:rsidRPr="003545A6" w:rsidRDefault="2A224977" w:rsidP="1EA925F2">
            <w:pPr>
              <w:spacing w:before="120" w:after="120"/>
              <w:jc w:val="both"/>
              <w:rPr>
                <w:rFonts w:ascii="Calibri" w:hAnsi="Calibri" w:cs="Calibri"/>
                <w:sz w:val="18"/>
                <w:szCs w:val="18"/>
                <w:lang w:eastAsia="en-US"/>
              </w:rPr>
            </w:pPr>
            <w:r w:rsidRPr="003545A6">
              <w:rPr>
                <w:rFonts w:ascii="Calibri" w:hAnsi="Calibri" w:cs="Calibri"/>
                <w:sz w:val="18"/>
                <w:szCs w:val="18"/>
                <w:lang w:eastAsia="en-US"/>
              </w:rPr>
              <w:t xml:space="preserve">Click here for full stock status summary: </w:t>
            </w:r>
            <w:hyperlink w:anchor="APP4">
              <w:r w:rsidR="00094A88" w:rsidRPr="003545A6">
                <w:rPr>
                  <w:rStyle w:val="Hyperlink"/>
                  <w:rFonts w:ascii="Calibri" w:hAnsi="Calibri" w:cs="Calibri"/>
                  <w:sz w:val="18"/>
                  <w:szCs w:val="18"/>
                  <w:lang w:eastAsia="en-US"/>
                </w:rPr>
                <w:t>Appendix IV</w:t>
              </w:r>
            </w:hyperlink>
          </w:p>
        </w:tc>
      </w:tr>
      <w:tr w:rsidR="005044FD" w:rsidRPr="003545A6" w14:paraId="494E6C3D" w14:textId="77777777" w:rsidTr="0666C0EC">
        <w:trPr>
          <w:trHeight w:val="454"/>
        </w:trPr>
        <w:tc>
          <w:tcPr>
            <w:tcW w:w="1333" w:type="dxa"/>
            <w:tcBorders>
              <w:top w:val="single" w:sz="4" w:space="0" w:color="000000" w:themeColor="text1"/>
              <w:left w:val="single" w:sz="4" w:space="0" w:color="000000" w:themeColor="text1"/>
              <w:bottom w:val="single" w:sz="4" w:space="0" w:color="000000" w:themeColor="text1"/>
              <w:right w:val="single" w:sz="4" w:space="0" w:color="auto"/>
            </w:tcBorders>
            <w:shd w:val="clear" w:color="auto" w:fill="FFFFFF" w:themeFill="background1"/>
            <w:hideMark/>
          </w:tcPr>
          <w:p w14:paraId="2A1A219A" w14:textId="77777777" w:rsidR="005044FD" w:rsidRPr="003545A6" w:rsidRDefault="005044FD" w:rsidP="003018AA">
            <w:pPr>
              <w:spacing w:before="60"/>
              <w:rPr>
                <w:rFonts w:ascii="Calibri" w:hAnsi="Calibri" w:cs="Calibri"/>
                <w:sz w:val="18"/>
                <w:szCs w:val="18"/>
                <w:lang w:eastAsia="en-US"/>
              </w:rPr>
            </w:pPr>
            <w:r w:rsidRPr="003545A6">
              <w:rPr>
                <w:rFonts w:ascii="Calibri" w:hAnsi="Calibri" w:cs="Calibri"/>
                <w:sz w:val="18"/>
                <w:szCs w:val="18"/>
                <w:lang w:eastAsia="en-US"/>
              </w:rPr>
              <w:t>Black marlin</w:t>
            </w:r>
          </w:p>
          <w:p w14:paraId="4787DFEB" w14:textId="04CDD01A" w:rsidR="005044FD" w:rsidRPr="003545A6" w:rsidRDefault="008C397D" w:rsidP="003018AA">
            <w:pPr>
              <w:spacing w:before="60"/>
              <w:rPr>
                <w:rFonts w:ascii="Calibri" w:hAnsi="Calibri" w:cs="Calibri"/>
                <w:sz w:val="18"/>
                <w:szCs w:val="18"/>
                <w:lang w:eastAsia="en-US"/>
              </w:rPr>
            </w:pPr>
            <w:r>
              <w:rPr>
                <w:rFonts w:ascii="Calibri" w:hAnsi="Calibri" w:cs="Calibri"/>
                <w:i/>
                <w:sz w:val="18"/>
                <w:szCs w:val="18"/>
                <w:lang w:eastAsia="en-US"/>
              </w:rPr>
              <w:t>Istiompax</w:t>
            </w:r>
            <w:r w:rsidRPr="003545A6">
              <w:rPr>
                <w:rFonts w:ascii="Calibri" w:hAnsi="Calibri" w:cs="Calibri"/>
                <w:i/>
                <w:sz w:val="18"/>
                <w:szCs w:val="18"/>
                <w:lang w:eastAsia="en-US"/>
              </w:rPr>
              <w:t xml:space="preserve"> indica</w:t>
            </w:r>
          </w:p>
        </w:tc>
        <w:tc>
          <w:tcPr>
            <w:tcW w:w="3278" w:type="dxa"/>
            <w:tcBorders>
              <w:top w:val="single" w:sz="4" w:space="0" w:color="auto"/>
              <w:left w:val="single" w:sz="4" w:space="0" w:color="auto"/>
              <w:bottom w:val="single" w:sz="4" w:space="0" w:color="auto"/>
              <w:right w:val="nil"/>
            </w:tcBorders>
          </w:tcPr>
          <w:p w14:paraId="42A79ED0" w14:textId="1EEA3F22" w:rsidR="000F2D18" w:rsidRPr="00643FA4" w:rsidRDefault="3317A825" w:rsidP="00643FA4">
            <w:pPr>
              <w:tabs>
                <w:tab w:val="right" w:pos="932"/>
                <w:tab w:val="left" w:pos="1168"/>
              </w:tabs>
              <w:jc w:val="right"/>
              <w:rPr>
                <w:rFonts w:ascii="Calibri" w:hAnsi="Calibri" w:cs="Calibri"/>
                <w:sz w:val="18"/>
                <w:szCs w:val="18"/>
                <w:lang w:val="fr-FR" w:eastAsia="en-GB"/>
              </w:rPr>
            </w:pPr>
            <w:r w:rsidRPr="3F1DEBE1">
              <w:rPr>
                <w:rFonts w:ascii="Calibri" w:hAnsi="Calibri" w:cs="Calibri"/>
                <w:sz w:val="18"/>
                <w:szCs w:val="18"/>
                <w:lang w:val="fr-FR" w:eastAsia="en-GB"/>
              </w:rPr>
              <w:t xml:space="preserve">Catch </w:t>
            </w:r>
            <w:r w:rsidR="41744B93" w:rsidRPr="3F1DEBE1">
              <w:rPr>
                <w:rFonts w:ascii="Calibri" w:hAnsi="Calibri" w:cs="Calibri"/>
                <w:sz w:val="18"/>
                <w:szCs w:val="18"/>
                <w:lang w:val="fr-FR" w:eastAsia="en-GB"/>
              </w:rPr>
              <w:t>202</w:t>
            </w:r>
            <w:r w:rsidR="000336AD">
              <w:rPr>
                <w:rFonts w:ascii="Calibri" w:hAnsi="Calibri" w:cs="Calibri"/>
                <w:sz w:val="18"/>
                <w:szCs w:val="18"/>
                <w:lang w:val="fr-FR" w:eastAsia="en-GB"/>
              </w:rPr>
              <w:t>3</w:t>
            </w:r>
            <w:r w:rsidR="41744B93" w:rsidRPr="3F1DEBE1">
              <w:rPr>
                <w:rFonts w:ascii="Calibri" w:hAnsi="Calibri" w:cs="Calibri"/>
                <w:sz w:val="18"/>
                <w:szCs w:val="18"/>
                <w:lang w:val="fr-FR" w:eastAsia="en-GB"/>
              </w:rPr>
              <w:t>:</w:t>
            </w:r>
            <w:r w:rsidRPr="3F1DEBE1">
              <w:rPr>
                <w:rFonts w:ascii="Calibri" w:hAnsi="Calibri" w:cs="Calibri"/>
                <w:sz w:val="18"/>
                <w:szCs w:val="18"/>
                <w:lang w:val="fr-FR" w:eastAsia="en-GB"/>
              </w:rPr>
              <w:t xml:space="preserve"> </w:t>
            </w:r>
            <w:r w:rsidR="19FC0E59" w:rsidRPr="3F1DEBE1">
              <w:rPr>
                <w:rFonts w:ascii="Calibri" w:hAnsi="Calibri" w:cs="Calibri"/>
                <w:sz w:val="18"/>
                <w:szCs w:val="18"/>
                <w:lang w:val="fr-FR" w:eastAsia="en-GB"/>
              </w:rPr>
              <w:t>2</w:t>
            </w:r>
            <w:r w:rsidR="000336AD">
              <w:rPr>
                <w:rFonts w:ascii="Calibri" w:hAnsi="Calibri" w:cs="Calibri"/>
                <w:sz w:val="18"/>
                <w:szCs w:val="18"/>
                <w:lang w:val="fr-FR" w:eastAsia="en-GB"/>
              </w:rPr>
              <w:t>7</w:t>
            </w:r>
            <w:r w:rsidR="19FC0E59" w:rsidRPr="3F1DEBE1">
              <w:rPr>
                <w:rFonts w:ascii="Calibri" w:hAnsi="Calibri" w:cs="Calibri"/>
                <w:sz w:val="18"/>
                <w:szCs w:val="18"/>
                <w:lang w:val="fr-FR" w:eastAsia="en-GB"/>
              </w:rPr>
              <w:t>,</w:t>
            </w:r>
            <w:r w:rsidR="000336AD">
              <w:rPr>
                <w:rFonts w:ascii="Calibri" w:hAnsi="Calibri" w:cs="Calibri"/>
                <w:sz w:val="18"/>
                <w:szCs w:val="18"/>
                <w:lang w:val="fr-FR" w:eastAsia="en-GB"/>
              </w:rPr>
              <w:t>881</w:t>
            </w:r>
            <w:r w:rsidR="19FC0E59" w:rsidRPr="3F1DEBE1">
              <w:rPr>
                <w:rFonts w:ascii="Calibri" w:hAnsi="Calibri" w:cs="Calibri"/>
                <w:sz w:val="18"/>
                <w:szCs w:val="18"/>
                <w:lang w:val="fr-FR" w:eastAsia="en-GB"/>
              </w:rPr>
              <w:t xml:space="preserve"> </w:t>
            </w:r>
            <w:r w:rsidRPr="3F1DEBE1">
              <w:rPr>
                <w:rFonts w:ascii="Calibri" w:hAnsi="Calibri" w:cs="Calibri"/>
                <w:sz w:val="18"/>
                <w:szCs w:val="18"/>
                <w:lang w:val="fr-FR" w:eastAsia="en-GB"/>
              </w:rPr>
              <w:t>t</w:t>
            </w:r>
          </w:p>
          <w:p w14:paraId="12A982B3" w14:textId="1AA5E19D" w:rsidR="000F2D18" w:rsidRPr="00643FA4" w:rsidRDefault="3317A825" w:rsidP="00643FA4">
            <w:pPr>
              <w:tabs>
                <w:tab w:val="right" w:pos="932"/>
                <w:tab w:val="left" w:pos="1168"/>
              </w:tabs>
              <w:jc w:val="right"/>
              <w:rPr>
                <w:rFonts w:ascii="Calibri" w:hAnsi="Calibri" w:cs="Calibri"/>
                <w:sz w:val="18"/>
                <w:szCs w:val="18"/>
                <w:lang w:val="fr-FR" w:eastAsia="en-GB"/>
              </w:rPr>
            </w:pPr>
            <w:r w:rsidRPr="3F1DEBE1">
              <w:rPr>
                <w:rFonts w:ascii="Calibri" w:hAnsi="Calibri" w:cs="Calibri"/>
                <w:sz w:val="18"/>
                <w:szCs w:val="18"/>
                <w:lang w:val="fr-FR" w:eastAsia="en-GB"/>
              </w:rPr>
              <w:t>Average catch 201</w:t>
            </w:r>
            <w:r w:rsidR="000336AD">
              <w:rPr>
                <w:rFonts w:ascii="Calibri" w:hAnsi="Calibri" w:cs="Calibri"/>
                <w:sz w:val="18"/>
                <w:szCs w:val="18"/>
                <w:lang w:val="fr-FR" w:eastAsia="en-GB"/>
              </w:rPr>
              <w:t>9</w:t>
            </w:r>
            <w:r w:rsidRPr="3F1DEBE1">
              <w:rPr>
                <w:rFonts w:ascii="Calibri" w:hAnsi="Calibri" w:cs="Calibri"/>
                <w:sz w:val="18"/>
                <w:szCs w:val="18"/>
                <w:lang w:val="fr-FR" w:eastAsia="en-GB"/>
              </w:rPr>
              <w:t>–20</w:t>
            </w:r>
            <w:r w:rsidR="2CB0F243" w:rsidRPr="3F1DEBE1">
              <w:rPr>
                <w:rFonts w:ascii="Calibri" w:hAnsi="Calibri" w:cs="Calibri"/>
                <w:sz w:val="18"/>
                <w:szCs w:val="18"/>
                <w:lang w:val="fr-FR" w:eastAsia="en-GB"/>
              </w:rPr>
              <w:t>2</w:t>
            </w:r>
            <w:r w:rsidR="000336AD">
              <w:rPr>
                <w:rFonts w:ascii="Calibri" w:hAnsi="Calibri" w:cs="Calibri"/>
                <w:sz w:val="18"/>
                <w:szCs w:val="18"/>
                <w:lang w:val="fr-FR" w:eastAsia="en-GB"/>
              </w:rPr>
              <w:t>3</w:t>
            </w:r>
            <w:r w:rsidRPr="3F1DEBE1">
              <w:rPr>
                <w:rFonts w:ascii="Calibri" w:hAnsi="Calibri" w:cs="Calibri"/>
                <w:sz w:val="18"/>
                <w:szCs w:val="18"/>
                <w:lang w:val="fr-FR" w:eastAsia="en-GB"/>
              </w:rPr>
              <w:t xml:space="preserve">: </w:t>
            </w:r>
            <w:r w:rsidR="000336AD">
              <w:rPr>
                <w:rFonts w:ascii="Calibri" w:hAnsi="Calibri" w:cs="Calibri"/>
                <w:sz w:val="18"/>
                <w:szCs w:val="18"/>
                <w:lang w:val="fr-FR" w:eastAsia="en-GB"/>
              </w:rPr>
              <w:t>20</w:t>
            </w:r>
            <w:r w:rsidR="2311C235" w:rsidRPr="3F1DEBE1">
              <w:rPr>
                <w:rFonts w:ascii="Calibri" w:hAnsi="Calibri" w:cs="Calibri"/>
                <w:sz w:val="18"/>
                <w:szCs w:val="18"/>
                <w:lang w:val="fr-FR" w:eastAsia="en-GB"/>
              </w:rPr>
              <w:t>,</w:t>
            </w:r>
            <w:r w:rsidR="000336AD">
              <w:rPr>
                <w:rFonts w:ascii="Calibri" w:hAnsi="Calibri" w:cs="Calibri"/>
                <w:sz w:val="18"/>
                <w:szCs w:val="18"/>
                <w:lang w:val="fr-FR" w:eastAsia="en-GB"/>
              </w:rPr>
              <w:t>509</w:t>
            </w:r>
            <w:r w:rsidR="2311C235" w:rsidRPr="3F1DEBE1">
              <w:rPr>
                <w:rFonts w:ascii="Calibri" w:hAnsi="Calibri" w:cs="Calibri"/>
                <w:sz w:val="18"/>
                <w:szCs w:val="18"/>
                <w:lang w:val="fr-FR" w:eastAsia="en-GB"/>
              </w:rPr>
              <w:t xml:space="preserve"> </w:t>
            </w:r>
            <w:r w:rsidR="3D21E217" w:rsidRPr="3F1DEBE1">
              <w:rPr>
                <w:rFonts w:ascii="Calibri" w:hAnsi="Calibri" w:cs="Calibri"/>
                <w:sz w:val="18"/>
                <w:szCs w:val="18"/>
                <w:lang w:val="fr-FR" w:eastAsia="en-GB"/>
              </w:rPr>
              <w:t>t</w:t>
            </w:r>
          </w:p>
          <w:p w14:paraId="77EE590C" w14:textId="64019C52" w:rsidR="000F2D18" w:rsidRPr="00643FA4" w:rsidRDefault="3317A825" w:rsidP="00643FA4">
            <w:pPr>
              <w:tabs>
                <w:tab w:val="right" w:pos="932"/>
                <w:tab w:val="left" w:pos="1168"/>
              </w:tabs>
              <w:jc w:val="right"/>
              <w:rPr>
                <w:rFonts w:ascii="Calibri" w:hAnsi="Calibri" w:cs="Calibri"/>
                <w:sz w:val="18"/>
                <w:szCs w:val="18"/>
                <w:lang w:val="fr-FR" w:eastAsia="en-GB"/>
              </w:rPr>
            </w:pPr>
            <w:r w:rsidRPr="3F1DEBE1">
              <w:rPr>
                <w:rFonts w:ascii="Calibri" w:hAnsi="Calibri" w:cs="Calibri"/>
                <w:sz w:val="18"/>
                <w:szCs w:val="18"/>
                <w:lang w:val="fr-FR" w:eastAsia="en-GB"/>
              </w:rPr>
              <w:t>MSY (1000 t) (</w:t>
            </w:r>
            <w:r w:rsidR="34F2F80C" w:rsidRPr="3F1DEBE1">
              <w:rPr>
                <w:rFonts w:ascii="Calibri" w:hAnsi="Calibri" w:cs="Calibri"/>
                <w:sz w:val="18"/>
                <w:szCs w:val="18"/>
                <w:lang w:val="fr-FR" w:eastAsia="en-GB"/>
              </w:rPr>
              <w:t>80</w:t>
            </w:r>
            <w:r w:rsidRPr="3F1DEBE1">
              <w:rPr>
                <w:rFonts w:ascii="Calibri" w:hAnsi="Calibri" w:cs="Calibri"/>
                <w:sz w:val="18"/>
                <w:szCs w:val="18"/>
                <w:lang w:val="fr-FR" w:eastAsia="en-GB"/>
              </w:rPr>
              <w:t xml:space="preserve">% CI): </w:t>
            </w:r>
            <w:r w:rsidR="2C84C98A" w:rsidRPr="3F1DEBE1">
              <w:rPr>
                <w:rFonts w:ascii="Calibri" w:hAnsi="Calibri" w:cs="Calibri"/>
                <w:sz w:val="18"/>
                <w:szCs w:val="18"/>
                <w:lang w:val="fr-FR" w:eastAsia="en-GB"/>
              </w:rPr>
              <w:t>13.90 (8.73–28.51)</w:t>
            </w:r>
          </w:p>
          <w:p w14:paraId="0DDB16DA" w14:textId="7BFE4F98" w:rsidR="000F2D18" w:rsidRPr="00643FA4" w:rsidRDefault="3317A825" w:rsidP="00643FA4">
            <w:pPr>
              <w:tabs>
                <w:tab w:val="right" w:pos="932"/>
                <w:tab w:val="left" w:pos="1168"/>
              </w:tabs>
              <w:jc w:val="right"/>
              <w:rPr>
                <w:rFonts w:ascii="Calibri" w:hAnsi="Calibri" w:cs="Calibri"/>
                <w:sz w:val="18"/>
                <w:szCs w:val="18"/>
                <w:lang w:val="fr-FR" w:eastAsia="en-GB"/>
              </w:rPr>
            </w:pPr>
            <w:r w:rsidRPr="3F1DEBE1">
              <w:rPr>
                <w:rFonts w:ascii="Calibri" w:hAnsi="Calibri" w:cs="Calibri"/>
                <w:sz w:val="18"/>
                <w:szCs w:val="18"/>
                <w:lang w:val="fr-FR" w:eastAsia="en-GB"/>
              </w:rPr>
              <w:t>FMSY (</w:t>
            </w:r>
            <w:r w:rsidR="34F2F80C" w:rsidRPr="3F1DEBE1">
              <w:rPr>
                <w:rFonts w:ascii="Calibri" w:hAnsi="Calibri" w:cs="Calibri"/>
                <w:sz w:val="18"/>
                <w:szCs w:val="18"/>
                <w:lang w:val="fr-FR" w:eastAsia="en-GB"/>
              </w:rPr>
              <w:t>80</w:t>
            </w:r>
            <w:r w:rsidRPr="3F1DEBE1">
              <w:rPr>
                <w:rFonts w:ascii="Calibri" w:hAnsi="Calibri" w:cs="Calibri"/>
                <w:sz w:val="18"/>
                <w:szCs w:val="18"/>
                <w:lang w:val="fr-FR" w:eastAsia="en-GB"/>
              </w:rPr>
              <w:t xml:space="preserve">% CI): </w:t>
            </w:r>
            <w:r w:rsidR="77351BD1" w:rsidRPr="3F1DEBE1">
              <w:rPr>
                <w:rFonts w:ascii="Calibri" w:hAnsi="Calibri" w:cs="Calibri"/>
                <w:sz w:val="18"/>
                <w:szCs w:val="18"/>
                <w:lang w:val="fr-FR" w:eastAsia="en-GB"/>
              </w:rPr>
              <w:t>0.2</w:t>
            </w:r>
            <w:r w:rsidR="4C9C2E9F" w:rsidRPr="3F1DEBE1">
              <w:rPr>
                <w:rFonts w:ascii="Calibri" w:hAnsi="Calibri" w:cs="Calibri"/>
                <w:sz w:val="18"/>
                <w:szCs w:val="18"/>
                <w:lang w:val="fr-FR" w:eastAsia="en-GB"/>
              </w:rPr>
              <w:t>1</w:t>
            </w:r>
            <w:r w:rsidR="77351BD1" w:rsidRPr="3F1DEBE1">
              <w:rPr>
                <w:rFonts w:ascii="Calibri" w:hAnsi="Calibri" w:cs="Calibri"/>
                <w:sz w:val="18"/>
                <w:szCs w:val="18"/>
                <w:lang w:val="fr-FR" w:eastAsia="en-GB"/>
              </w:rPr>
              <w:t xml:space="preserve"> (0.1</w:t>
            </w:r>
            <w:r w:rsidR="4C9C2E9F" w:rsidRPr="3F1DEBE1">
              <w:rPr>
                <w:rFonts w:ascii="Calibri" w:hAnsi="Calibri" w:cs="Calibri"/>
                <w:sz w:val="18"/>
                <w:szCs w:val="18"/>
                <w:lang w:val="fr-FR" w:eastAsia="en-GB"/>
              </w:rPr>
              <w:t>5</w:t>
            </w:r>
            <w:r w:rsidR="00074148" w:rsidRPr="3F1DEBE1">
              <w:rPr>
                <w:rFonts w:ascii="Calibri" w:hAnsi="Calibri" w:cs="Calibri"/>
                <w:sz w:val="18"/>
                <w:szCs w:val="18"/>
                <w:lang w:val="fr-FR" w:eastAsia="en-GB"/>
              </w:rPr>
              <w:t>–</w:t>
            </w:r>
            <w:r w:rsidR="77351BD1" w:rsidRPr="3F1DEBE1">
              <w:rPr>
                <w:rFonts w:ascii="Calibri" w:hAnsi="Calibri" w:cs="Calibri"/>
                <w:sz w:val="18"/>
                <w:szCs w:val="18"/>
                <w:lang w:val="fr-FR" w:eastAsia="en-GB"/>
              </w:rPr>
              <w:t>0.3</w:t>
            </w:r>
            <w:r w:rsidR="3A2A00B6" w:rsidRPr="3F1DEBE1">
              <w:rPr>
                <w:rFonts w:ascii="Calibri" w:hAnsi="Calibri" w:cs="Calibri"/>
                <w:sz w:val="18"/>
                <w:szCs w:val="18"/>
                <w:lang w:val="fr-FR" w:eastAsia="en-GB"/>
              </w:rPr>
              <w:t>0</w:t>
            </w:r>
            <w:r w:rsidR="77351BD1" w:rsidRPr="3F1DEBE1">
              <w:rPr>
                <w:rFonts w:ascii="Calibri" w:hAnsi="Calibri" w:cs="Calibri"/>
                <w:sz w:val="18"/>
                <w:szCs w:val="18"/>
                <w:lang w:val="fr-FR" w:eastAsia="en-GB"/>
              </w:rPr>
              <w:t>)</w:t>
            </w:r>
          </w:p>
          <w:p w14:paraId="698AC5D6" w14:textId="4F8BF6AD" w:rsidR="00B36CDF" w:rsidRDefault="00B36CDF" w:rsidP="00643FA4">
            <w:pPr>
              <w:tabs>
                <w:tab w:val="right" w:pos="932"/>
                <w:tab w:val="left" w:pos="1168"/>
              </w:tabs>
              <w:jc w:val="right"/>
              <w:rPr>
                <w:rFonts w:ascii="Calibri" w:hAnsi="Calibri" w:cs="Calibri"/>
                <w:sz w:val="18"/>
                <w:szCs w:val="18"/>
                <w:lang w:val="fr-FR" w:eastAsia="en-GB"/>
              </w:rPr>
            </w:pPr>
            <w:r w:rsidRPr="00B36CDF">
              <w:rPr>
                <w:rFonts w:ascii="Calibri" w:hAnsi="Calibri" w:cs="Calibri"/>
                <w:sz w:val="18"/>
                <w:szCs w:val="18"/>
                <w:lang w:val="fr-FR" w:eastAsia="en-GB"/>
              </w:rPr>
              <w:lastRenderedPageBreak/>
              <w:t>BMSY (1,000 t) (80% CI)</w:t>
            </w:r>
            <w:r>
              <w:rPr>
                <w:rFonts w:ascii="Calibri" w:hAnsi="Calibri" w:cs="Calibri"/>
                <w:sz w:val="18"/>
                <w:szCs w:val="18"/>
                <w:lang w:val="fr-FR" w:eastAsia="en-GB"/>
              </w:rPr>
              <w:t>:</w:t>
            </w:r>
            <w:r w:rsidRPr="00B36CDF">
              <w:rPr>
                <w:rFonts w:ascii="Calibri" w:hAnsi="Calibri" w:cs="Calibri"/>
                <w:sz w:val="18"/>
                <w:szCs w:val="18"/>
                <w:lang w:val="fr-FR" w:eastAsia="en-GB"/>
              </w:rPr>
              <w:t>65.23 (46.43</w:t>
            </w:r>
            <w:r w:rsidR="00074148" w:rsidRPr="3F1DEBE1">
              <w:rPr>
                <w:rFonts w:ascii="Calibri" w:hAnsi="Calibri" w:cs="Calibri"/>
                <w:sz w:val="18"/>
                <w:szCs w:val="18"/>
                <w:lang w:val="fr-FR" w:eastAsia="en-GB"/>
              </w:rPr>
              <w:t>–</w:t>
            </w:r>
            <w:r w:rsidRPr="00B36CDF">
              <w:rPr>
                <w:rFonts w:ascii="Calibri" w:hAnsi="Calibri" w:cs="Calibri"/>
                <w:sz w:val="18"/>
                <w:szCs w:val="18"/>
                <w:lang w:val="fr-FR" w:eastAsia="en-GB"/>
              </w:rPr>
              <w:t>101.84)</w:t>
            </w:r>
          </w:p>
          <w:p w14:paraId="3FC41092" w14:textId="7ABD502D" w:rsidR="000F2D18" w:rsidRPr="00643FA4" w:rsidRDefault="3317A825" w:rsidP="00643FA4">
            <w:pPr>
              <w:tabs>
                <w:tab w:val="right" w:pos="932"/>
                <w:tab w:val="left" w:pos="1168"/>
              </w:tabs>
              <w:jc w:val="right"/>
              <w:rPr>
                <w:rFonts w:ascii="Calibri" w:hAnsi="Calibri" w:cs="Calibri"/>
                <w:sz w:val="18"/>
                <w:szCs w:val="18"/>
                <w:lang w:val="fr-FR" w:eastAsia="en-GB"/>
              </w:rPr>
            </w:pPr>
            <w:r w:rsidRPr="3F1DEBE1">
              <w:rPr>
                <w:rFonts w:ascii="Calibri" w:hAnsi="Calibri" w:cs="Calibri"/>
                <w:sz w:val="18"/>
                <w:szCs w:val="18"/>
                <w:lang w:val="fr-FR" w:eastAsia="en-GB"/>
              </w:rPr>
              <w:t>F</w:t>
            </w:r>
            <w:r w:rsidR="12777341" w:rsidRPr="3F1DEBE1">
              <w:rPr>
                <w:rFonts w:ascii="Calibri" w:hAnsi="Calibri" w:cs="Calibri"/>
                <w:sz w:val="18"/>
                <w:szCs w:val="18"/>
                <w:lang w:val="fr-FR" w:eastAsia="en-GB"/>
              </w:rPr>
              <w:t>20</w:t>
            </w:r>
            <w:r w:rsidR="34F2F80C" w:rsidRPr="3F1DEBE1">
              <w:rPr>
                <w:rFonts w:ascii="Calibri" w:hAnsi="Calibri" w:cs="Calibri"/>
                <w:sz w:val="18"/>
                <w:szCs w:val="18"/>
                <w:lang w:val="fr-FR" w:eastAsia="en-GB"/>
              </w:rPr>
              <w:t>22</w:t>
            </w:r>
            <w:r w:rsidRPr="3F1DEBE1">
              <w:rPr>
                <w:rFonts w:ascii="Calibri" w:hAnsi="Calibri" w:cs="Calibri"/>
                <w:sz w:val="18"/>
                <w:szCs w:val="18"/>
                <w:lang w:val="fr-FR" w:eastAsia="en-GB"/>
              </w:rPr>
              <w:t>/FMSY (</w:t>
            </w:r>
            <w:r w:rsidR="34F2F80C" w:rsidRPr="3F1DEBE1">
              <w:rPr>
                <w:rFonts w:ascii="Calibri" w:hAnsi="Calibri" w:cs="Calibri"/>
                <w:sz w:val="18"/>
                <w:szCs w:val="18"/>
                <w:lang w:val="fr-FR" w:eastAsia="en-GB"/>
              </w:rPr>
              <w:t>80</w:t>
            </w:r>
            <w:r w:rsidRPr="3F1DEBE1">
              <w:rPr>
                <w:rFonts w:ascii="Calibri" w:hAnsi="Calibri" w:cs="Calibri"/>
                <w:sz w:val="18"/>
                <w:szCs w:val="18"/>
                <w:lang w:val="fr-FR" w:eastAsia="en-GB"/>
              </w:rPr>
              <w:t>% CI):</w:t>
            </w:r>
            <w:r w:rsidR="008C397D">
              <w:rPr>
                <w:rFonts w:ascii="Calibri" w:hAnsi="Calibri" w:cs="Calibri"/>
                <w:sz w:val="18"/>
                <w:szCs w:val="18"/>
                <w:lang w:val="fr-FR" w:eastAsia="en-GB"/>
              </w:rPr>
              <w:t>1</w:t>
            </w:r>
            <w:r w:rsidR="554FAA52" w:rsidRPr="3F1DEBE1">
              <w:rPr>
                <w:rFonts w:ascii="Calibri" w:hAnsi="Calibri" w:cs="Calibri"/>
                <w:sz w:val="18"/>
                <w:szCs w:val="18"/>
                <w:lang w:val="fr-FR" w:eastAsia="en-GB"/>
              </w:rPr>
              <w:t>.</w:t>
            </w:r>
            <w:r w:rsidR="008C397D">
              <w:rPr>
                <w:rFonts w:ascii="Calibri" w:hAnsi="Calibri" w:cs="Calibri"/>
                <w:sz w:val="18"/>
                <w:szCs w:val="18"/>
                <w:lang w:val="fr-FR" w:eastAsia="en-GB"/>
              </w:rPr>
              <w:t>39</w:t>
            </w:r>
            <w:r w:rsidR="554FAA52" w:rsidRPr="3F1DEBE1">
              <w:rPr>
                <w:rFonts w:ascii="Calibri" w:hAnsi="Calibri" w:cs="Calibri"/>
                <w:sz w:val="18"/>
                <w:szCs w:val="18"/>
                <w:lang w:val="fr-FR" w:eastAsia="en-GB"/>
              </w:rPr>
              <w:t xml:space="preserve"> (0.</w:t>
            </w:r>
            <w:r w:rsidR="00CC74B7">
              <w:rPr>
                <w:rFonts w:ascii="Calibri" w:hAnsi="Calibri" w:cs="Calibri"/>
                <w:sz w:val="18"/>
                <w:szCs w:val="18"/>
                <w:lang w:val="fr-FR" w:eastAsia="en-GB"/>
              </w:rPr>
              <w:t>72</w:t>
            </w:r>
            <w:r w:rsidR="00074148" w:rsidRPr="3F1DEBE1">
              <w:rPr>
                <w:rFonts w:ascii="Calibri" w:hAnsi="Calibri" w:cs="Calibri"/>
                <w:sz w:val="18"/>
                <w:szCs w:val="18"/>
                <w:lang w:val="fr-FR" w:eastAsia="en-GB"/>
              </w:rPr>
              <w:t>–</w:t>
            </w:r>
            <w:r w:rsidR="00CC74B7">
              <w:rPr>
                <w:rFonts w:ascii="Calibri" w:hAnsi="Calibri" w:cs="Calibri"/>
                <w:sz w:val="18"/>
                <w:szCs w:val="18"/>
                <w:lang w:val="fr-FR" w:eastAsia="en-GB"/>
              </w:rPr>
              <w:t>2</w:t>
            </w:r>
            <w:r w:rsidR="554FAA52" w:rsidRPr="3F1DEBE1">
              <w:rPr>
                <w:rFonts w:ascii="Calibri" w:hAnsi="Calibri" w:cs="Calibri"/>
                <w:sz w:val="18"/>
                <w:szCs w:val="18"/>
                <w:lang w:val="fr-FR" w:eastAsia="en-GB"/>
              </w:rPr>
              <w:t>.</w:t>
            </w:r>
            <w:r w:rsidR="00CC74B7">
              <w:rPr>
                <w:rFonts w:ascii="Calibri" w:hAnsi="Calibri" w:cs="Calibri"/>
                <w:sz w:val="18"/>
                <w:szCs w:val="18"/>
                <w:lang w:val="fr-FR" w:eastAsia="en-GB"/>
              </w:rPr>
              <w:t>45</w:t>
            </w:r>
            <w:r w:rsidR="554FAA52" w:rsidRPr="3F1DEBE1">
              <w:rPr>
                <w:rFonts w:ascii="Calibri" w:hAnsi="Calibri" w:cs="Calibri"/>
                <w:sz w:val="18"/>
                <w:szCs w:val="18"/>
                <w:lang w:val="fr-FR" w:eastAsia="en-GB"/>
              </w:rPr>
              <w:t>)</w:t>
            </w:r>
          </w:p>
          <w:p w14:paraId="51885CDE" w14:textId="332FDDCB" w:rsidR="000F2D18" w:rsidRPr="00643FA4" w:rsidRDefault="3317A825" w:rsidP="00643FA4">
            <w:pPr>
              <w:tabs>
                <w:tab w:val="right" w:pos="932"/>
                <w:tab w:val="left" w:pos="1168"/>
              </w:tabs>
              <w:jc w:val="right"/>
              <w:rPr>
                <w:rFonts w:ascii="Calibri" w:hAnsi="Calibri" w:cs="Calibri"/>
                <w:sz w:val="18"/>
                <w:szCs w:val="18"/>
                <w:lang w:val="fr-FR" w:eastAsia="en-GB"/>
              </w:rPr>
            </w:pPr>
            <w:r w:rsidRPr="3F1DEBE1">
              <w:rPr>
                <w:rFonts w:ascii="Calibri" w:hAnsi="Calibri" w:cs="Calibri"/>
                <w:sz w:val="18"/>
                <w:szCs w:val="18"/>
                <w:lang w:val="fr-FR" w:eastAsia="en-GB"/>
              </w:rPr>
              <w:t>B</w:t>
            </w:r>
            <w:r w:rsidR="12777341" w:rsidRPr="3F1DEBE1">
              <w:rPr>
                <w:rFonts w:ascii="Calibri" w:hAnsi="Calibri" w:cs="Calibri"/>
                <w:sz w:val="18"/>
                <w:szCs w:val="18"/>
                <w:lang w:val="fr-FR" w:eastAsia="en-GB"/>
              </w:rPr>
              <w:t>20</w:t>
            </w:r>
            <w:r w:rsidR="34F2F80C" w:rsidRPr="3F1DEBE1">
              <w:rPr>
                <w:rFonts w:ascii="Calibri" w:hAnsi="Calibri" w:cs="Calibri"/>
                <w:sz w:val="18"/>
                <w:szCs w:val="18"/>
                <w:lang w:val="fr-FR" w:eastAsia="en-GB"/>
              </w:rPr>
              <w:t>22</w:t>
            </w:r>
            <w:r w:rsidRPr="3F1DEBE1">
              <w:rPr>
                <w:rFonts w:ascii="Calibri" w:hAnsi="Calibri" w:cs="Calibri"/>
                <w:sz w:val="18"/>
                <w:szCs w:val="18"/>
                <w:lang w:val="fr-FR" w:eastAsia="en-GB"/>
              </w:rPr>
              <w:t>BMSY (</w:t>
            </w:r>
            <w:r w:rsidR="34F2F80C" w:rsidRPr="3F1DEBE1">
              <w:rPr>
                <w:rFonts w:ascii="Calibri" w:hAnsi="Calibri" w:cs="Calibri"/>
                <w:sz w:val="18"/>
                <w:szCs w:val="18"/>
                <w:lang w:val="fr-FR" w:eastAsia="en-GB"/>
              </w:rPr>
              <w:t>80</w:t>
            </w:r>
            <w:r w:rsidRPr="3F1DEBE1">
              <w:rPr>
                <w:rFonts w:ascii="Calibri" w:hAnsi="Calibri" w:cs="Calibri"/>
                <w:sz w:val="18"/>
                <w:szCs w:val="18"/>
                <w:lang w:val="fr-FR" w:eastAsia="en-GB"/>
              </w:rPr>
              <w:t>% CI):</w:t>
            </w:r>
            <w:r w:rsidR="1738A539" w:rsidRPr="3F1DEBE1">
              <w:rPr>
                <w:rFonts w:ascii="Calibri" w:hAnsi="Calibri" w:cs="Calibri"/>
                <w:sz w:val="18"/>
                <w:szCs w:val="18"/>
                <w:lang w:val="fr-FR" w:eastAsia="en-GB"/>
              </w:rPr>
              <w:t>1.35 (0.96–1.79)</w:t>
            </w:r>
          </w:p>
          <w:p w14:paraId="4CCF1AB9" w14:textId="4FDF81C7" w:rsidR="005044FD" w:rsidRPr="00643FA4" w:rsidRDefault="3317A825" w:rsidP="00643FA4">
            <w:pPr>
              <w:tabs>
                <w:tab w:val="right" w:pos="932"/>
                <w:tab w:val="left" w:pos="1168"/>
              </w:tabs>
              <w:jc w:val="right"/>
              <w:rPr>
                <w:rFonts w:ascii="Calibri" w:hAnsi="Calibri" w:cs="Calibri"/>
                <w:sz w:val="18"/>
                <w:szCs w:val="18"/>
                <w:lang w:val="fr-FR" w:eastAsia="en-GB"/>
              </w:rPr>
            </w:pPr>
            <w:r w:rsidRPr="3F1DEBE1">
              <w:rPr>
                <w:rFonts w:ascii="Calibri" w:hAnsi="Calibri" w:cs="Calibri"/>
                <w:sz w:val="18"/>
                <w:szCs w:val="18"/>
                <w:lang w:val="fr-FR" w:eastAsia="en-GB"/>
              </w:rPr>
              <w:t>B</w:t>
            </w:r>
            <w:r w:rsidR="12777341" w:rsidRPr="3F1DEBE1">
              <w:rPr>
                <w:rFonts w:ascii="Calibri" w:hAnsi="Calibri" w:cs="Calibri"/>
                <w:sz w:val="18"/>
                <w:szCs w:val="18"/>
                <w:lang w:val="fr-FR" w:eastAsia="en-GB"/>
              </w:rPr>
              <w:t>20</w:t>
            </w:r>
            <w:r w:rsidR="34F2F80C" w:rsidRPr="3F1DEBE1">
              <w:rPr>
                <w:rFonts w:ascii="Calibri" w:hAnsi="Calibri" w:cs="Calibri"/>
                <w:sz w:val="18"/>
                <w:szCs w:val="18"/>
                <w:lang w:val="fr-FR" w:eastAsia="en-GB"/>
              </w:rPr>
              <w:t>22</w:t>
            </w:r>
            <w:r w:rsidRPr="3F1DEBE1">
              <w:rPr>
                <w:rFonts w:ascii="Calibri" w:hAnsi="Calibri" w:cs="Calibri"/>
                <w:sz w:val="18"/>
                <w:szCs w:val="18"/>
                <w:lang w:val="fr-FR" w:eastAsia="en-GB"/>
              </w:rPr>
              <w:t>/B0 (</w:t>
            </w:r>
            <w:r w:rsidR="34F2F80C" w:rsidRPr="3F1DEBE1">
              <w:rPr>
                <w:rFonts w:ascii="Calibri" w:hAnsi="Calibri" w:cs="Calibri"/>
                <w:sz w:val="18"/>
                <w:szCs w:val="18"/>
                <w:lang w:val="fr-FR" w:eastAsia="en-GB"/>
              </w:rPr>
              <w:t>80</w:t>
            </w:r>
            <w:r w:rsidRPr="3F1DEBE1">
              <w:rPr>
                <w:rFonts w:ascii="Calibri" w:hAnsi="Calibri" w:cs="Calibri"/>
                <w:sz w:val="18"/>
                <w:szCs w:val="18"/>
                <w:lang w:val="fr-FR" w:eastAsia="en-GB"/>
              </w:rPr>
              <w:t>% CI):</w:t>
            </w:r>
            <w:r w:rsidR="41744B93" w:rsidRPr="3F1DEBE1">
              <w:rPr>
                <w:rFonts w:ascii="Calibri" w:hAnsi="Calibri" w:cs="Calibri"/>
                <w:sz w:val="18"/>
                <w:szCs w:val="18"/>
                <w:lang w:val="fr-FR" w:eastAsia="en-GB"/>
              </w:rPr>
              <w:t>0.49 (0.35–0.66)</w:t>
            </w:r>
          </w:p>
        </w:tc>
        <w:tc>
          <w:tcPr>
            <w:tcW w:w="607" w:type="dxa"/>
            <w:tcBorders>
              <w:top w:val="single" w:sz="4" w:space="0" w:color="000000" w:themeColor="text1"/>
              <w:left w:val="single" w:sz="4" w:space="0" w:color="000000" w:themeColor="text1"/>
              <w:right w:val="single" w:sz="4" w:space="0" w:color="000000" w:themeColor="text1"/>
            </w:tcBorders>
            <w:shd w:val="clear" w:color="auto" w:fill="BFBFBF" w:themeFill="background1" w:themeFillShade="BF"/>
            <w:vAlign w:val="center"/>
          </w:tcPr>
          <w:p w14:paraId="70E2D8D1" w14:textId="77777777" w:rsidR="005044FD" w:rsidRPr="003545A6" w:rsidRDefault="005044FD" w:rsidP="003018AA">
            <w:pPr>
              <w:jc w:val="center"/>
              <w:rPr>
                <w:rFonts w:ascii="Calibri" w:hAnsi="Calibri" w:cs="Calibri"/>
                <w:color w:val="FF0000"/>
                <w:sz w:val="18"/>
                <w:szCs w:val="16"/>
                <w:lang w:val="fr-FR" w:eastAsia="en-US"/>
              </w:rPr>
            </w:pPr>
          </w:p>
        </w:tc>
        <w:tc>
          <w:tcPr>
            <w:tcW w:w="611" w:type="dxa"/>
            <w:tcBorders>
              <w:top w:val="single" w:sz="4" w:space="0" w:color="000000" w:themeColor="text1"/>
              <w:left w:val="single" w:sz="4" w:space="0" w:color="000000" w:themeColor="text1"/>
              <w:right w:val="single" w:sz="4" w:space="0" w:color="000000" w:themeColor="text1"/>
            </w:tcBorders>
            <w:shd w:val="clear" w:color="auto" w:fill="BFBFBF" w:themeFill="background1" w:themeFillShade="BF"/>
            <w:vAlign w:val="center"/>
          </w:tcPr>
          <w:p w14:paraId="49A4C15C" w14:textId="77777777" w:rsidR="005044FD" w:rsidRPr="003545A6" w:rsidRDefault="005044FD" w:rsidP="003018AA">
            <w:pPr>
              <w:jc w:val="center"/>
              <w:rPr>
                <w:rFonts w:ascii="Calibri" w:hAnsi="Calibri" w:cs="Calibri"/>
                <w:b/>
                <w:sz w:val="18"/>
                <w:szCs w:val="16"/>
                <w:lang w:val="fr-FR" w:eastAsia="en-US"/>
              </w:rPr>
            </w:pPr>
          </w:p>
        </w:tc>
        <w:tc>
          <w:tcPr>
            <w:tcW w:w="622" w:type="dxa"/>
            <w:tcBorders>
              <w:top w:val="single" w:sz="4" w:space="0" w:color="000000" w:themeColor="text1"/>
              <w:left w:val="single" w:sz="4" w:space="0" w:color="000000" w:themeColor="text1"/>
              <w:right w:val="single" w:sz="4" w:space="0" w:color="000000" w:themeColor="text1"/>
            </w:tcBorders>
            <w:shd w:val="clear" w:color="auto" w:fill="BFBFBF" w:themeFill="background1" w:themeFillShade="BF"/>
            <w:vAlign w:val="center"/>
          </w:tcPr>
          <w:p w14:paraId="509AD4F1" w14:textId="77777777" w:rsidR="005044FD" w:rsidRPr="003545A6" w:rsidRDefault="005044FD" w:rsidP="003018AA">
            <w:pPr>
              <w:jc w:val="center"/>
              <w:rPr>
                <w:rFonts w:ascii="Calibri" w:hAnsi="Calibri" w:cs="Calibri"/>
                <w:sz w:val="18"/>
                <w:szCs w:val="16"/>
                <w:lang w:val="fr-FR" w:eastAsia="en-US"/>
              </w:rPr>
            </w:pPr>
          </w:p>
        </w:tc>
        <w:tc>
          <w:tcPr>
            <w:tcW w:w="635" w:type="dxa"/>
            <w:tcBorders>
              <w:top w:val="single" w:sz="4" w:space="0" w:color="000000" w:themeColor="text1"/>
              <w:left w:val="single" w:sz="4" w:space="0" w:color="000000" w:themeColor="text1"/>
              <w:right w:val="single" w:sz="4" w:space="0" w:color="000000" w:themeColor="text1"/>
            </w:tcBorders>
            <w:shd w:val="clear" w:color="auto" w:fill="FFC000"/>
            <w:vAlign w:val="center"/>
          </w:tcPr>
          <w:p w14:paraId="04C539D5" w14:textId="38867DE3" w:rsidR="005044FD" w:rsidRPr="00BC35E9" w:rsidRDefault="00BC35E9" w:rsidP="00BC35E9">
            <w:pPr>
              <w:pStyle w:val="Default"/>
              <w:spacing w:before="120"/>
              <w:jc w:val="both"/>
              <w:rPr>
                <w:rFonts w:ascii="Calibri" w:hAnsi="Calibri" w:cs="Calibri"/>
                <w:b/>
                <w:color w:val="auto"/>
                <w:sz w:val="18"/>
                <w:szCs w:val="18"/>
                <w:lang w:val="fr-FR"/>
              </w:rPr>
            </w:pPr>
            <w:r w:rsidRPr="00BC35E9">
              <w:rPr>
                <w:rFonts w:ascii="Calibri" w:hAnsi="Calibri" w:cs="Calibri"/>
                <w:b/>
                <w:sz w:val="18"/>
                <w:szCs w:val="18"/>
              </w:rPr>
              <w:t>62%</w:t>
            </w:r>
          </w:p>
        </w:tc>
        <w:tc>
          <w:tcPr>
            <w:tcW w:w="669" w:type="dxa"/>
            <w:tcBorders>
              <w:top w:val="single" w:sz="4" w:space="0" w:color="000000" w:themeColor="text1"/>
              <w:left w:val="single" w:sz="4" w:space="0" w:color="000000" w:themeColor="text1"/>
              <w:right w:val="single" w:sz="4" w:space="0" w:color="000000" w:themeColor="text1"/>
            </w:tcBorders>
            <w:shd w:val="clear" w:color="auto" w:fill="FFC000"/>
          </w:tcPr>
          <w:p w14:paraId="442CDE79" w14:textId="77777777" w:rsidR="005044FD" w:rsidRPr="003545A6" w:rsidRDefault="005044FD" w:rsidP="003018AA">
            <w:pPr>
              <w:pStyle w:val="Default"/>
              <w:spacing w:before="120"/>
              <w:jc w:val="both"/>
              <w:rPr>
                <w:rFonts w:ascii="Calibri" w:hAnsi="Calibri" w:cs="Calibri"/>
                <w:b/>
                <w:bCs/>
                <w:i/>
                <w:color w:val="auto"/>
                <w:sz w:val="18"/>
                <w:szCs w:val="18"/>
                <w:lang w:val="fr-FR"/>
              </w:rPr>
            </w:pPr>
          </w:p>
          <w:p w14:paraId="03CBE1A6" w14:textId="1A983C84" w:rsidR="005C21CC" w:rsidRPr="003545A6" w:rsidRDefault="005C21CC" w:rsidP="005C21CC">
            <w:pPr>
              <w:rPr>
                <w:lang w:val="fr-FR" w:eastAsia="en-US"/>
              </w:rPr>
            </w:pPr>
          </w:p>
        </w:tc>
        <w:tc>
          <w:tcPr>
            <w:tcW w:w="7633" w:type="dxa"/>
            <w:tcBorders>
              <w:top w:val="single" w:sz="4" w:space="0" w:color="000000" w:themeColor="text1"/>
              <w:left w:val="single" w:sz="4" w:space="0" w:color="000000" w:themeColor="text1"/>
              <w:right w:val="single" w:sz="4" w:space="0" w:color="000000" w:themeColor="text1"/>
            </w:tcBorders>
            <w:shd w:val="clear" w:color="auto" w:fill="FFFFFF" w:themeFill="background1"/>
            <w:vAlign w:val="center"/>
          </w:tcPr>
          <w:p w14:paraId="4FCF444A" w14:textId="3F392635" w:rsidR="005044FD" w:rsidRPr="00A923CE" w:rsidRDefault="694E2EF8" w:rsidP="00A923CE">
            <w:pPr>
              <w:spacing w:before="60"/>
              <w:rPr>
                <w:rFonts w:ascii="Calibri" w:hAnsi="Calibri" w:cs="Calibri"/>
                <w:sz w:val="18"/>
                <w:szCs w:val="18"/>
                <w:lang w:eastAsia="en-US"/>
              </w:rPr>
            </w:pPr>
            <w:r w:rsidRPr="3F1DEBE1">
              <w:rPr>
                <w:rFonts w:ascii="Calibri" w:hAnsi="Calibri" w:cs="Calibri"/>
                <w:b/>
                <w:bCs/>
                <w:i/>
                <w:iCs/>
                <w:sz w:val="18"/>
                <w:szCs w:val="18"/>
                <w:lang w:val="en-AU"/>
              </w:rPr>
              <w:t>Stock status.</w:t>
            </w:r>
            <w:r w:rsidRPr="3F1DEBE1">
              <w:rPr>
                <w:rFonts w:ascii="Calibri" w:hAnsi="Calibri" w:cs="Calibri"/>
                <w:sz w:val="18"/>
                <w:szCs w:val="18"/>
              </w:rPr>
              <w:t xml:space="preserve"> </w:t>
            </w:r>
            <w:r w:rsidR="00766C56" w:rsidRPr="0666C0EC">
              <w:rPr>
                <w:rFonts w:ascii="Calibri" w:hAnsi="Calibri" w:cs="Calibri"/>
                <w:sz w:val="18"/>
                <w:szCs w:val="18"/>
              </w:rPr>
              <w:t xml:space="preserve">No new stock assessment was carried out for </w:t>
            </w:r>
            <w:r w:rsidR="00766C56">
              <w:rPr>
                <w:rFonts w:ascii="Calibri" w:hAnsi="Calibri" w:cs="Calibri"/>
                <w:sz w:val="18"/>
                <w:szCs w:val="18"/>
                <w:lang w:eastAsia="en-US"/>
              </w:rPr>
              <w:t>black</w:t>
            </w:r>
            <w:r w:rsidR="00766C56" w:rsidRPr="003545A6">
              <w:rPr>
                <w:rFonts w:ascii="Calibri" w:hAnsi="Calibri" w:cs="Calibri"/>
                <w:sz w:val="18"/>
                <w:szCs w:val="18"/>
                <w:lang w:eastAsia="en-US"/>
              </w:rPr>
              <w:t xml:space="preserve"> marlin</w:t>
            </w:r>
            <w:r w:rsidR="00A923CE">
              <w:rPr>
                <w:rFonts w:ascii="Calibri" w:hAnsi="Calibri" w:cs="Calibri"/>
                <w:sz w:val="18"/>
                <w:szCs w:val="18"/>
                <w:lang w:eastAsia="en-US"/>
              </w:rPr>
              <w:t xml:space="preserve"> </w:t>
            </w:r>
            <w:r w:rsidR="00766C56" w:rsidRPr="0666C0EC">
              <w:rPr>
                <w:rFonts w:ascii="Calibri" w:hAnsi="Calibri" w:cs="Calibri"/>
                <w:sz w:val="18"/>
                <w:szCs w:val="18"/>
              </w:rPr>
              <w:t>in 202</w:t>
            </w:r>
            <w:r w:rsidR="00766C56">
              <w:rPr>
                <w:rFonts w:ascii="Calibri" w:hAnsi="Calibri" w:cs="Calibri"/>
                <w:sz w:val="18"/>
                <w:szCs w:val="18"/>
              </w:rPr>
              <w:t xml:space="preserve">5, </w:t>
            </w:r>
            <w:r w:rsidR="00766C56" w:rsidRPr="0666C0EC">
              <w:rPr>
                <w:rFonts w:ascii="Calibri" w:hAnsi="Calibri" w:cs="Calibri"/>
                <w:sz w:val="18"/>
                <w:szCs w:val="18"/>
              </w:rPr>
              <w:t>thus</w:t>
            </w:r>
            <w:r w:rsidR="00766C56" w:rsidRPr="0666C0EC">
              <w:rPr>
                <w:rFonts w:ascii="Calibri" w:hAnsi="Calibri" w:cs="Calibri"/>
                <w:color w:val="000000" w:themeColor="text1"/>
                <w:sz w:val="18"/>
                <w:szCs w:val="18"/>
              </w:rPr>
              <w:t xml:space="preserve">, the stock status estimates are based on </w:t>
            </w:r>
            <w:r w:rsidR="00A923CE">
              <w:rPr>
                <w:rFonts w:ascii="Calibri" w:hAnsi="Calibri" w:cs="Calibri"/>
                <w:sz w:val="18"/>
                <w:szCs w:val="18"/>
              </w:rPr>
              <w:t xml:space="preserve">the </w:t>
            </w:r>
            <w:r w:rsidR="786D0F39" w:rsidRPr="3F1DEBE1">
              <w:rPr>
                <w:rFonts w:ascii="Calibri" w:hAnsi="Calibri" w:cs="Calibri"/>
                <w:sz w:val="18"/>
                <w:szCs w:val="18"/>
              </w:rPr>
              <w:t>stock assessment in 2024</w:t>
            </w:r>
            <w:r w:rsidR="00A923CE">
              <w:rPr>
                <w:rFonts w:ascii="Calibri" w:hAnsi="Calibri" w:cs="Calibri"/>
                <w:sz w:val="18"/>
                <w:szCs w:val="18"/>
              </w:rPr>
              <w:t xml:space="preserve"> using</w:t>
            </w:r>
            <w:r w:rsidR="786D0F39" w:rsidRPr="3F1DEBE1">
              <w:rPr>
                <w:rFonts w:ascii="Calibri" w:hAnsi="Calibri" w:cs="Calibri"/>
                <w:sz w:val="18"/>
                <w:szCs w:val="18"/>
              </w:rPr>
              <w:t xml:space="preserve"> JABBA, a Bayesian state-space production model (using data up to 2022). The relative point estimates for this assessment are F/FMSY=1.39 (0.72-2.45) and B/BMSY=1.35 (0.96 -1.79). The Kobe plot indicated that the stock is </w:t>
            </w:r>
            <w:r w:rsidR="786D0F39" w:rsidRPr="3F1DEBE1">
              <w:rPr>
                <w:rFonts w:ascii="Calibri" w:hAnsi="Calibri" w:cs="Calibri"/>
                <w:sz w:val="18"/>
                <w:szCs w:val="18"/>
              </w:rPr>
              <w:lastRenderedPageBreak/>
              <w:t>currently not overfished but is subject overfishing (Table 1; Fig. 3). In 2022, the catch of black marlin surged to 26,320 t. Until 2024, fish stock status was characterised as “uncertain” due to significant uncertainties in past assessments (like those from 2018 and 2021). These uncertainties were attributed to both historical catch reporting from key fishing state</w:t>
            </w:r>
            <w:r w:rsidR="2208F314" w:rsidRPr="3F1DEBE1">
              <w:rPr>
                <w:rFonts w:ascii="Calibri" w:hAnsi="Calibri" w:cs="Calibri"/>
                <w:sz w:val="18"/>
                <w:szCs w:val="18"/>
              </w:rPr>
              <w:t>s</w:t>
            </w:r>
            <w:r w:rsidR="786D0F39" w:rsidRPr="3F1DEBE1">
              <w:rPr>
                <w:rFonts w:ascii="Calibri" w:hAnsi="Calibri" w:cs="Calibri"/>
                <w:sz w:val="18"/>
                <w:szCs w:val="18"/>
              </w:rPr>
              <w:t xml:space="preserve"> and poor assessment diagnostics. However, there</w:t>
            </w:r>
            <w:r w:rsidR="4625E57D" w:rsidRPr="3F1DEBE1">
              <w:rPr>
                <w:rFonts w:ascii="Calibri" w:hAnsi="Calibri" w:cs="Calibri"/>
                <w:sz w:val="18"/>
                <w:szCs w:val="18"/>
              </w:rPr>
              <w:t xml:space="preserve"> ha</w:t>
            </w:r>
            <w:r w:rsidR="786D0F39" w:rsidRPr="3F1DEBE1">
              <w:rPr>
                <w:rFonts w:ascii="Calibri" w:hAnsi="Calibri" w:cs="Calibri"/>
                <w:sz w:val="18"/>
                <w:szCs w:val="18"/>
              </w:rPr>
              <w:t>s been progress recently with black marlin catch data, particularly from coastal countries in the northern Indian Ocean, and the latest JABBA assessment shows it</w:t>
            </w:r>
            <w:r w:rsidR="4565C494" w:rsidRPr="3F1DEBE1">
              <w:rPr>
                <w:rFonts w:ascii="Calibri" w:hAnsi="Calibri" w:cs="Calibri"/>
                <w:sz w:val="18"/>
                <w:szCs w:val="18"/>
              </w:rPr>
              <w:t xml:space="preserve"> i</w:t>
            </w:r>
            <w:r w:rsidR="786D0F39" w:rsidRPr="3F1DEBE1">
              <w:rPr>
                <w:rFonts w:ascii="Calibri" w:hAnsi="Calibri" w:cs="Calibri"/>
                <w:sz w:val="18"/>
                <w:szCs w:val="18"/>
              </w:rPr>
              <w:t xml:space="preserve">s now more reliable (with improved model fitting to the abundance indices and acceptable level of retrospective patterns). The assessment relied on CPUE indices from longline fisheries in which the black marlin is a bycatch species. On the weight-of-evidence available in 2024, the stock status of black marlin is determined to be </w:t>
            </w:r>
            <w:r w:rsidR="786D0F39" w:rsidRPr="3F1DEBE1">
              <w:rPr>
                <w:rFonts w:ascii="Calibri" w:hAnsi="Calibri" w:cs="Calibri"/>
                <w:b/>
                <w:bCs/>
                <w:sz w:val="18"/>
                <w:szCs w:val="18"/>
              </w:rPr>
              <w:t>not overfished</w:t>
            </w:r>
            <w:r w:rsidR="786D0F39" w:rsidRPr="3F1DEBE1">
              <w:rPr>
                <w:rFonts w:ascii="Calibri" w:hAnsi="Calibri" w:cs="Calibri"/>
                <w:sz w:val="18"/>
                <w:szCs w:val="18"/>
              </w:rPr>
              <w:t xml:space="preserve"> but subject to </w:t>
            </w:r>
            <w:r w:rsidR="786D0F39" w:rsidRPr="3F1DEBE1">
              <w:rPr>
                <w:rFonts w:ascii="Calibri" w:hAnsi="Calibri" w:cs="Calibri"/>
                <w:b/>
                <w:bCs/>
                <w:sz w:val="18"/>
                <w:szCs w:val="18"/>
              </w:rPr>
              <w:t>overfishing</w:t>
            </w:r>
            <w:r w:rsidR="3317A825" w:rsidRPr="3F1DEBE1">
              <w:rPr>
                <w:rFonts w:ascii="Calibri" w:hAnsi="Calibri" w:cs="Calibri"/>
                <w:b/>
                <w:bCs/>
                <w:sz w:val="18"/>
                <w:szCs w:val="18"/>
                <w:lang w:val="en-US" w:eastAsia="en-US"/>
              </w:rPr>
              <w:t>.</w:t>
            </w:r>
          </w:p>
          <w:p w14:paraId="1866D2D7" w14:textId="6CD22E1F" w:rsidR="005044FD" w:rsidRPr="003545A6" w:rsidRDefault="694E2EF8" w:rsidP="3F1DEBE1">
            <w:pPr>
              <w:pStyle w:val="Default"/>
              <w:spacing w:before="120"/>
              <w:jc w:val="both"/>
              <w:rPr>
                <w:rFonts w:ascii="Calibri" w:hAnsi="Calibri" w:cs="Calibri"/>
                <w:b/>
                <w:bCs/>
                <w:sz w:val="18"/>
                <w:szCs w:val="18"/>
                <w:lang w:val="en-AU"/>
              </w:rPr>
            </w:pPr>
            <w:r w:rsidRPr="3F1DEBE1">
              <w:rPr>
                <w:rFonts w:ascii="Calibri" w:hAnsi="Calibri" w:cs="Calibri"/>
                <w:b/>
                <w:bCs/>
                <w:i/>
                <w:iCs/>
                <w:sz w:val="18"/>
                <w:szCs w:val="18"/>
                <w:lang w:val="en-AU"/>
              </w:rPr>
              <w:t>Management advice</w:t>
            </w:r>
            <w:r w:rsidRPr="3F1DEBE1">
              <w:rPr>
                <w:rFonts w:ascii="Calibri" w:hAnsi="Calibri" w:cs="Calibri"/>
                <w:b/>
                <w:bCs/>
                <w:sz w:val="18"/>
                <w:szCs w:val="18"/>
                <w:lang w:val="en-AU"/>
              </w:rPr>
              <w:t xml:space="preserve">. </w:t>
            </w:r>
            <w:r w:rsidR="16270898" w:rsidRPr="3F1DEBE1">
              <w:rPr>
                <w:rFonts w:ascii="Calibri" w:hAnsi="Calibri" w:cs="Calibri"/>
                <w:sz w:val="18"/>
                <w:szCs w:val="18"/>
                <w:lang w:val="en-AU"/>
              </w:rPr>
              <w:t>The catch limits (9</w:t>
            </w:r>
            <w:r w:rsidR="61B32AF9" w:rsidRPr="3F1DEBE1">
              <w:rPr>
                <w:rFonts w:ascii="Calibri" w:hAnsi="Calibri" w:cs="Calibri"/>
                <w:sz w:val="18"/>
                <w:szCs w:val="18"/>
                <w:lang w:val="en-AU"/>
              </w:rPr>
              <w:t>,</w:t>
            </w:r>
            <w:r w:rsidR="16270898" w:rsidRPr="3F1DEBE1">
              <w:rPr>
                <w:rFonts w:ascii="Calibri" w:hAnsi="Calibri" w:cs="Calibri"/>
                <w:sz w:val="18"/>
                <w:szCs w:val="18"/>
                <w:lang w:val="en-AU"/>
              </w:rPr>
              <w:t xml:space="preserve">932 t) as stipulated in Resolution 18/05 have been exceeded for three consecutive years since 2020, which as per resolution 18/05, requires a review of the resolution. Furthermore, these limits are not based on estimates of most recent stock assessment. Thus, it is recommended that the Commission urgently revise </w:t>
            </w:r>
            <w:r w:rsidR="418A7708" w:rsidRPr="3F1DEBE1">
              <w:rPr>
                <w:rFonts w:ascii="Calibri" w:hAnsi="Calibri" w:cs="Calibri"/>
                <w:sz w:val="18"/>
                <w:szCs w:val="18"/>
                <w:lang w:val="en-AU"/>
              </w:rPr>
              <w:t xml:space="preserve">Res. </w:t>
            </w:r>
            <w:r w:rsidR="16270898" w:rsidRPr="3F1DEBE1">
              <w:rPr>
                <w:rFonts w:ascii="Calibri" w:hAnsi="Calibri" w:cs="Calibri"/>
                <w:sz w:val="18"/>
                <w:szCs w:val="18"/>
                <w:lang w:val="en-AU"/>
              </w:rPr>
              <w:t>18/05 to incorporate limits that reflect the most recent stock assessment and projections</w:t>
            </w:r>
            <w:r w:rsidR="197226C1" w:rsidRPr="3F1DEBE1">
              <w:rPr>
                <w:rFonts w:ascii="Calibri" w:hAnsi="Calibri" w:cs="Calibri"/>
                <w:sz w:val="18"/>
                <w:szCs w:val="18"/>
                <w:lang w:val="en-AU"/>
              </w:rPr>
              <w:t>,</w:t>
            </w:r>
            <w:r w:rsidR="16270898" w:rsidRPr="3F1DEBE1">
              <w:rPr>
                <w:rFonts w:ascii="Calibri" w:hAnsi="Calibri" w:cs="Calibri"/>
                <w:sz w:val="18"/>
                <w:szCs w:val="18"/>
                <w:lang w:val="en-AU"/>
              </w:rPr>
              <w:t xml:space="preserve"> and review</w:t>
            </w:r>
            <w:r w:rsidR="67D82B09" w:rsidRPr="3F1DEBE1">
              <w:rPr>
                <w:rFonts w:ascii="Calibri" w:hAnsi="Calibri" w:cs="Calibri"/>
                <w:sz w:val="18"/>
                <w:szCs w:val="18"/>
                <w:lang w:val="en-AU"/>
              </w:rPr>
              <w:t>,</w:t>
            </w:r>
            <w:r w:rsidR="16270898" w:rsidRPr="3F1DEBE1">
              <w:rPr>
                <w:rFonts w:ascii="Calibri" w:hAnsi="Calibri" w:cs="Calibri"/>
                <w:sz w:val="18"/>
                <w:szCs w:val="18"/>
                <w:lang w:val="en-AU"/>
              </w:rPr>
              <w:t xml:space="preserve"> and where necessary</w:t>
            </w:r>
            <w:r w:rsidR="1EC018A1" w:rsidRPr="3F1DEBE1">
              <w:rPr>
                <w:rFonts w:ascii="Calibri" w:hAnsi="Calibri" w:cs="Calibri"/>
                <w:sz w:val="18"/>
                <w:szCs w:val="18"/>
                <w:lang w:val="en-AU"/>
              </w:rPr>
              <w:t>,</w:t>
            </w:r>
            <w:r w:rsidR="16270898" w:rsidRPr="3F1DEBE1">
              <w:rPr>
                <w:rFonts w:ascii="Calibri" w:hAnsi="Calibri" w:cs="Calibri"/>
                <w:sz w:val="18"/>
                <w:szCs w:val="18"/>
                <w:lang w:val="en-AU"/>
              </w:rPr>
              <w:t xml:space="preserve"> revise the implementation and effectiveness of the measures contained in this Resolution. The stock is now subject to overfishing. If the Commission wishes to recover the stock to the green quadrant of the Kobe plot with a probability ranging from 60% to 90% by 2026 as per Resolution 18/05, it needs to provide mechanisms to ensure the maximum annual catches remain less than </w:t>
            </w:r>
            <w:r w:rsidR="00D1125E">
              <w:rPr>
                <w:rFonts w:ascii="Calibri" w:hAnsi="Calibri" w:cs="Calibri"/>
                <w:sz w:val="18"/>
                <w:szCs w:val="18"/>
                <w:lang w:val="en-AU"/>
              </w:rPr>
              <w:t>9</w:t>
            </w:r>
            <w:r w:rsidR="00A07632">
              <w:rPr>
                <w:rFonts w:ascii="Calibri" w:hAnsi="Calibri" w:cs="Calibri"/>
                <w:sz w:val="18"/>
                <w:szCs w:val="18"/>
                <w:lang w:val="en-AU"/>
              </w:rPr>
              <w:t xml:space="preserve">, </w:t>
            </w:r>
            <w:r w:rsidR="00D1125E">
              <w:rPr>
                <w:rFonts w:ascii="Calibri" w:hAnsi="Calibri" w:cs="Calibri"/>
                <w:sz w:val="18"/>
                <w:szCs w:val="18"/>
                <w:lang w:val="en-AU"/>
              </w:rPr>
              <w:t>932</w:t>
            </w:r>
            <w:r w:rsidR="16270898" w:rsidRPr="3F1DEBE1">
              <w:rPr>
                <w:rFonts w:ascii="Calibri" w:hAnsi="Calibri" w:cs="Calibri"/>
                <w:sz w:val="18"/>
                <w:szCs w:val="18"/>
                <w:lang w:val="en-AU"/>
              </w:rPr>
              <w:t xml:space="preserve"> t</w:t>
            </w:r>
            <w:r w:rsidRPr="3F1DEBE1">
              <w:rPr>
                <w:rFonts w:ascii="Calibri" w:hAnsi="Calibri" w:cs="Calibri"/>
                <w:sz w:val="18"/>
                <w:szCs w:val="18"/>
                <w:lang w:val="en-AU"/>
              </w:rPr>
              <w:t xml:space="preserve">. </w:t>
            </w:r>
          </w:p>
          <w:p w14:paraId="78E6CCDE" w14:textId="0E7BA393" w:rsidR="005044FD" w:rsidRPr="003545A6" w:rsidRDefault="005044FD" w:rsidP="003018AA">
            <w:pPr>
              <w:pStyle w:val="Default"/>
              <w:spacing w:before="120"/>
              <w:jc w:val="both"/>
              <w:rPr>
                <w:rFonts w:ascii="Calibri" w:hAnsi="Calibri" w:cs="Calibri"/>
                <w:color w:val="auto"/>
                <w:sz w:val="18"/>
                <w:szCs w:val="18"/>
              </w:rPr>
            </w:pPr>
            <w:r w:rsidRPr="003545A6">
              <w:rPr>
                <w:rFonts w:ascii="Calibri" w:hAnsi="Calibri" w:cs="Calibri"/>
                <w:color w:val="auto"/>
                <w:sz w:val="18"/>
                <w:szCs w:val="18"/>
                <w:lang w:val="en-GB"/>
              </w:rPr>
              <w:t xml:space="preserve">Click here for full stock status summary: </w:t>
            </w:r>
            <w:hyperlink w:anchor="APP5">
              <w:r w:rsidR="00094A88" w:rsidRPr="003545A6">
                <w:rPr>
                  <w:rStyle w:val="Hyperlink"/>
                  <w:rFonts w:ascii="Calibri" w:hAnsi="Calibri" w:cs="Calibri"/>
                  <w:sz w:val="18"/>
                  <w:szCs w:val="18"/>
                  <w:lang w:val="en-GB"/>
                </w:rPr>
                <w:t>Appendix V</w:t>
              </w:r>
            </w:hyperlink>
          </w:p>
        </w:tc>
      </w:tr>
      <w:tr w:rsidR="00875D9F" w:rsidRPr="003545A6" w14:paraId="279D623C" w14:textId="77777777" w:rsidTr="0666C0EC">
        <w:trPr>
          <w:trHeight w:val="4121"/>
        </w:trPr>
        <w:tc>
          <w:tcPr>
            <w:tcW w:w="133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609B4948" w14:textId="77777777" w:rsidR="00875D9F" w:rsidRPr="003545A6" w:rsidRDefault="00875D9F" w:rsidP="00875D9F">
            <w:pPr>
              <w:spacing w:before="60"/>
              <w:rPr>
                <w:rFonts w:ascii="Calibri" w:hAnsi="Calibri" w:cs="Calibri"/>
                <w:sz w:val="18"/>
                <w:szCs w:val="18"/>
                <w:lang w:eastAsia="en-US"/>
              </w:rPr>
            </w:pPr>
            <w:r w:rsidRPr="003545A6">
              <w:rPr>
                <w:rFonts w:ascii="Calibri" w:hAnsi="Calibri" w:cs="Calibri"/>
                <w:sz w:val="18"/>
                <w:szCs w:val="18"/>
                <w:lang w:eastAsia="en-US"/>
              </w:rPr>
              <w:lastRenderedPageBreak/>
              <w:t>Blue marlin</w:t>
            </w:r>
          </w:p>
          <w:p w14:paraId="4057494A" w14:textId="77777777" w:rsidR="00875D9F" w:rsidRPr="003545A6" w:rsidRDefault="00875D9F" w:rsidP="00875D9F">
            <w:pPr>
              <w:spacing w:before="60"/>
              <w:rPr>
                <w:rFonts w:ascii="Calibri" w:hAnsi="Calibri" w:cs="Calibri"/>
                <w:sz w:val="18"/>
                <w:szCs w:val="18"/>
                <w:lang w:eastAsia="en-US"/>
              </w:rPr>
            </w:pPr>
            <w:r w:rsidRPr="003545A6">
              <w:rPr>
                <w:rFonts w:ascii="Calibri" w:hAnsi="Calibri" w:cs="Calibri"/>
                <w:i/>
                <w:sz w:val="18"/>
                <w:szCs w:val="18"/>
                <w:lang w:eastAsia="en-US"/>
              </w:rPr>
              <w:t>Makaira nigricans</w:t>
            </w:r>
          </w:p>
        </w:tc>
        <w:tc>
          <w:tcPr>
            <w:tcW w:w="3278" w:type="dxa"/>
            <w:tcBorders>
              <w:top w:val="single" w:sz="4" w:space="0" w:color="auto"/>
              <w:left w:val="single" w:sz="4" w:space="0" w:color="000000" w:themeColor="text1"/>
              <w:bottom w:val="single" w:sz="4" w:space="0" w:color="000000" w:themeColor="text1"/>
              <w:right w:val="nil"/>
            </w:tcBorders>
            <w:shd w:val="clear" w:color="auto" w:fill="FFFFFF" w:themeFill="background1"/>
          </w:tcPr>
          <w:p w14:paraId="6FA37891" w14:textId="699A15EF" w:rsidR="00875D9F" w:rsidRPr="00AE2943" w:rsidRDefault="00875D9F" w:rsidP="00875D9F">
            <w:pPr>
              <w:tabs>
                <w:tab w:val="right" w:pos="932"/>
                <w:tab w:val="left" w:pos="1168"/>
              </w:tabs>
              <w:jc w:val="right"/>
              <w:rPr>
                <w:rFonts w:ascii="Calibri" w:hAnsi="Calibri" w:cs="Calibri"/>
                <w:sz w:val="18"/>
                <w:szCs w:val="18"/>
                <w:lang w:val="fr-FR" w:eastAsia="en-GB"/>
              </w:rPr>
            </w:pPr>
            <w:r w:rsidRPr="00AE2943">
              <w:rPr>
                <w:rFonts w:ascii="Calibri" w:hAnsi="Calibri" w:cs="Calibri"/>
                <w:sz w:val="18"/>
                <w:szCs w:val="18"/>
                <w:lang w:val="fr-FR" w:eastAsia="en-GB"/>
              </w:rPr>
              <w:t>Catch 202</w:t>
            </w:r>
            <w:r>
              <w:rPr>
                <w:rFonts w:ascii="Calibri" w:hAnsi="Calibri" w:cs="Calibri"/>
                <w:sz w:val="18"/>
                <w:szCs w:val="18"/>
                <w:lang w:val="fr-FR" w:eastAsia="en-GB"/>
              </w:rPr>
              <w:t>3</w:t>
            </w:r>
            <w:r w:rsidRPr="00AE2943">
              <w:rPr>
                <w:rFonts w:ascii="Calibri" w:hAnsi="Calibri" w:cs="Calibri"/>
                <w:sz w:val="18"/>
                <w:szCs w:val="18"/>
                <w:lang w:val="fr-FR" w:eastAsia="en-GB"/>
              </w:rPr>
              <w:t xml:space="preserve">: </w:t>
            </w:r>
            <w:r>
              <w:rPr>
                <w:rFonts w:ascii="Calibri" w:hAnsi="Calibri" w:cs="Calibri"/>
                <w:sz w:val="18"/>
                <w:szCs w:val="18"/>
                <w:lang w:val="fr-FR" w:eastAsia="en-GB"/>
              </w:rPr>
              <w:t>7</w:t>
            </w:r>
            <w:r w:rsidRPr="00AE2943">
              <w:rPr>
                <w:rFonts w:ascii="Calibri" w:hAnsi="Calibri" w:cs="Calibri"/>
                <w:sz w:val="18"/>
                <w:szCs w:val="18"/>
                <w:lang w:val="fr-FR" w:eastAsia="en-GB"/>
              </w:rPr>
              <w:t>,</w:t>
            </w:r>
            <w:r>
              <w:rPr>
                <w:rFonts w:ascii="Calibri" w:hAnsi="Calibri" w:cs="Calibri"/>
                <w:sz w:val="18"/>
                <w:szCs w:val="18"/>
                <w:lang w:val="fr-FR" w:eastAsia="en-GB"/>
              </w:rPr>
              <w:t>905</w:t>
            </w:r>
            <w:r w:rsidRPr="00AE2943">
              <w:rPr>
                <w:rFonts w:ascii="Calibri" w:hAnsi="Calibri" w:cs="Calibri"/>
                <w:sz w:val="18"/>
                <w:szCs w:val="18"/>
                <w:lang w:val="fr-FR" w:eastAsia="en-GB"/>
              </w:rPr>
              <w:t xml:space="preserve"> t</w:t>
            </w:r>
          </w:p>
          <w:p w14:paraId="6D5546F6" w14:textId="4211747B" w:rsidR="00875D9F" w:rsidRPr="00AE2943" w:rsidRDefault="00875D9F" w:rsidP="00875D9F">
            <w:pPr>
              <w:tabs>
                <w:tab w:val="right" w:pos="932"/>
                <w:tab w:val="left" w:pos="1168"/>
              </w:tabs>
              <w:jc w:val="right"/>
              <w:rPr>
                <w:rFonts w:ascii="Calibri" w:hAnsi="Calibri" w:cs="Calibri"/>
                <w:sz w:val="18"/>
                <w:szCs w:val="18"/>
                <w:lang w:val="fr-FR" w:eastAsia="en-GB"/>
              </w:rPr>
            </w:pPr>
            <w:r w:rsidRPr="00AE2943">
              <w:rPr>
                <w:rFonts w:ascii="Calibri" w:hAnsi="Calibri" w:cs="Calibri"/>
                <w:sz w:val="18"/>
                <w:szCs w:val="18"/>
                <w:lang w:val="fr-FR" w:eastAsia="en-GB"/>
              </w:rPr>
              <w:t xml:space="preserve">Average catch </w:t>
            </w:r>
            <w:r w:rsidRPr="3F1DEBE1">
              <w:rPr>
                <w:rFonts w:ascii="Calibri" w:hAnsi="Calibri" w:cs="Calibri"/>
                <w:sz w:val="18"/>
                <w:szCs w:val="18"/>
                <w:lang w:val="fr-FR" w:eastAsia="en-GB"/>
              </w:rPr>
              <w:t>201</w:t>
            </w:r>
            <w:r>
              <w:rPr>
                <w:rFonts w:ascii="Calibri" w:hAnsi="Calibri" w:cs="Calibri"/>
                <w:sz w:val="18"/>
                <w:szCs w:val="18"/>
                <w:lang w:val="fr-FR" w:eastAsia="en-GB"/>
              </w:rPr>
              <w:t>9</w:t>
            </w:r>
            <w:r w:rsidRPr="3F1DEBE1">
              <w:rPr>
                <w:rFonts w:ascii="Calibri" w:hAnsi="Calibri" w:cs="Calibri"/>
                <w:sz w:val="18"/>
                <w:szCs w:val="18"/>
                <w:lang w:val="fr-FR" w:eastAsia="en-GB"/>
              </w:rPr>
              <w:t>–202</w:t>
            </w:r>
            <w:r>
              <w:rPr>
                <w:rFonts w:ascii="Calibri" w:hAnsi="Calibri" w:cs="Calibri"/>
                <w:sz w:val="18"/>
                <w:szCs w:val="18"/>
                <w:lang w:val="fr-FR" w:eastAsia="en-GB"/>
              </w:rPr>
              <w:t>3</w:t>
            </w:r>
            <w:r w:rsidRPr="00AE2943">
              <w:rPr>
                <w:rFonts w:ascii="Calibri" w:hAnsi="Calibri" w:cs="Calibri"/>
                <w:sz w:val="18"/>
                <w:szCs w:val="18"/>
                <w:lang w:val="fr-FR" w:eastAsia="en-GB"/>
              </w:rPr>
              <w:t>: 7,</w:t>
            </w:r>
            <w:r>
              <w:rPr>
                <w:rFonts w:ascii="Calibri" w:hAnsi="Calibri" w:cs="Calibri"/>
                <w:sz w:val="18"/>
                <w:szCs w:val="18"/>
                <w:lang w:val="fr-FR" w:eastAsia="en-GB"/>
              </w:rPr>
              <w:t>964</w:t>
            </w:r>
            <w:r w:rsidRPr="00AE2943">
              <w:rPr>
                <w:rFonts w:ascii="Calibri" w:hAnsi="Calibri" w:cs="Calibri"/>
                <w:sz w:val="18"/>
                <w:szCs w:val="18"/>
                <w:lang w:val="fr-FR" w:eastAsia="en-GB"/>
              </w:rPr>
              <w:t xml:space="preserve"> t</w:t>
            </w:r>
          </w:p>
          <w:p w14:paraId="5FD80D26" w14:textId="77777777" w:rsidR="00875D9F" w:rsidRPr="00FB04C3" w:rsidRDefault="00875D9F" w:rsidP="00875D9F">
            <w:pPr>
              <w:tabs>
                <w:tab w:val="right" w:pos="932"/>
                <w:tab w:val="left" w:pos="1168"/>
              </w:tabs>
              <w:jc w:val="right"/>
              <w:rPr>
                <w:rFonts w:ascii="Calibri" w:hAnsi="Calibri" w:cs="Calibri"/>
                <w:sz w:val="18"/>
                <w:szCs w:val="18"/>
              </w:rPr>
            </w:pPr>
            <w:r w:rsidRPr="00875D9F">
              <w:rPr>
                <w:rFonts w:ascii="Calibri" w:hAnsi="Calibri" w:cs="Calibri"/>
                <w:sz w:val="18"/>
                <w:szCs w:val="18"/>
                <w:lang w:val="fr-FR" w:eastAsia="en-GB"/>
              </w:rPr>
              <w:t xml:space="preserve">MSY (1000 t) (80% CI): </w:t>
            </w:r>
            <w:r w:rsidRPr="00FB04C3">
              <w:rPr>
                <w:rFonts w:ascii="Calibri" w:hAnsi="Calibri" w:cs="Calibri"/>
                <w:sz w:val="18"/>
                <w:szCs w:val="18"/>
                <w:lang w:val="fr-FR"/>
              </w:rPr>
              <w:t>8.35 (7.52 –9.23)</w:t>
            </w:r>
            <w:r w:rsidRPr="00FB04C3">
              <w:rPr>
                <w:rFonts w:ascii="Calibri" w:hAnsi="Calibri" w:cs="Calibri"/>
                <w:sz w:val="18"/>
                <w:szCs w:val="18"/>
              </w:rPr>
              <w:t> </w:t>
            </w:r>
          </w:p>
          <w:p w14:paraId="6925F7FE" w14:textId="58EBC796" w:rsidR="00875D9F" w:rsidRPr="00875D9F" w:rsidRDefault="00875D9F" w:rsidP="00875D9F">
            <w:pPr>
              <w:tabs>
                <w:tab w:val="right" w:pos="932"/>
                <w:tab w:val="left" w:pos="1168"/>
              </w:tabs>
              <w:jc w:val="right"/>
              <w:rPr>
                <w:rFonts w:ascii="Calibri" w:hAnsi="Calibri" w:cs="Calibri"/>
                <w:sz w:val="18"/>
                <w:szCs w:val="18"/>
                <w:lang w:val="en-AU"/>
              </w:rPr>
            </w:pPr>
            <w:r w:rsidRPr="00875D9F">
              <w:rPr>
                <w:rFonts w:ascii="Calibri" w:hAnsi="Calibri" w:cs="Calibri"/>
                <w:sz w:val="18"/>
                <w:szCs w:val="18"/>
                <w:lang w:val="fr-FR" w:eastAsia="en-GB"/>
              </w:rPr>
              <w:tab/>
              <w:t>F</w:t>
            </w:r>
            <w:r w:rsidRPr="00875D9F">
              <w:rPr>
                <w:rFonts w:ascii="Calibri" w:hAnsi="Calibri" w:cs="Calibri"/>
                <w:sz w:val="18"/>
                <w:szCs w:val="18"/>
                <w:vertAlign w:val="subscript"/>
                <w:lang w:val="fr-FR" w:eastAsia="en-GB"/>
              </w:rPr>
              <w:t>MSY</w:t>
            </w:r>
            <w:r w:rsidRPr="00875D9F">
              <w:rPr>
                <w:rFonts w:ascii="Calibri" w:hAnsi="Calibri" w:cs="Calibri"/>
                <w:sz w:val="18"/>
                <w:szCs w:val="18"/>
                <w:lang w:val="fr-FR" w:eastAsia="en-GB"/>
              </w:rPr>
              <w:t xml:space="preserve"> (80% CI): </w:t>
            </w:r>
            <w:r w:rsidRPr="00FB04C3">
              <w:rPr>
                <w:rFonts w:ascii="Calibri" w:hAnsi="Calibri" w:cs="Calibri"/>
                <w:sz w:val="18"/>
                <w:szCs w:val="18"/>
                <w:lang w:val="fr-FR"/>
              </w:rPr>
              <w:t>0.30 (0.21 – 0.38)</w:t>
            </w:r>
            <w:r w:rsidRPr="00FB04C3">
              <w:rPr>
                <w:rFonts w:ascii="Calibri" w:hAnsi="Calibri" w:cs="Calibri"/>
                <w:sz w:val="18"/>
                <w:szCs w:val="18"/>
              </w:rPr>
              <w:t> </w:t>
            </w:r>
          </w:p>
          <w:p w14:paraId="5B0D1FBC" w14:textId="660095EC" w:rsidR="00875D9F" w:rsidRPr="00875D9F" w:rsidRDefault="00875D9F" w:rsidP="00875D9F">
            <w:pPr>
              <w:tabs>
                <w:tab w:val="right" w:pos="932"/>
                <w:tab w:val="left" w:pos="1168"/>
              </w:tabs>
              <w:jc w:val="right"/>
              <w:rPr>
                <w:rFonts w:ascii="Calibri" w:hAnsi="Calibri" w:cs="Calibri"/>
                <w:sz w:val="18"/>
                <w:szCs w:val="18"/>
                <w:lang w:val="fr-FR"/>
              </w:rPr>
            </w:pPr>
            <w:r w:rsidRPr="00875D9F">
              <w:rPr>
                <w:rFonts w:ascii="Calibri" w:hAnsi="Calibri" w:cs="Calibri"/>
                <w:sz w:val="18"/>
                <w:szCs w:val="18"/>
                <w:lang w:val="fr-FR" w:eastAsia="en-GB"/>
              </w:rPr>
              <w:t>B</w:t>
            </w:r>
            <w:r w:rsidRPr="00875D9F">
              <w:rPr>
                <w:rFonts w:ascii="Calibri" w:hAnsi="Calibri" w:cs="Calibri"/>
                <w:sz w:val="18"/>
                <w:szCs w:val="18"/>
                <w:vertAlign w:val="subscript"/>
                <w:lang w:val="fr-FR" w:eastAsia="en-GB"/>
              </w:rPr>
              <w:t>MSY</w:t>
            </w:r>
            <w:r w:rsidRPr="00875D9F">
              <w:rPr>
                <w:rFonts w:ascii="Calibri" w:hAnsi="Calibri" w:cs="Calibri"/>
                <w:sz w:val="18"/>
                <w:szCs w:val="18"/>
                <w:lang w:val="fr-FR" w:eastAsia="en-GB"/>
              </w:rPr>
              <w:t xml:space="preserve"> (1,000 t) (80% CI):</w:t>
            </w:r>
            <w:r>
              <w:rPr>
                <w:rFonts w:ascii="Calibri" w:hAnsi="Calibri" w:cs="Calibri"/>
                <w:sz w:val="18"/>
                <w:szCs w:val="18"/>
                <w:lang w:val="fr-FR" w:eastAsia="en-GB"/>
              </w:rPr>
              <w:t xml:space="preserve"> </w:t>
            </w:r>
            <w:r w:rsidRPr="00FB04C3">
              <w:rPr>
                <w:rFonts w:ascii="Calibri" w:hAnsi="Calibri" w:cs="Calibri"/>
                <w:sz w:val="18"/>
                <w:szCs w:val="18"/>
                <w:lang w:val="fr-FR"/>
              </w:rPr>
              <w:t>27.9 (22.3 – 39.9)</w:t>
            </w:r>
            <w:r w:rsidRPr="00FB04C3">
              <w:rPr>
                <w:rFonts w:ascii="Calibri" w:hAnsi="Calibri" w:cs="Calibri"/>
                <w:sz w:val="18"/>
                <w:szCs w:val="18"/>
              </w:rPr>
              <w:t> </w:t>
            </w:r>
          </w:p>
          <w:p w14:paraId="0B4C3F27" w14:textId="5AA29019" w:rsidR="00875D9F" w:rsidRPr="00FB04C3" w:rsidRDefault="00875D9F" w:rsidP="00875D9F">
            <w:pPr>
              <w:tabs>
                <w:tab w:val="right" w:pos="932"/>
                <w:tab w:val="left" w:pos="1168"/>
              </w:tabs>
              <w:jc w:val="right"/>
              <w:rPr>
                <w:rFonts w:ascii="Calibri" w:hAnsi="Calibri" w:cs="Calibri"/>
                <w:sz w:val="18"/>
                <w:szCs w:val="18"/>
              </w:rPr>
            </w:pPr>
            <w:r w:rsidRPr="00875D9F">
              <w:rPr>
                <w:rFonts w:ascii="Calibri" w:hAnsi="Calibri" w:cs="Calibri"/>
                <w:sz w:val="18"/>
                <w:szCs w:val="18"/>
                <w:lang w:val="fr-FR" w:eastAsia="en-GB"/>
              </w:rPr>
              <w:t>F</w:t>
            </w:r>
            <w:r w:rsidRPr="00875D9F">
              <w:rPr>
                <w:rFonts w:ascii="Calibri" w:hAnsi="Calibri" w:cs="Calibri"/>
                <w:sz w:val="18"/>
                <w:szCs w:val="18"/>
                <w:vertAlign w:val="subscript"/>
                <w:lang w:val="fr-FR" w:eastAsia="en-GB"/>
              </w:rPr>
              <w:t>2023</w:t>
            </w:r>
            <w:r w:rsidRPr="00875D9F">
              <w:rPr>
                <w:rFonts w:ascii="Calibri" w:hAnsi="Calibri" w:cs="Calibri"/>
                <w:sz w:val="18"/>
                <w:szCs w:val="18"/>
                <w:lang w:val="fr-FR" w:eastAsia="en-GB"/>
              </w:rPr>
              <w:t>/FMSY (80% CI):</w:t>
            </w:r>
            <w:r w:rsidRPr="00875D9F">
              <w:rPr>
                <w:rFonts w:ascii="Calibri" w:hAnsi="Calibri" w:cs="Calibri"/>
                <w:sz w:val="18"/>
                <w:szCs w:val="18"/>
                <w:lang w:val="fr-FR"/>
              </w:rPr>
              <w:t xml:space="preserve"> </w:t>
            </w:r>
            <w:r w:rsidRPr="00FB04C3">
              <w:rPr>
                <w:rFonts w:ascii="Calibri" w:hAnsi="Calibri" w:cs="Calibri"/>
                <w:sz w:val="18"/>
                <w:szCs w:val="18"/>
                <w:lang w:val="fr-FR"/>
              </w:rPr>
              <w:t>1.54 (1.16 – 2.06)</w:t>
            </w:r>
            <w:r w:rsidRPr="00FB04C3">
              <w:rPr>
                <w:rFonts w:ascii="Calibri" w:hAnsi="Calibri" w:cs="Calibri"/>
                <w:sz w:val="18"/>
                <w:szCs w:val="18"/>
              </w:rPr>
              <w:t> </w:t>
            </w:r>
          </w:p>
          <w:p w14:paraId="77BD0408" w14:textId="1341B2FB" w:rsidR="00875D9F" w:rsidRPr="00FB04C3" w:rsidRDefault="00875D9F" w:rsidP="00875D9F">
            <w:pPr>
              <w:tabs>
                <w:tab w:val="right" w:pos="932"/>
                <w:tab w:val="left" w:pos="1168"/>
              </w:tabs>
              <w:jc w:val="right"/>
              <w:rPr>
                <w:rFonts w:ascii="Calibri" w:hAnsi="Calibri" w:cs="Calibri"/>
                <w:sz w:val="18"/>
                <w:szCs w:val="18"/>
              </w:rPr>
            </w:pPr>
            <w:r w:rsidRPr="00875D9F">
              <w:rPr>
                <w:rFonts w:ascii="Calibri" w:hAnsi="Calibri" w:cs="Calibri"/>
                <w:sz w:val="18"/>
                <w:szCs w:val="18"/>
                <w:lang w:val="fr-FR" w:eastAsia="en-GB"/>
              </w:rPr>
              <w:t>B</w:t>
            </w:r>
            <w:r w:rsidRPr="00875D9F">
              <w:rPr>
                <w:rFonts w:ascii="Calibri" w:hAnsi="Calibri" w:cs="Calibri"/>
                <w:sz w:val="18"/>
                <w:szCs w:val="18"/>
                <w:vertAlign w:val="subscript"/>
                <w:lang w:val="fr-FR" w:eastAsia="en-GB"/>
              </w:rPr>
              <w:t>2023</w:t>
            </w:r>
            <w:r w:rsidRPr="00875D9F">
              <w:rPr>
                <w:rFonts w:ascii="Calibri" w:hAnsi="Calibri" w:cs="Calibri"/>
                <w:sz w:val="18"/>
                <w:szCs w:val="18"/>
                <w:lang w:val="fr-FR" w:eastAsia="en-GB"/>
              </w:rPr>
              <w:t>/BMSY (80% CI) :</w:t>
            </w:r>
            <w:r w:rsidRPr="00875D9F">
              <w:rPr>
                <w:rFonts w:ascii="Calibri" w:hAnsi="Calibri" w:cs="Calibri"/>
                <w:sz w:val="18"/>
                <w:szCs w:val="18"/>
                <w:lang w:val="fr-FR"/>
              </w:rPr>
              <w:t xml:space="preserve"> </w:t>
            </w:r>
            <w:r w:rsidRPr="00FB04C3">
              <w:rPr>
                <w:rFonts w:ascii="Calibri" w:hAnsi="Calibri" w:cs="Calibri"/>
                <w:sz w:val="18"/>
                <w:szCs w:val="18"/>
                <w:lang w:val="fr-FR"/>
              </w:rPr>
              <w:t>0.62 (0.48 – 0.78)</w:t>
            </w:r>
            <w:r w:rsidRPr="00FB04C3">
              <w:rPr>
                <w:rFonts w:ascii="Calibri" w:hAnsi="Calibri" w:cs="Calibri"/>
                <w:sz w:val="18"/>
                <w:szCs w:val="18"/>
              </w:rPr>
              <w:t> </w:t>
            </w:r>
          </w:p>
          <w:p w14:paraId="1F737F0D" w14:textId="4B6FF928" w:rsidR="00875D9F" w:rsidRPr="00FB04C3" w:rsidRDefault="00875D9F" w:rsidP="00875D9F">
            <w:pPr>
              <w:tabs>
                <w:tab w:val="right" w:pos="932"/>
                <w:tab w:val="left" w:pos="1168"/>
              </w:tabs>
              <w:jc w:val="right"/>
              <w:rPr>
                <w:rFonts w:ascii="Calibri" w:hAnsi="Calibri" w:cs="Calibri"/>
                <w:sz w:val="18"/>
                <w:szCs w:val="18"/>
                <w:lang w:val="en-AU"/>
              </w:rPr>
            </w:pPr>
            <w:r w:rsidRPr="00875D9F">
              <w:rPr>
                <w:rFonts w:ascii="Calibri" w:hAnsi="Calibri" w:cs="Calibri"/>
                <w:sz w:val="18"/>
                <w:szCs w:val="18"/>
                <w:lang w:val="fr-FR" w:eastAsia="en-GB"/>
              </w:rPr>
              <w:t>B</w:t>
            </w:r>
            <w:r w:rsidRPr="00875D9F">
              <w:rPr>
                <w:rFonts w:ascii="Calibri" w:hAnsi="Calibri" w:cs="Calibri"/>
                <w:sz w:val="18"/>
                <w:szCs w:val="18"/>
                <w:vertAlign w:val="subscript"/>
                <w:lang w:val="fr-FR" w:eastAsia="en-GB"/>
              </w:rPr>
              <w:t>2023</w:t>
            </w:r>
            <w:r w:rsidRPr="00875D9F">
              <w:rPr>
                <w:rFonts w:ascii="Calibri" w:hAnsi="Calibri" w:cs="Calibri"/>
                <w:sz w:val="18"/>
                <w:szCs w:val="18"/>
                <w:lang w:val="fr-FR" w:eastAsia="en-GB"/>
              </w:rPr>
              <w:t>/B0 (80% CI):</w:t>
            </w:r>
            <w:r w:rsidRPr="00875D9F">
              <w:rPr>
                <w:rFonts w:ascii="Calibri" w:hAnsi="Calibri" w:cs="Calibri"/>
                <w:sz w:val="18"/>
                <w:szCs w:val="18"/>
                <w:lang w:val="fr-FR"/>
              </w:rPr>
              <w:t xml:space="preserve"> </w:t>
            </w:r>
            <w:r w:rsidRPr="00FB04C3">
              <w:rPr>
                <w:rFonts w:ascii="Calibri" w:hAnsi="Calibri" w:cs="Calibri"/>
                <w:sz w:val="18"/>
                <w:szCs w:val="18"/>
                <w:lang w:val="fr-FR"/>
              </w:rPr>
              <w:t>0.23 (0.18 – 0.29)</w:t>
            </w:r>
          </w:p>
        </w:tc>
        <w:tc>
          <w:tcPr>
            <w:tcW w:w="607" w:type="dxa"/>
            <w:tcBorders>
              <w:left w:val="single" w:sz="4" w:space="0" w:color="000000" w:themeColor="text1"/>
              <w:right w:val="single" w:sz="4" w:space="0" w:color="000000" w:themeColor="text1"/>
            </w:tcBorders>
            <w:shd w:val="clear" w:color="auto" w:fill="FF0000"/>
            <w:vAlign w:val="center"/>
          </w:tcPr>
          <w:p w14:paraId="334983BC" w14:textId="77777777" w:rsidR="00875D9F" w:rsidRPr="002C2CF8" w:rsidRDefault="00875D9F" w:rsidP="00875D9F">
            <w:pPr>
              <w:jc w:val="center"/>
              <w:rPr>
                <w:rFonts w:ascii="Calibri" w:hAnsi="Calibri" w:cs="Calibri"/>
                <w:sz w:val="16"/>
                <w:szCs w:val="16"/>
                <w:lang w:val="en-AU" w:eastAsia="en-US"/>
              </w:rPr>
            </w:pPr>
          </w:p>
        </w:tc>
        <w:tc>
          <w:tcPr>
            <w:tcW w:w="611" w:type="dxa"/>
            <w:tcBorders>
              <w:left w:val="single" w:sz="4" w:space="0" w:color="000000" w:themeColor="text1"/>
              <w:right w:val="single" w:sz="4" w:space="0" w:color="000000" w:themeColor="text1"/>
            </w:tcBorders>
            <w:shd w:val="clear" w:color="auto" w:fill="FF0000"/>
            <w:vAlign w:val="center"/>
          </w:tcPr>
          <w:p w14:paraId="264FA215" w14:textId="564F5F9D" w:rsidR="00875D9F" w:rsidRPr="00875D9F" w:rsidRDefault="00875D9F" w:rsidP="00875D9F">
            <w:pPr>
              <w:jc w:val="center"/>
              <w:rPr>
                <w:rFonts w:ascii="Calibri" w:hAnsi="Calibri" w:cs="Calibri"/>
                <w:b/>
                <w:bCs/>
                <w:i/>
                <w:iCs/>
                <w:sz w:val="18"/>
                <w:szCs w:val="16"/>
                <w:lang w:val="en-AU" w:eastAsia="en-US"/>
              </w:rPr>
            </w:pPr>
            <w:r w:rsidRPr="00875D9F">
              <w:rPr>
                <w:rFonts w:ascii="Calibri" w:hAnsi="Calibri" w:cs="Calibri"/>
                <w:b/>
                <w:bCs/>
                <w:i/>
                <w:iCs/>
                <w:sz w:val="18"/>
                <w:szCs w:val="16"/>
                <w:lang w:val="en-AU" w:eastAsia="en-US"/>
              </w:rPr>
              <w:t>100%</w:t>
            </w:r>
          </w:p>
        </w:tc>
        <w:tc>
          <w:tcPr>
            <w:tcW w:w="622" w:type="dxa"/>
            <w:tcBorders>
              <w:left w:val="single" w:sz="4" w:space="0" w:color="000000" w:themeColor="text1"/>
              <w:right w:val="single" w:sz="4" w:space="0" w:color="000000" w:themeColor="text1"/>
            </w:tcBorders>
            <w:shd w:val="clear" w:color="auto" w:fill="FF0000"/>
            <w:vAlign w:val="center"/>
          </w:tcPr>
          <w:p w14:paraId="5809D0DA" w14:textId="77777777" w:rsidR="00875D9F" w:rsidRPr="002C2CF8" w:rsidRDefault="00875D9F" w:rsidP="00875D9F">
            <w:pPr>
              <w:jc w:val="center"/>
              <w:rPr>
                <w:rFonts w:ascii="Calibri" w:hAnsi="Calibri" w:cs="Calibri"/>
                <w:color w:val="FF0000"/>
                <w:sz w:val="18"/>
                <w:szCs w:val="16"/>
                <w:lang w:val="en-AU" w:eastAsia="en-US"/>
              </w:rPr>
            </w:pPr>
          </w:p>
        </w:tc>
        <w:tc>
          <w:tcPr>
            <w:tcW w:w="635" w:type="dxa"/>
            <w:tcBorders>
              <w:left w:val="single" w:sz="4" w:space="0" w:color="000000" w:themeColor="text1"/>
              <w:right w:val="single" w:sz="4" w:space="0" w:color="000000" w:themeColor="text1"/>
            </w:tcBorders>
            <w:shd w:val="clear" w:color="auto" w:fill="FF0000"/>
            <w:vAlign w:val="center"/>
          </w:tcPr>
          <w:p w14:paraId="79615A43" w14:textId="41581413" w:rsidR="00875D9F" w:rsidRPr="003545A6" w:rsidRDefault="00875D9F" w:rsidP="00875D9F">
            <w:pPr>
              <w:jc w:val="center"/>
              <w:rPr>
                <w:rFonts w:ascii="Calibri" w:hAnsi="Calibri" w:cs="Calibri"/>
                <w:b/>
                <w:sz w:val="18"/>
                <w:szCs w:val="18"/>
                <w:lang w:val="fr-FR" w:eastAsia="en-US"/>
              </w:rPr>
            </w:pPr>
          </w:p>
        </w:tc>
        <w:tc>
          <w:tcPr>
            <w:tcW w:w="669" w:type="dxa"/>
            <w:tcBorders>
              <w:left w:val="single" w:sz="4" w:space="0" w:color="000000" w:themeColor="text1"/>
              <w:right w:val="single" w:sz="4" w:space="0" w:color="000000" w:themeColor="text1"/>
            </w:tcBorders>
            <w:shd w:val="clear" w:color="auto" w:fill="FF0000"/>
            <w:vAlign w:val="center"/>
          </w:tcPr>
          <w:p w14:paraId="6BD96E8F" w14:textId="6AC7656D" w:rsidR="00875D9F" w:rsidRPr="003545A6" w:rsidRDefault="00875D9F" w:rsidP="00875D9F">
            <w:pPr>
              <w:autoSpaceDE w:val="0"/>
              <w:autoSpaceDN w:val="0"/>
              <w:adjustRightInd w:val="0"/>
              <w:spacing w:before="120"/>
              <w:jc w:val="center"/>
              <w:rPr>
                <w:rFonts w:ascii="Calibri" w:hAnsi="Calibri" w:cs="Calibri"/>
                <w:b/>
                <w:i/>
                <w:color w:val="FFFFFF" w:themeColor="background1"/>
                <w:sz w:val="18"/>
                <w:szCs w:val="18"/>
              </w:rPr>
            </w:pPr>
            <w:r>
              <w:rPr>
                <w:rFonts w:ascii="Calibri" w:hAnsi="Calibri" w:cs="Calibri"/>
                <w:b/>
                <w:i/>
                <w:sz w:val="18"/>
                <w:szCs w:val="18"/>
              </w:rPr>
              <w:t>97.4</w:t>
            </w:r>
            <w:r w:rsidRPr="00BC35E9">
              <w:rPr>
                <w:rFonts w:ascii="Calibri" w:hAnsi="Calibri" w:cs="Calibri"/>
                <w:b/>
                <w:i/>
                <w:sz w:val="18"/>
                <w:szCs w:val="18"/>
              </w:rPr>
              <w:t>%</w:t>
            </w:r>
          </w:p>
        </w:tc>
        <w:tc>
          <w:tcPr>
            <w:tcW w:w="7633" w:type="dxa"/>
            <w:tcBorders>
              <w:left w:val="single" w:sz="4" w:space="0" w:color="000000" w:themeColor="text1"/>
              <w:right w:val="single" w:sz="4" w:space="0" w:color="000000" w:themeColor="text1"/>
            </w:tcBorders>
          </w:tcPr>
          <w:p w14:paraId="58F32451" w14:textId="2E9F1083" w:rsidR="00875D9F" w:rsidRPr="003545A6" w:rsidRDefault="00875D9F" w:rsidP="00875D9F">
            <w:pPr>
              <w:autoSpaceDE w:val="0"/>
              <w:autoSpaceDN w:val="0"/>
              <w:adjustRightInd w:val="0"/>
              <w:spacing w:before="120"/>
              <w:jc w:val="both"/>
              <w:rPr>
                <w:rFonts w:ascii="Calibri" w:hAnsi="Calibri" w:cs="Calibri"/>
                <w:sz w:val="18"/>
                <w:szCs w:val="18"/>
              </w:rPr>
            </w:pPr>
            <w:r w:rsidRPr="3F1DEBE1">
              <w:rPr>
                <w:rFonts w:ascii="Calibri" w:hAnsi="Calibri" w:cs="Calibri"/>
                <w:b/>
                <w:bCs/>
                <w:i/>
                <w:iCs/>
                <w:color w:val="000000" w:themeColor="text1"/>
                <w:sz w:val="18"/>
                <w:szCs w:val="18"/>
              </w:rPr>
              <w:t>Stock status.</w:t>
            </w:r>
            <w:r w:rsidRPr="3F1DEBE1">
              <w:rPr>
                <w:rFonts w:ascii="Calibri" w:hAnsi="Calibri" w:cs="Calibri"/>
                <w:sz w:val="18"/>
                <w:szCs w:val="18"/>
              </w:rPr>
              <w:t xml:space="preserve"> </w:t>
            </w:r>
            <w:r w:rsidRPr="006F429F">
              <w:rPr>
                <w:rFonts w:ascii="Calibri" w:hAnsi="Calibri" w:cs="Calibri"/>
                <w:sz w:val="18"/>
                <w:szCs w:val="18"/>
              </w:rPr>
              <w:t xml:space="preserve">A new stock assessment was carried out for blue marlin in 2025 using two different models: JABBA, a Bayesian state-space production model (age-aggregated); and SS3, an integrated model (age-structured) (using data up to 2023). Uncertainty in the biological parameters and the parameterisation of the SS3 model is still evident and as such the JABBA model (B2023/BMSY = 0.62, F2023/FMSY =1.54) was selected as the base case. Both models were consistent with regards to stock status, although the SS3 model was less pessimistic. On the weight-of-evidence available in 2025, the stock is determined to be </w:t>
            </w:r>
            <w:r w:rsidRPr="006F429F">
              <w:rPr>
                <w:rFonts w:ascii="Calibri" w:hAnsi="Calibri" w:cs="Calibri"/>
                <w:b/>
                <w:bCs/>
                <w:i/>
                <w:iCs/>
                <w:sz w:val="18"/>
                <w:szCs w:val="18"/>
              </w:rPr>
              <w:t>overfished</w:t>
            </w:r>
            <w:r w:rsidRPr="006F429F">
              <w:rPr>
                <w:rFonts w:ascii="Calibri" w:hAnsi="Calibri" w:cs="Calibri"/>
                <w:sz w:val="18"/>
                <w:szCs w:val="18"/>
              </w:rPr>
              <w:t xml:space="preserve"> and </w:t>
            </w:r>
            <w:r w:rsidRPr="006F429F">
              <w:rPr>
                <w:rFonts w:ascii="Calibri" w:hAnsi="Calibri" w:cs="Calibri"/>
                <w:b/>
                <w:bCs/>
                <w:i/>
                <w:iCs/>
                <w:sz w:val="18"/>
                <w:szCs w:val="18"/>
              </w:rPr>
              <w:t>subject to overfishing</w:t>
            </w:r>
            <w:r w:rsidRPr="3F1DEBE1">
              <w:rPr>
                <w:rFonts w:ascii="Calibri" w:hAnsi="Calibri" w:cs="Calibri"/>
                <w:sz w:val="18"/>
                <w:szCs w:val="18"/>
              </w:rPr>
              <w:t>.</w:t>
            </w:r>
            <w:r w:rsidRPr="3F1DEBE1">
              <w:rPr>
                <w:rFonts w:ascii="Calibri" w:hAnsi="Calibri" w:cs="Calibri"/>
                <w:color w:val="000000" w:themeColor="text1"/>
                <w:sz w:val="18"/>
                <w:szCs w:val="18"/>
              </w:rPr>
              <w:t xml:space="preserve">   </w:t>
            </w:r>
          </w:p>
          <w:p w14:paraId="41ADF1E0" w14:textId="77777777" w:rsidR="00875D9F" w:rsidRPr="003545A6" w:rsidRDefault="00875D9F" w:rsidP="00875D9F">
            <w:pPr>
              <w:autoSpaceDE w:val="0"/>
              <w:autoSpaceDN w:val="0"/>
              <w:adjustRightInd w:val="0"/>
              <w:jc w:val="both"/>
              <w:rPr>
                <w:rFonts w:ascii="Calibri" w:hAnsi="Calibri" w:cs="Calibri"/>
                <w:color w:val="000000"/>
                <w:sz w:val="18"/>
                <w:szCs w:val="18"/>
              </w:rPr>
            </w:pPr>
          </w:p>
          <w:p w14:paraId="3912B0F8" w14:textId="77777777" w:rsidR="00875D9F" w:rsidRDefault="00875D9F" w:rsidP="00875D9F">
            <w:pPr>
              <w:spacing w:before="120" w:after="120"/>
              <w:jc w:val="both"/>
              <w:rPr>
                <w:rFonts w:ascii="Calibri" w:hAnsi="Calibri" w:cs="Calibri"/>
                <w:sz w:val="18"/>
                <w:szCs w:val="18"/>
              </w:rPr>
            </w:pPr>
            <w:r w:rsidRPr="3F1DEBE1">
              <w:rPr>
                <w:rFonts w:ascii="Calibri" w:hAnsi="Calibri" w:cs="Calibri"/>
                <w:b/>
                <w:bCs/>
                <w:i/>
                <w:iCs/>
                <w:sz w:val="18"/>
                <w:szCs w:val="18"/>
              </w:rPr>
              <w:t xml:space="preserve">Management advice. </w:t>
            </w:r>
            <w:r w:rsidRPr="00E41E49">
              <w:rPr>
                <w:rFonts w:ascii="Calibri" w:hAnsi="Calibri" w:cs="Calibri"/>
                <w:sz w:val="18"/>
                <w:szCs w:val="18"/>
              </w:rPr>
              <w:t xml:space="preserve">The current catches of blue marlin (average of 7,262 t in the last 3 years, 2021-2023) are lower than MSY (8,351 t). The stock is currently </w:t>
            </w:r>
            <w:r w:rsidRPr="00E41E49">
              <w:rPr>
                <w:rFonts w:ascii="Calibri" w:hAnsi="Calibri" w:cs="Calibri"/>
                <w:b/>
                <w:bCs/>
                <w:sz w:val="18"/>
                <w:szCs w:val="18"/>
              </w:rPr>
              <w:t>overfished</w:t>
            </w:r>
            <w:r w:rsidRPr="00E41E49">
              <w:rPr>
                <w:rFonts w:ascii="Calibri" w:hAnsi="Calibri" w:cs="Calibri"/>
                <w:sz w:val="18"/>
                <w:szCs w:val="18"/>
              </w:rPr>
              <w:t xml:space="preserve"> and </w:t>
            </w:r>
            <w:r w:rsidRPr="00E41E49">
              <w:rPr>
                <w:rFonts w:ascii="Calibri" w:hAnsi="Calibri" w:cs="Calibri"/>
                <w:b/>
                <w:bCs/>
                <w:sz w:val="18"/>
                <w:szCs w:val="18"/>
              </w:rPr>
              <w:t>subject to overfishing</w:t>
            </w:r>
            <w:r w:rsidRPr="00E41E49">
              <w:rPr>
                <w:rFonts w:ascii="Calibri" w:hAnsi="Calibri" w:cs="Calibri"/>
                <w:sz w:val="18"/>
                <w:szCs w:val="18"/>
              </w:rPr>
              <w:t>, and according to the KOBE plot (</w:t>
            </w:r>
            <w:r w:rsidRPr="00E41E49">
              <w:rPr>
                <w:rFonts w:ascii="Calibri" w:hAnsi="Calibri" w:cs="Calibri"/>
                <w:b/>
                <w:bCs/>
                <w:sz w:val="18"/>
                <w:szCs w:val="18"/>
              </w:rPr>
              <w:t>Fig. 3</w:t>
            </w:r>
            <w:r w:rsidRPr="00E41E49">
              <w:rPr>
                <w:rFonts w:ascii="Calibri" w:hAnsi="Calibri" w:cs="Calibri"/>
                <w:sz w:val="18"/>
                <w:szCs w:val="18"/>
              </w:rPr>
              <w:t>), has been in this state since 2001 (with ~ 80 % CI). According to K2SM calculated (Table 2), a reduction of 20% of catches (5,809 t) compared to the mean of catches from 2021-2023 (7,262 t) would recover the stock to the green quadrant by 2035 with a probability of 64</w:t>
            </w:r>
            <w:r w:rsidRPr="00E41E49">
              <w:rPr>
                <w:rFonts w:ascii="Calibri" w:hAnsi="Calibri" w:cs="Calibri"/>
                <w:sz w:val="18"/>
                <w:szCs w:val="18"/>
                <w:u w:val="single"/>
              </w:rPr>
              <w:t xml:space="preserve"> </w:t>
            </w:r>
            <w:r w:rsidRPr="00E41E49">
              <w:rPr>
                <w:rFonts w:ascii="Calibri" w:hAnsi="Calibri" w:cs="Calibri"/>
                <w:sz w:val="18"/>
                <w:szCs w:val="18"/>
              </w:rPr>
              <w:t>% and if the catches are reduced by 40 % (4,357 t) the probability would be 86 %. The Commission should note that the current catch limit for blue marlin in Resolution 18/05 (11,930 t, which was established as the MSY value estimated in 2016 stock assessment) is 30 % more (3,579 t) than the new MSY estimated by the latest stock assessment in 2025 (8,351 t). Thus, it is recommended that the Commission urgently revise Resolution 18/05 to incorporate limits that reflect the most recent stock assessment and projections and review and strengthen the implementation and effectiveness of the measures contained in this Resolution. </w:t>
            </w:r>
          </w:p>
          <w:p w14:paraId="22E433A1" w14:textId="535BDF6D" w:rsidR="00875D9F" w:rsidRPr="003545A6" w:rsidRDefault="00875D9F" w:rsidP="00875D9F">
            <w:pPr>
              <w:spacing w:before="120" w:after="120"/>
              <w:jc w:val="both"/>
              <w:rPr>
                <w:rFonts w:ascii="Calibri" w:hAnsi="Calibri" w:cs="Calibri"/>
                <w:sz w:val="18"/>
                <w:szCs w:val="18"/>
                <w:lang w:val="en-AU" w:eastAsia="en-US"/>
              </w:rPr>
            </w:pPr>
            <w:r w:rsidRPr="003545A6">
              <w:rPr>
                <w:rFonts w:ascii="Calibri" w:hAnsi="Calibri" w:cs="Calibri"/>
                <w:snapToGrid w:val="0"/>
                <w:sz w:val="18"/>
                <w:szCs w:val="18"/>
                <w:lang w:eastAsia="en-US"/>
              </w:rPr>
              <w:t>Cl</w:t>
            </w:r>
            <w:r w:rsidRPr="003545A6">
              <w:rPr>
                <w:rFonts w:ascii="Calibri" w:hAnsi="Calibri" w:cs="Calibri"/>
                <w:sz w:val="18"/>
                <w:szCs w:val="18"/>
                <w:lang w:eastAsia="en-US"/>
              </w:rPr>
              <w:t xml:space="preserve">ick here for full stock status summary: </w:t>
            </w:r>
            <w:hyperlink w:anchor="APP6" w:history="1">
              <w:r w:rsidRPr="003545A6">
                <w:rPr>
                  <w:rStyle w:val="Hyperlink"/>
                  <w:rFonts w:ascii="Calibri" w:hAnsi="Calibri" w:cs="Calibri"/>
                  <w:sz w:val="18"/>
                  <w:szCs w:val="18"/>
                  <w:lang w:eastAsia="en-US"/>
                </w:rPr>
                <w:t>Appendix VI</w:t>
              </w:r>
            </w:hyperlink>
          </w:p>
        </w:tc>
      </w:tr>
      <w:tr w:rsidR="00875D9F" w:rsidRPr="003545A6" w14:paraId="0D825A66" w14:textId="77777777" w:rsidTr="0666C0EC">
        <w:trPr>
          <w:trHeight w:val="454"/>
        </w:trPr>
        <w:tc>
          <w:tcPr>
            <w:tcW w:w="133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5BCE5ADB" w14:textId="77777777" w:rsidR="00875D9F" w:rsidRPr="003545A6" w:rsidRDefault="00875D9F" w:rsidP="00875D9F">
            <w:pPr>
              <w:spacing w:before="60"/>
              <w:rPr>
                <w:rFonts w:ascii="Calibri" w:hAnsi="Calibri" w:cs="Calibri"/>
                <w:sz w:val="18"/>
                <w:szCs w:val="18"/>
                <w:lang w:eastAsia="en-US"/>
              </w:rPr>
            </w:pPr>
            <w:r w:rsidRPr="003545A6">
              <w:rPr>
                <w:rFonts w:ascii="Calibri" w:hAnsi="Calibri" w:cs="Calibri"/>
                <w:sz w:val="18"/>
                <w:szCs w:val="18"/>
                <w:lang w:eastAsia="en-US"/>
              </w:rPr>
              <w:lastRenderedPageBreak/>
              <w:t>Striped marlin</w:t>
            </w:r>
          </w:p>
          <w:p w14:paraId="16807334" w14:textId="1341893F" w:rsidR="00875D9F" w:rsidRPr="003545A6" w:rsidRDefault="00875D9F" w:rsidP="00875D9F">
            <w:pPr>
              <w:spacing w:before="60"/>
              <w:rPr>
                <w:rFonts w:ascii="Calibri" w:hAnsi="Calibri" w:cs="Calibri"/>
                <w:sz w:val="18"/>
                <w:szCs w:val="18"/>
                <w:lang w:eastAsia="en-US"/>
              </w:rPr>
            </w:pPr>
            <w:r>
              <w:rPr>
                <w:rFonts w:ascii="Calibri" w:hAnsi="Calibri" w:cs="Calibri"/>
                <w:i/>
                <w:sz w:val="18"/>
                <w:szCs w:val="18"/>
                <w:lang w:eastAsia="en-US"/>
              </w:rPr>
              <w:t>Kajikia</w:t>
            </w:r>
            <w:r w:rsidRPr="003545A6">
              <w:rPr>
                <w:rFonts w:ascii="Calibri" w:hAnsi="Calibri" w:cs="Calibri"/>
                <w:i/>
                <w:sz w:val="18"/>
                <w:szCs w:val="18"/>
                <w:lang w:eastAsia="en-US"/>
              </w:rPr>
              <w:t xml:space="preserve"> audax</w:t>
            </w:r>
          </w:p>
        </w:tc>
        <w:tc>
          <w:tcPr>
            <w:tcW w:w="3278"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58D05E17" w14:textId="50B77B07" w:rsidR="00875D9F" w:rsidRPr="00BB48D2" w:rsidRDefault="00875D9F" w:rsidP="00875D9F">
            <w:pPr>
              <w:tabs>
                <w:tab w:val="right" w:pos="932"/>
                <w:tab w:val="left" w:pos="1168"/>
              </w:tabs>
              <w:spacing w:before="120"/>
              <w:jc w:val="right"/>
              <w:rPr>
                <w:rFonts w:ascii="Calibri" w:hAnsi="Calibri" w:cs="Calibri"/>
                <w:sz w:val="18"/>
                <w:szCs w:val="18"/>
                <w:lang w:val="en-AU" w:eastAsia="en-GB"/>
              </w:rPr>
            </w:pPr>
            <w:r w:rsidRPr="00BB48D2">
              <w:rPr>
                <w:rFonts w:ascii="Calibri" w:hAnsi="Calibri" w:cs="Calibri"/>
                <w:sz w:val="18"/>
                <w:szCs w:val="18"/>
                <w:lang w:val="en-AU" w:eastAsia="en-GB"/>
              </w:rPr>
              <w:t>Catch 2023:</w:t>
            </w:r>
            <w:r w:rsidRPr="00BB48D2">
              <w:rPr>
                <w:rFonts w:ascii="Calibri" w:hAnsi="Calibri" w:cs="Calibri"/>
                <w:lang w:val="en-AU"/>
              </w:rPr>
              <w:t xml:space="preserve"> </w:t>
            </w:r>
            <w:r w:rsidRPr="00BB48D2">
              <w:rPr>
                <w:rFonts w:ascii="Calibri" w:hAnsi="Calibri" w:cs="Calibri"/>
                <w:sz w:val="18"/>
                <w:szCs w:val="18"/>
                <w:lang w:val="en-AU" w:eastAsia="en-GB"/>
              </w:rPr>
              <w:t>3,556</w:t>
            </w:r>
          </w:p>
          <w:p w14:paraId="4CB68E24" w14:textId="5EC6995F" w:rsidR="00875D9F" w:rsidRPr="00BB48D2" w:rsidRDefault="00875D9F" w:rsidP="00875D9F">
            <w:pPr>
              <w:tabs>
                <w:tab w:val="right" w:pos="932"/>
                <w:tab w:val="left" w:pos="1168"/>
              </w:tabs>
              <w:jc w:val="right"/>
              <w:rPr>
                <w:rFonts w:ascii="Calibri" w:hAnsi="Calibri" w:cs="Calibri"/>
                <w:sz w:val="18"/>
                <w:szCs w:val="18"/>
                <w:lang w:val="en-AU" w:eastAsia="en-GB"/>
              </w:rPr>
            </w:pPr>
            <w:r w:rsidRPr="00BB48D2">
              <w:rPr>
                <w:rFonts w:ascii="Calibri" w:hAnsi="Calibri" w:cs="Calibri"/>
                <w:sz w:val="18"/>
                <w:szCs w:val="18"/>
                <w:lang w:val="en-AU" w:eastAsia="en-GB"/>
              </w:rPr>
              <w:t>Average catch 2019–2023:</w:t>
            </w:r>
            <w:r w:rsidRPr="00BB48D2">
              <w:rPr>
                <w:rFonts w:ascii="Calibri" w:hAnsi="Calibri" w:cs="Calibri"/>
                <w:lang w:val="en-AU"/>
              </w:rPr>
              <w:t xml:space="preserve"> </w:t>
            </w:r>
            <w:r w:rsidRPr="00BB48D2">
              <w:rPr>
                <w:rFonts w:ascii="Calibri" w:hAnsi="Calibri" w:cs="Calibri"/>
                <w:sz w:val="18"/>
                <w:szCs w:val="18"/>
                <w:lang w:val="en-AU" w:eastAsia="en-GB"/>
              </w:rPr>
              <w:t>3,017 t</w:t>
            </w:r>
          </w:p>
          <w:p w14:paraId="4A2B6218" w14:textId="43E7ADCF" w:rsidR="00875D9F" w:rsidRPr="003545A6" w:rsidRDefault="00875D9F" w:rsidP="00875D9F">
            <w:pPr>
              <w:tabs>
                <w:tab w:val="right" w:pos="932"/>
                <w:tab w:val="left" w:pos="1168"/>
              </w:tabs>
              <w:jc w:val="right"/>
              <w:rPr>
                <w:rFonts w:ascii="Calibri" w:hAnsi="Calibri" w:cs="Calibri"/>
                <w:sz w:val="18"/>
                <w:szCs w:val="18"/>
                <w:lang w:val="it-IT"/>
              </w:rPr>
            </w:pPr>
            <w:r w:rsidRPr="3F1DEBE1">
              <w:rPr>
                <w:rFonts w:ascii="Calibri" w:hAnsi="Calibri" w:cs="Calibri"/>
                <w:sz w:val="18"/>
                <w:szCs w:val="18"/>
                <w:lang w:val="it-IT"/>
              </w:rPr>
              <w:t>MSY (1,000 t) (JABBA):</w:t>
            </w:r>
            <w:r w:rsidRPr="00BB48D2">
              <w:rPr>
                <w:rFonts w:ascii="Calibri" w:hAnsi="Calibri" w:cs="Calibri"/>
                <w:lang w:val="en-AU"/>
              </w:rPr>
              <w:t xml:space="preserve"> </w:t>
            </w:r>
            <w:r w:rsidRPr="3F1DEBE1">
              <w:rPr>
                <w:rFonts w:ascii="Calibri" w:hAnsi="Calibri" w:cs="Calibri"/>
                <w:sz w:val="18"/>
                <w:szCs w:val="18"/>
                <w:lang w:val="it-IT"/>
              </w:rPr>
              <w:t>4.73 (4.22–5.24)</w:t>
            </w:r>
          </w:p>
          <w:p w14:paraId="1ECC57A2" w14:textId="1DA1B89A" w:rsidR="00875D9F" w:rsidRPr="003545A6" w:rsidRDefault="00875D9F" w:rsidP="00875D9F">
            <w:pPr>
              <w:tabs>
                <w:tab w:val="right" w:pos="932"/>
                <w:tab w:val="left" w:pos="1168"/>
              </w:tabs>
              <w:jc w:val="right"/>
              <w:rPr>
                <w:rFonts w:ascii="Calibri" w:hAnsi="Calibri" w:cs="Calibri"/>
                <w:sz w:val="18"/>
                <w:szCs w:val="18"/>
                <w:lang w:val="it-IT"/>
              </w:rPr>
            </w:pPr>
            <w:r w:rsidRPr="3F1DEBE1">
              <w:rPr>
                <w:rFonts w:ascii="Calibri" w:hAnsi="Calibri" w:cs="Calibri"/>
                <w:sz w:val="18"/>
                <w:szCs w:val="18"/>
                <w:lang w:val="it-IT"/>
              </w:rPr>
              <w:t>MSY (1,000 t) (SS3):</w:t>
            </w:r>
            <w:r w:rsidRPr="00BB48D2">
              <w:rPr>
                <w:rFonts w:ascii="Calibri" w:hAnsi="Calibri" w:cs="Calibri"/>
                <w:lang w:val="en-AU"/>
              </w:rPr>
              <w:t xml:space="preserve"> </w:t>
            </w:r>
            <w:r w:rsidRPr="3F1DEBE1">
              <w:rPr>
                <w:rFonts w:ascii="Calibri" w:hAnsi="Calibri" w:cs="Calibri"/>
                <w:sz w:val="18"/>
                <w:szCs w:val="18"/>
                <w:lang w:val="it-IT"/>
              </w:rPr>
              <w:t>4.</w:t>
            </w:r>
            <w:r>
              <w:rPr>
                <w:rFonts w:ascii="Calibri" w:hAnsi="Calibri" w:cs="Calibri"/>
                <w:sz w:val="18"/>
                <w:szCs w:val="18"/>
                <w:lang w:val="it-IT"/>
              </w:rPr>
              <w:t>89</w:t>
            </w:r>
            <w:r w:rsidRPr="3F1DEBE1">
              <w:rPr>
                <w:rFonts w:ascii="Calibri" w:hAnsi="Calibri" w:cs="Calibri"/>
                <w:sz w:val="18"/>
                <w:szCs w:val="18"/>
                <w:lang w:val="it-IT"/>
              </w:rPr>
              <w:t xml:space="preserve"> (4.</w:t>
            </w:r>
            <w:r>
              <w:rPr>
                <w:rFonts w:ascii="Calibri" w:hAnsi="Calibri" w:cs="Calibri"/>
                <w:sz w:val="18"/>
                <w:szCs w:val="18"/>
                <w:lang w:val="it-IT"/>
              </w:rPr>
              <w:t>48</w:t>
            </w:r>
            <w:r w:rsidRPr="3F1DEBE1">
              <w:rPr>
                <w:rFonts w:ascii="Calibri" w:hAnsi="Calibri" w:cs="Calibri"/>
                <w:sz w:val="18"/>
                <w:szCs w:val="18"/>
                <w:lang w:val="it-IT"/>
              </w:rPr>
              <w:t xml:space="preserve"> – 5.</w:t>
            </w:r>
            <w:r>
              <w:rPr>
                <w:rFonts w:ascii="Calibri" w:hAnsi="Calibri" w:cs="Calibri"/>
                <w:sz w:val="18"/>
                <w:szCs w:val="18"/>
                <w:lang w:val="it-IT"/>
              </w:rPr>
              <w:t>30</w:t>
            </w:r>
            <w:r w:rsidRPr="3F1DEBE1">
              <w:rPr>
                <w:rFonts w:ascii="Calibri" w:hAnsi="Calibri" w:cs="Calibri"/>
                <w:sz w:val="18"/>
                <w:szCs w:val="18"/>
                <w:lang w:val="it-IT"/>
              </w:rPr>
              <w:t>)</w:t>
            </w:r>
          </w:p>
          <w:p w14:paraId="7D5EFCE5" w14:textId="489C4B63" w:rsidR="00875D9F" w:rsidRPr="003545A6" w:rsidRDefault="00875D9F" w:rsidP="00875D9F">
            <w:pPr>
              <w:tabs>
                <w:tab w:val="right" w:pos="932"/>
                <w:tab w:val="left" w:pos="1168"/>
              </w:tabs>
              <w:jc w:val="right"/>
              <w:rPr>
                <w:rFonts w:ascii="Calibri" w:hAnsi="Calibri" w:cs="Calibri"/>
                <w:sz w:val="18"/>
                <w:szCs w:val="18"/>
              </w:rPr>
            </w:pPr>
            <w:r w:rsidRPr="3F1DEBE1">
              <w:rPr>
                <w:rFonts w:ascii="Calibri" w:hAnsi="Calibri" w:cs="Calibri"/>
                <w:sz w:val="18"/>
                <w:szCs w:val="18"/>
                <w:lang w:val="it-IT"/>
              </w:rPr>
              <w:t>F</w:t>
            </w:r>
            <w:r w:rsidRPr="3F1DEBE1">
              <w:rPr>
                <w:rFonts w:ascii="Calibri" w:hAnsi="Calibri" w:cs="Calibri"/>
                <w:sz w:val="18"/>
                <w:szCs w:val="18"/>
                <w:vertAlign w:val="subscript"/>
                <w:lang w:val="it-IT"/>
              </w:rPr>
              <w:t>MSY</w:t>
            </w:r>
            <w:r w:rsidRPr="3F1DEBE1">
              <w:rPr>
                <w:rFonts w:ascii="Calibri" w:hAnsi="Calibri" w:cs="Calibri"/>
                <w:sz w:val="18"/>
                <w:szCs w:val="18"/>
                <w:lang w:val="it-IT"/>
              </w:rPr>
              <w:t xml:space="preserve"> (JABBA):</w:t>
            </w:r>
            <w:r w:rsidRPr="3F1DEBE1">
              <w:rPr>
                <w:rFonts w:ascii="Calibri" w:hAnsi="Calibri" w:cs="Calibri"/>
              </w:rPr>
              <w:t xml:space="preserve"> </w:t>
            </w:r>
            <w:r w:rsidRPr="3F1DEBE1">
              <w:rPr>
                <w:rFonts w:ascii="Calibri" w:hAnsi="Calibri" w:cs="Calibri"/>
                <w:sz w:val="18"/>
                <w:szCs w:val="18"/>
                <w:lang w:val="it-IT"/>
              </w:rPr>
              <w:t>0.26 (0.20–0.35)</w:t>
            </w:r>
          </w:p>
          <w:p w14:paraId="2E60B9E5" w14:textId="2F04F3AD" w:rsidR="00875D9F" w:rsidRPr="003545A6" w:rsidRDefault="00875D9F" w:rsidP="00875D9F">
            <w:pPr>
              <w:tabs>
                <w:tab w:val="right" w:pos="932"/>
                <w:tab w:val="left" w:pos="1168"/>
              </w:tabs>
              <w:jc w:val="right"/>
              <w:rPr>
                <w:rFonts w:ascii="Calibri" w:hAnsi="Calibri" w:cs="Calibri"/>
                <w:sz w:val="18"/>
                <w:szCs w:val="18"/>
              </w:rPr>
            </w:pPr>
            <w:r w:rsidRPr="3F1DEBE1">
              <w:rPr>
                <w:rFonts w:ascii="Calibri" w:hAnsi="Calibri" w:cs="Calibri"/>
                <w:sz w:val="18"/>
                <w:szCs w:val="18"/>
                <w:lang w:val="it-IT"/>
              </w:rPr>
              <w:t>F</w:t>
            </w:r>
            <w:r w:rsidRPr="3F1DEBE1">
              <w:rPr>
                <w:rFonts w:ascii="Calibri" w:hAnsi="Calibri" w:cs="Calibri"/>
                <w:sz w:val="18"/>
                <w:szCs w:val="18"/>
                <w:vertAlign w:val="subscript"/>
                <w:lang w:val="it-IT"/>
              </w:rPr>
              <w:t>MSY</w:t>
            </w:r>
            <w:r w:rsidRPr="3F1DEBE1">
              <w:rPr>
                <w:rFonts w:ascii="Calibri" w:hAnsi="Calibri" w:cs="Calibri"/>
                <w:sz w:val="18"/>
                <w:szCs w:val="18"/>
                <w:lang w:val="it-IT"/>
              </w:rPr>
              <w:t xml:space="preserve"> (SS3):</w:t>
            </w:r>
            <w:r w:rsidRPr="3F1DEBE1">
              <w:rPr>
                <w:rFonts w:ascii="Calibri" w:hAnsi="Calibri" w:cs="Calibri"/>
              </w:rPr>
              <w:t xml:space="preserve"> </w:t>
            </w:r>
            <w:r w:rsidRPr="3F1DEBE1">
              <w:rPr>
                <w:rFonts w:ascii="Calibri" w:hAnsi="Calibri" w:cs="Calibri"/>
                <w:sz w:val="18"/>
                <w:szCs w:val="18"/>
                <w:lang w:val="it-IT"/>
              </w:rPr>
              <w:t>0.22 (0.21–0.24)</w:t>
            </w:r>
          </w:p>
          <w:p w14:paraId="13EF8915" w14:textId="750EEFEC" w:rsidR="00875D9F" w:rsidRPr="003545A6" w:rsidRDefault="00875D9F" w:rsidP="00875D9F">
            <w:pPr>
              <w:tabs>
                <w:tab w:val="right" w:pos="932"/>
                <w:tab w:val="left" w:pos="1168"/>
              </w:tabs>
              <w:jc w:val="right"/>
              <w:rPr>
                <w:rFonts w:ascii="Calibri" w:hAnsi="Calibri" w:cs="Calibri"/>
                <w:sz w:val="18"/>
                <w:szCs w:val="18"/>
              </w:rPr>
            </w:pPr>
            <w:r w:rsidRPr="3F1DEBE1">
              <w:rPr>
                <w:rFonts w:ascii="Calibri" w:hAnsi="Calibri" w:cs="Calibri"/>
                <w:sz w:val="18"/>
                <w:szCs w:val="18"/>
                <w:lang w:val="it-IT"/>
              </w:rPr>
              <w:t>F</w:t>
            </w:r>
            <w:r w:rsidRPr="3F1DEBE1">
              <w:rPr>
                <w:rFonts w:ascii="Calibri" w:hAnsi="Calibri" w:cs="Calibri"/>
                <w:sz w:val="18"/>
                <w:szCs w:val="18"/>
                <w:vertAlign w:val="subscript"/>
                <w:lang w:val="it-IT"/>
              </w:rPr>
              <w:t>2022/</w:t>
            </w:r>
            <w:r w:rsidRPr="3F1DEBE1">
              <w:rPr>
                <w:rFonts w:ascii="Calibri" w:hAnsi="Calibri" w:cs="Calibri"/>
                <w:sz w:val="18"/>
                <w:szCs w:val="18"/>
                <w:lang w:val="it-IT"/>
              </w:rPr>
              <w:t>F</w:t>
            </w:r>
            <w:r w:rsidRPr="3F1DEBE1">
              <w:rPr>
                <w:rFonts w:ascii="Calibri" w:hAnsi="Calibri" w:cs="Calibri"/>
                <w:sz w:val="18"/>
                <w:szCs w:val="18"/>
                <w:vertAlign w:val="subscript"/>
                <w:lang w:val="it-IT"/>
              </w:rPr>
              <w:t xml:space="preserve">MSY </w:t>
            </w:r>
            <w:r w:rsidRPr="3F1DEBE1">
              <w:rPr>
                <w:rFonts w:ascii="Calibri" w:hAnsi="Calibri" w:cs="Calibri"/>
                <w:sz w:val="18"/>
                <w:szCs w:val="18"/>
                <w:lang w:val="it-IT"/>
              </w:rPr>
              <w:t>(JABBA):</w:t>
            </w:r>
            <w:r w:rsidRPr="3F1DEBE1">
              <w:rPr>
                <w:rFonts w:ascii="Calibri" w:hAnsi="Calibri" w:cs="Calibri"/>
              </w:rPr>
              <w:t xml:space="preserve"> </w:t>
            </w:r>
            <w:r w:rsidRPr="3F1DEBE1">
              <w:rPr>
                <w:rFonts w:ascii="Calibri" w:hAnsi="Calibri" w:cs="Calibri"/>
                <w:sz w:val="18"/>
                <w:szCs w:val="18"/>
                <w:lang w:val="it-IT"/>
              </w:rPr>
              <w:t>3.95 (2.54</w:t>
            </w:r>
            <w:r w:rsidRPr="00BB48D2">
              <w:rPr>
                <w:rFonts w:ascii="Calibri" w:hAnsi="Calibri" w:cs="Calibri"/>
                <w:sz w:val="18"/>
                <w:szCs w:val="18"/>
                <w:lang w:val="en-AU" w:eastAsia="en-GB"/>
              </w:rPr>
              <w:t>–</w:t>
            </w:r>
            <w:r w:rsidRPr="3F1DEBE1">
              <w:rPr>
                <w:rFonts w:ascii="Calibri" w:hAnsi="Calibri" w:cs="Calibri"/>
                <w:sz w:val="18"/>
                <w:szCs w:val="18"/>
                <w:lang w:val="it-IT"/>
              </w:rPr>
              <w:t>6.14)</w:t>
            </w:r>
          </w:p>
          <w:p w14:paraId="2E5BEB9F" w14:textId="679B1181" w:rsidR="00875D9F" w:rsidRPr="003545A6" w:rsidRDefault="00875D9F" w:rsidP="00875D9F">
            <w:pPr>
              <w:tabs>
                <w:tab w:val="right" w:pos="932"/>
                <w:tab w:val="left" w:pos="1168"/>
              </w:tabs>
              <w:jc w:val="right"/>
              <w:rPr>
                <w:rFonts w:ascii="Calibri" w:hAnsi="Calibri" w:cs="Calibri"/>
                <w:sz w:val="18"/>
                <w:szCs w:val="18"/>
              </w:rPr>
            </w:pPr>
            <w:r w:rsidRPr="3F1DEBE1">
              <w:rPr>
                <w:rFonts w:ascii="Calibri" w:hAnsi="Calibri" w:cs="Calibri"/>
                <w:sz w:val="18"/>
                <w:szCs w:val="18"/>
                <w:lang w:val="it-IT"/>
              </w:rPr>
              <w:t>F</w:t>
            </w:r>
            <w:r w:rsidRPr="3F1DEBE1">
              <w:rPr>
                <w:rFonts w:ascii="Calibri" w:hAnsi="Calibri" w:cs="Calibri"/>
                <w:sz w:val="18"/>
                <w:szCs w:val="18"/>
                <w:vertAlign w:val="subscript"/>
                <w:lang w:val="it-IT"/>
              </w:rPr>
              <w:t>2022/</w:t>
            </w:r>
            <w:r w:rsidRPr="3F1DEBE1">
              <w:rPr>
                <w:rFonts w:ascii="Calibri" w:hAnsi="Calibri" w:cs="Calibri"/>
                <w:sz w:val="18"/>
                <w:szCs w:val="18"/>
                <w:lang w:val="it-IT"/>
              </w:rPr>
              <w:t>F</w:t>
            </w:r>
            <w:r w:rsidRPr="3F1DEBE1">
              <w:rPr>
                <w:rFonts w:ascii="Calibri" w:hAnsi="Calibri" w:cs="Calibri"/>
                <w:sz w:val="18"/>
                <w:szCs w:val="18"/>
                <w:vertAlign w:val="subscript"/>
                <w:lang w:val="it-IT"/>
              </w:rPr>
              <w:t xml:space="preserve">MSY </w:t>
            </w:r>
            <w:r w:rsidRPr="3F1DEBE1">
              <w:rPr>
                <w:rFonts w:ascii="Calibri" w:hAnsi="Calibri" w:cs="Calibri"/>
                <w:sz w:val="18"/>
                <w:szCs w:val="18"/>
                <w:lang w:val="it-IT"/>
              </w:rPr>
              <w:t>(SS3):</w:t>
            </w:r>
            <w:r w:rsidRPr="3F1DEBE1">
              <w:rPr>
                <w:rFonts w:ascii="Calibri" w:hAnsi="Calibri" w:cs="Calibri"/>
              </w:rPr>
              <w:t xml:space="preserve"> </w:t>
            </w:r>
            <w:r w:rsidRPr="3F1DEBE1">
              <w:rPr>
                <w:rFonts w:ascii="Calibri" w:hAnsi="Calibri" w:cs="Calibri"/>
                <w:sz w:val="18"/>
                <w:szCs w:val="18"/>
                <w:lang w:val="it-IT"/>
              </w:rPr>
              <w:t>9.26 (5.38</w:t>
            </w:r>
            <w:r w:rsidRPr="00BB48D2">
              <w:rPr>
                <w:rFonts w:ascii="Calibri" w:hAnsi="Calibri" w:cs="Calibri"/>
                <w:sz w:val="18"/>
                <w:szCs w:val="18"/>
                <w:lang w:val="en-AU" w:eastAsia="en-GB"/>
              </w:rPr>
              <w:t>–</w:t>
            </w:r>
            <w:r w:rsidRPr="3F1DEBE1">
              <w:rPr>
                <w:rFonts w:ascii="Calibri" w:hAnsi="Calibri" w:cs="Calibri"/>
                <w:sz w:val="18"/>
                <w:szCs w:val="18"/>
                <w:lang w:val="it-IT"/>
              </w:rPr>
              <w:t>13.14)</w:t>
            </w:r>
          </w:p>
          <w:p w14:paraId="676A97E2" w14:textId="5D9FB256" w:rsidR="00875D9F" w:rsidRPr="003545A6" w:rsidRDefault="00875D9F" w:rsidP="00875D9F">
            <w:pPr>
              <w:tabs>
                <w:tab w:val="right" w:pos="932"/>
                <w:tab w:val="left" w:pos="1168"/>
              </w:tabs>
              <w:jc w:val="right"/>
              <w:rPr>
                <w:rFonts w:ascii="Calibri" w:hAnsi="Calibri" w:cs="Calibri"/>
                <w:sz w:val="18"/>
                <w:szCs w:val="18"/>
              </w:rPr>
            </w:pPr>
            <w:r w:rsidRPr="3F1DEBE1">
              <w:rPr>
                <w:rFonts w:ascii="Calibri" w:hAnsi="Calibri" w:cs="Calibri"/>
                <w:sz w:val="18"/>
                <w:szCs w:val="18"/>
                <w:lang w:val="it-IT"/>
              </w:rPr>
              <w:t>B</w:t>
            </w:r>
            <w:r w:rsidRPr="3F1DEBE1">
              <w:rPr>
                <w:rFonts w:ascii="Calibri" w:hAnsi="Calibri" w:cs="Calibri"/>
                <w:sz w:val="18"/>
                <w:szCs w:val="18"/>
                <w:vertAlign w:val="subscript"/>
                <w:lang w:val="it-IT"/>
              </w:rPr>
              <w:t>2022/</w:t>
            </w:r>
            <w:r w:rsidRPr="3F1DEBE1">
              <w:rPr>
                <w:rFonts w:ascii="Calibri" w:hAnsi="Calibri" w:cs="Calibri"/>
                <w:sz w:val="18"/>
                <w:szCs w:val="18"/>
                <w:lang w:val="it-IT"/>
              </w:rPr>
              <w:t>B</w:t>
            </w:r>
            <w:r w:rsidRPr="3F1DEBE1">
              <w:rPr>
                <w:rFonts w:ascii="Calibri" w:hAnsi="Calibri" w:cs="Calibri"/>
                <w:sz w:val="18"/>
                <w:szCs w:val="18"/>
                <w:vertAlign w:val="subscript"/>
                <w:lang w:val="it-IT"/>
              </w:rPr>
              <w:t xml:space="preserve">MSY </w:t>
            </w:r>
            <w:r w:rsidRPr="3F1DEBE1">
              <w:rPr>
                <w:rFonts w:ascii="Calibri" w:hAnsi="Calibri" w:cs="Calibri"/>
                <w:sz w:val="18"/>
                <w:szCs w:val="18"/>
                <w:lang w:val="it-IT"/>
              </w:rPr>
              <w:t>(JABBA):</w:t>
            </w:r>
            <w:r w:rsidRPr="3F1DEBE1">
              <w:rPr>
                <w:rFonts w:ascii="Calibri" w:hAnsi="Calibri" w:cs="Calibri"/>
              </w:rPr>
              <w:t xml:space="preserve"> </w:t>
            </w:r>
            <w:r w:rsidRPr="3F1DEBE1">
              <w:rPr>
                <w:rFonts w:ascii="Calibri" w:hAnsi="Calibri" w:cs="Calibri"/>
                <w:sz w:val="18"/>
                <w:szCs w:val="18"/>
                <w:lang w:val="it-IT"/>
              </w:rPr>
              <w:t>0.17 (0.11</w:t>
            </w:r>
            <w:r w:rsidRPr="00BB48D2">
              <w:rPr>
                <w:rFonts w:ascii="Calibri" w:hAnsi="Calibri" w:cs="Calibri"/>
                <w:sz w:val="18"/>
                <w:szCs w:val="18"/>
                <w:lang w:val="en-AU" w:eastAsia="en-GB"/>
              </w:rPr>
              <w:t>–</w:t>
            </w:r>
            <w:r w:rsidRPr="3F1DEBE1">
              <w:rPr>
                <w:rFonts w:ascii="Calibri" w:hAnsi="Calibri" w:cs="Calibri"/>
                <w:sz w:val="18"/>
                <w:szCs w:val="18"/>
                <w:lang w:val="it-IT"/>
              </w:rPr>
              <w:t>0.27)</w:t>
            </w:r>
          </w:p>
          <w:p w14:paraId="7F51AE36" w14:textId="7E63A9DB" w:rsidR="00875D9F" w:rsidRPr="00317E19" w:rsidRDefault="00875D9F" w:rsidP="00875D9F">
            <w:pPr>
              <w:tabs>
                <w:tab w:val="right" w:pos="932"/>
                <w:tab w:val="left" w:pos="1168"/>
              </w:tabs>
              <w:jc w:val="right"/>
              <w:rPr>
                <w:rFonts w:ascii="Calibri" w:hAnsi="Calibri" w:cs="Calibri"/>
                <w:sz w:val="18"/>
                <w:szCs w:val="18"/>
              </w:rPr>
            </w:pPr>
            <w:r w:rsidRPr="3F1DEBE1">
              <w:rPr>
                <w:rFonts w:ascii="Calibri" w:hAnsi="Calibri" w:cs="Calibri"/>
                <w:sz w:val="18"/>
                <w:szCs w:val="18"/>
                <w:lang w:val="it-IT"/>
              </w:rPr>
              <w:t>SB</w:t>
            </w:r>
            <w:r w:rsidRPr="3F1DEBE1">
              <w:rPr>
                <w:rFonts w:ascii="Calibri" w:hAnsi="Calibri" w:cs="Calibri"/>
                <w:sz w:val="18"/>
                <w:szCs w:val="18"/>
                <w:vertAlign w:val="subscript"/>
                <w:lang w:val="it-IT"/>
              </w:rPr>
              <w:t>2022</w:t>
            </w:r>
            <w:r w:rsidRPr="3F1DEBE1">
              <w:rPr>
                <w:rFonts w:ascii="Calibri" w:hAnsi="Calibri" w:cs="Calibri"/>
                <w:sz w:val="18"/>
                <w:szCs w:val="18"/>
                <w:lang w:val="it-IT"/>
              </w:rPr>
              <w:t>/SB</w:t>
            </w:r>
            <w:r w:rsidRPr="3F1DEBE1">
              <w:rPr>
                <w:rFonts w:ascii="Calibri" w:hAnsi="Calibri" w:cs="Calibri"/>
                <w:sz w:val="18"/>
                <w:szCs w:val="18"/>
                <w:vertAlign w:val="subscript"/>
                <w:lang w:val="it-IT"/>
              </w:rPr>
              <w:t>MSY</w:t>
            </w:r>
            <w:r w:rsidRPr="3F1DEBE1">
              <w:rPr>
                <w:rFonts w:ascii="Calibri" w:hAnsi="Calibri" w:cs="Calibri"/>
                <w:sz w:val="18"/>
                <w:szCs w:val="18"/>
                <w:lang w:val="it-IT"/>
              </w:rPr>
              <w:t xml:space="preserve"> (SS3):</w:t>
            </w:r>
            <w:r w:rsidRPr="3F1DEBE1">
              <w:rPr>
                <w:rFonts w:ascii="Calibri" w:hAnsi="Calibri" w:cs="Calibri"/>
              </w:rPr>
              <w:t xml:space="preserve"> </w:t>
            </w:r>
            <w:r w:rsidRPr="3F1DEBE1">
              <w:rPr>
                <w:rFonts w:ascii="Calibri" w:hAnsi="Calibri" w:cs="Calibri"/>
                <w:sz w:val="18"/>
                <w:szCs w:val="18"/>
                <w:lang w:val="it-IT"/>
              </w:rPr>
              <w:t>0.27 (0.19</w:t>
            </w:r>
            <w:r w:rsidRPr="00BB48D2">
              <w:rPr>
                <w:rFonts w:ascii="Calibri" w:hAnsi="Calibri" w:cs="Calibri"/>
                <w:sz w:val="18"/>
                <w:szCs w:val="18"/>
                <w:lang w:val="en-AU" w:eastAsia="en-GB"/>
              </w:rPr>
              <w:t>–</w:t>
            </w:r>
            <w:r w:rsidRPr="3F1DEBE1">
              <w:rPr>
                <w:rFonts w:ascii="Calibri" w:hAnsi="Calibri" w:cs="Calibri"/>
                <w:sz w:val="18"/>
                <w:szCs w:val="18"/>
                <w:lang w:val="it-IT"/>
              </w:rPr>
              <w:t>0.35)</w:t>
            </w:r>
          </w:p>
          <w:p w14:paraId="4ECA00D7" w14:textId="2D0ADD7C" w:rsidR="00875D9F" w:rsidRDefault="00875D9F" w:rsidP="00875D9F">
            <w:pPr>
              <w:tabs>
                <w:tab w:val="right" w:pos="932"/>
                <w:tab w:val="left" w:pos="1168"/>
              </w:tabs>
              <w:jc w:val="right"/>
              <w:rPr>
                <w:rFonts w:ascii="Calibri" w:hAnsi="Calibri" w:cs="Calibri"/>
                <w:sz w:val="18"/>
                <w:szCs w:val="18"/>
                <w:lang w:val="it-IT"/>
              </w:rPr>
            </w:pPr>
            <w:r w:rsidRPr="3F1DEBE1">
              <w:rPr>
                <w:rFonts w:ascii="Calibri" w:hAnsi="Calibri" w:cs="Calibri"/>
                <w:sz w:val="18"/>
                <w:szCs w:val="18"/>
                <w:lang w:val="it-IT"/>
              </w:rPr>
              <w:t>B2022/B0(JABBA):</w:t>
            </w:r>
            <w:r>
              <w:t xml:space="preserve"> </w:t>
            </w:r>
            <w:r w:rsidRPr="3F1DEBE1">
              <w:rPr>
                <w:rFonts w:ascii="Calibri" w:hAnsi="Calibri" w:cs="Calibri"/>
                <w:sz w:val="18"/>
                <w:szCs w:val="18"/>
                <w:lang w:val="it-IT"/>
              </w:rPr>
              <w:t xml:space="preserve">0.06 (0.04–0.10) </w:t>
            </w:r>
          </w:p>
          <w:p w14:paraId="67A2C8BD" w14:textId="4F86B75B" w:rsidR="00875D9F" w:rsidRPr="003545A6" w:rsidRDefault="00875D9F" w:rsidP="003F24BC">
            <w:pPr>
              <w:tabs>
                <w:tab w:val="right" w:pos="932"/>
                <w:tab w:val="left" w:pos="1168"/>
              </w:tabs>
              <w:jc w:val="right"/>
              <w:rPr>
                <w:rFonts w:ascii="Calibri" w:hAnsi="Calibri" w:cs="Calibri"/>
                <w:sz w:val="18"/>
                <w:szCs w:val="18"/>
                <w:lang w:val="it-IT"/>
              </w:rPr>
            </w:pPr>
            <w:r w:rsidRPr="3F1DEBE1">
              <w:rPr>
                <w:rFonts w:ascii="Calibri" w:hAnsi="Calibri" w:cs="Calibri"/>
                <w:sz w:val="18"/>
                <w:szCs w:val="18"/>
                <w:lang w:val="it-IT"/>
              </w:rPr>
              <w:t>SB</w:t>
            </w:r>
            <w:r w:rsidRPr="3F1DEBE1">
              <w:rPr>
                <w:rFonts w:ascii="Calibri" w:hAnsi="Calibri" w:cs="Calibri"/>
                <w:sz w:val="18"/>
                <w:szCs w:val="18"/>
                <w:vertAlign w:val="subscript"/>
                <w:lang w:val="it-IT"/>
              </w:rPr>
              <w:t>2022</w:t>
            </w:r>
            <w:r w:rsidRPr="3F1DEBE1">
              <w:rPr>
                <w:rFonts w:ascii="Calibri" w:hAnsi="Calibri" w:cs="Calibri"/>
                <w:sz w:val="18"/>
                <w:szCs w:val="18"/>
                <w:lang w:val="it-IT"/>
              </w:rPr>
              <w:t>/SB</w:t>
            </w:r>
            <w:r w:rsidRPr="3F1DEBE1">
              <w:rPr>
                <w:rFonts w:ascii="Calibri" w:hAnsi="Calibri" w:cs="Calibri"/>
                <w:sz w:val="18"/>
                <w:szCs w:val="18"/>
                <w:vertAlign w:val="subscript"/>
                <w:lang w:val="it-IT"/>
              </w:rPr>
              <w:t>0</w:t>
            </w:r>
            <w:r w:rsidRPr="3F1DEBE1">
              <w:rPr>
                <w:rFonts w:ascii="Calibri" w:hAnsi="Calibri" w:cs="Calibri"/>
                <w:sz w:val="18"/>
                <w:szCs w:val="18"/>
                <w:lang w:val="it-IT"/>
              </w:rPr>
              <w:t xml:space="preserve"> (SS3):</w:t>
            </w:r>
            <w:r w:rsidRPr="3F1DEBE1">
              <w:rPr>
                <w:rFonts w:ascii="Calibri" w:hAnsi="Calibri" w:cs="Calibri"/>
              </w:rPr>
              <w:t xml:space="preserve"> </w:t>
            </w:r>
            <w:r w:rsidRPr="3F1DEBE1">
              <w:rPr>
                <w:rFonts w:ascii="Calibri" w:hAnsi="Calibri" w:cs="Calibri"/>
                <w:sz w:val="18"/>
                <w:szCs w:val="18"/>
                <w:lang w:val="it-IT"/>
              </w:rPr>
              <w:t>0.036 (0.03</w:t>
            </w:r>
            <w:r w:rsidRPr="3F1DEBE1">
              <w:rPr>
                <w:rFonts w:ascii="Calibri" w:hAnsi="Calibri" w:cs="Calibri"/>
                <w:sz w:val="18"/>
                <w:szCs w:val="18"/>
                <w:lang w:val="fr-FR" w:eastAsia="en-GB"/>
              </w:rPr>
              <w:t>–</w:t>
            </w:r>
            <w:r w:rsidRPr="3F1DEBE1">
              <w:rPr>
                <w:rFonts w:ascii="Calibri" w:hAnsi="Calibri" w:cs="Calibri"/>
                <w:sz w:val="18"/>
                <w:szCs w:val="18"/>
                <w:lang w:val="it-IT"/>
              </w:rPr>
              <w:t>0.04)</w:t>
            </w:r>
          </w:p>
        </w:tc>
        <w:tc>
          <w:tcPr>
            <w:tcW w:w="607" w:type="dxa"/>
            <w:tcBorders>
              <w:left w:val="single" w:sz="4" w:space="0" w:color="000000" w:themeColor="text1"/>
              <w:right w:val="single" w:sz="4" w:space="0" w:color="000000" w:themeColor="text1"/>
            </w:tcBorders>
            <w:shd w:val="clear" w:color="auto" w:fill="FF0000"/>
            <w:vAlign w:val="center"/>
          </w:tcPr>
          <w:p w14:paraId="49991F11" w14:textId="77777777" w:rsidR="00875D9F" w:rsidRPr="003545A6" w:rsidRDefault="00875D9F" w:rsidP="00875D9F">
            <w:pPr>
              <w:jc w:val="center"/>
              <w:rPr>
                <w:rFonts w:ascii="Calibri" w:hAnsi="Calibri" w:cs="Calibri"/>
                <w:sz w:val="16"/>
                <w:szCs w:val="16"/>
                <w:lang w:eastAsia="en-US"/>
              </w:rPr>
            </w:pPr>
          </w:p>
        </w:tc>
        <w:tc>
          <w:tcPr>
            <w:tcW w:w="611" w:type="dxa"/>
            <w:tcBorders>
              <w:left w:val="single" w:sz="4" w:space="0" w:color="000000" w:themeColor="text1"/>
              <w:right w:val="single" w:sz="4" w:space="0" w:color="000000" w:themeColor="text1"/>
            </w:tcBorders>
            <w:shd w:val="clear" w:color="auto" w:fill="FF0000"/>
            <w:vAlign w:val="center"/>
          </w:tcPr>
          <w:p w14:paraId="1249B47B" w14:textId="77777777" w:rsidR="00875D9F" w:rsidRPr="003545A6" w:rsidRDefault="00875D9F" w:rsidP="00875D9F">
            <w:pPr>
              <w:jc w:val="center"/>
              <w:rPr>
                <w:rFonts w:ascii="Calibri" w:hAnsi="Calibri" w:cs="Calibri"/>
                <w:sz w:val="18"/>
                <w:szCs w:val="18"/>
                <w:lang w:eastAsia="en-US"/>
              </w:rPr>
            </w:pPr>
          </w:p>
        </w:tc>
        <w:tc>
          <w:tcPr>
            <w:tcW w:w="622" w:type="dxa"/>
            <w:tcBorders>
              <w:left w:val="single" w:sz="4" w:space="0" w:color="000000" w:themeColor="text1"/>
              <w:right w:val="single" w:sz="4" w:space="0" w:color="000000" w:themeColor="text1"/>
            </w:tcBorders>
            <w:shd w:val="clear" w:color="auto" w:fill="FF0000"/>
            <w:vAlign w:val="center"/>
          </w:tcPr>
          <w:p w14:paraId="309D9C57" w14:textId="77777777" w:rsidR="00875D9F" w:rsidRPr="003545A6" w:rsidRDefault="00875D9F" w:rsidP="00875D9F">
            <w:pPr>
              <w:jc w:val="center"/>
              <w:rPr>
                <w:rFonts w:ascii="Calibri" w:hAnsi="Calibri" w:cs="Calibri"/>
                <w:sz w:val="18"/>
                <w:szCs w:val="18"/>
                <w:lang w:eastAsia="en-US"/>
              </w:rPr>
            </w:pPr>
          </w:p>
        </w:tc>
        <w:tc>
          <w:tcPr>
            <w:tcW w:w="635" w:type="dxa"/>
            <w:tcBorders>
              <w:left w:val="single" w:sz="4" w:space="0" w:color="000000" w:themeColor="text1"/>
              <w:right w:val="single" w:sz="4" w:space="0" w:color="000000" w:themeColor="text1"/>
            </w:tcBorders>
            <w:shd w:val="clear" w:color="auto" w:fill="FF0000"/>
            <w:vAlign w:val="center"/>
          </w:tcPr>
          <w:p w14:paraId="32A41DCF" w14:textId="78452373" w:rsidR="00875D9F" w:rsidRPr="003545A6" w:rsidRDefault="00875D9F" w:rsidP="00875D9F">
            <w:pPr>
              <w:spacing w:before="120" w:after="120"/>
              <w:jc w:val="center"/>
              <w:rPr>
                <w:rFonts w:ascii="Calibri" w:hAnsi="Calibri" w:cs="Calibri"/>
              </w:rPr>
            </w:pPr>
            <w:r w:rsidRPr="00BC35E9">
              <w:rPr>
                <w:rFonts w:ascii="Calibri" w:hAnsi="Calibri" w:cs="Calibri"/>
                <w:b/>
                <w:i/>
                <w:sz w:val="18"/>
                <w:szCs w:val="18"/>
              </w:rPr>
              <w:t>100%</w:t>
            </w:r>
          </w:p>
        </w:tc>
        <w:tc>
          <w:tcPr>
            <w:tcW w:w="669" w:type="dxa"/>
            <w:tcBorders>
              <w:left w:val="single" w:sz="4" w:space="0" w:color="000000" w:themeColor="text1"/>
              <w:right w:val="single" w:sz="4" w:space="0" w:color="000000" w:themeColor="text1"/>
            </w:tcBorders>
            <w:shd w:val="clear" w:color="auto" w:fill="FF0000"/>
            <w:vAlign w:val="center"/>
          </w:tcPr>
          <w:p w14:paraId="544F91F5" w14:textId="304593D5" w:rsidR="00875D9F" w:rsidRPr="003545A6" w:rsidRDefault="00875D9F" w:rsidP="00875D9F">
            <w:pPr>
              <w:spacing w:before="120" w:after="120"/>
              <w:jc w:val="center"/>
              <w:rPr>
                <w:rFonts w:ascii="Calibri" w:hAnsi="Calibri" w:cs="Calibri"/>
                <w:b/>
                <w:i/>
                <w:sz w:val="18"/>
                <w:szCs w:val="18"/>
              </w:rPr>
            </w:pPr>
          </w:p>
        </w:tc>
        <w:tc>
          <w:tcPr>
            <w:tcW w:w="7633" w:type="dxa"/>
            <w:tcBorders>
              <w:left w:val="single" w:sz="4" w:space="0" w:color="000000" w:themeColor="text1"/>
              <w:right w:val="single" w:sz="4" w:space="0" w:color="000000" w:themeColor="text1"/>
            </w:tcBorders>
            <w:shd w:val="clear" w:color="auto" w:fill="FFFFFF" w:themeFill="background1"/>
            <w:vAlign w:val="center"/>
          </w:tcPr>
          <w:p w14:paraId="3405E58D" w14:textId="3D6C8363" w:rsidR="00875D9F" w:rsidRPr="003545A6" w:rsidRDefault="00875D9F" w:rsidP="00F86804">
            <w:pPr>
              <w:spacing w:before="60"/>
              <w:rPr>
                <w:rFonts w:ascii="Calibri" w:hAnsi="Calibri" w:cs="Calibri"/>
                <w:sz w:val="18"/>
                <w:szCs w:val="18"/>
                <w:lang w:eastAsia="en-US"/>
              </w:rPr>
            </w:pPr>
            <w:r w:rsidRPr="003545A6">
              <w:rPr>
                <w:rFonts w:ascii="Calibri" w:hAnsi="Calibri" w:cs="Calibri"/>
                <w:b/>
                <w:i/>
                <w:sz w:val="18"/>
                <w:szCs w:val="18"/>
              </w:rPr>
              <w:t>Stock status:</w:t>
            </w:r>
            <w:r w:rsidRPr="003545A6">
              <w:rPr>
                <w:rFonts w:ascii="Calibri" w:eastAsia="PMingLiU" w:hAnsi="Calibri" w:cs="Calibri"/>
                <w:i/>
                <w:kern w:val="2"/>
                <w:sz w:val="18"/>
                <w:szCs w:val="18"/>
                <w:lang w:val="en-US" w:eastAsia="zh-TW"/>
              </w:rPr>
              <w:t xml:space="preserve"> </w:t>
            </w:r>
            <w:r w:rsidR="00B21C4D" w:rsidRPr="0666C0EC">
              <w:rPr>
                <w:rFonts w:ascii="Calibri" w:hAnsi="Calibri" w:cs="Calibri"/>
                <w:sz w:val="18"/>
                <w:szCs w:val="18"/>
              </w:rPr>
              <w:t xml:space="preserve">No new stock assessment was carried out for </w:t>
            </w:r>
            <w:r w:rsidR="00766C56" w:rsidRPr="003545A6">
              <w:rPr>
                <w:rFonts w:ascii="Calibri" w:hAnsi="Calibri" w:cs="Calibri"/>
                <w:sz w:val="18"/>
                <w:szCs w:val="18"/>
                <w:lang w:eastAsia="en-US"/>
              </w:rPr>
              <w:t>Striped marlin</w:t>
            </w:r>
            <w:r w:rsidR="00B21C4D" w:rsidRPr="0666C0EC">
              <w:rPr>
                <w:rFonts w:ascii="Calibri" w:hAnsi="Calibri" w:cs="Calibri"/>
                <w:sz w:val="18"/>
                <w:szCs w:val="18"/>
              </w:rPr>
              <w:t>in 202</w:t>
            </w:r>
            <w:r w:rsidR="00E613EA">
              <w:rPr>
                <w:rFonts w:ascii="Calibri" w:hAnsi="Calibri" w:cs="Calibri"/>
                <w:sz w:val="18"/>
                <w:szCs w:val="18"/>
              </w:rPr>
              <w:t xml:space="preserve">5, </w:t>
            </w:r>
            <w:r w:rsidR="00E613EA" w:rsidRPr="0666C0EC">
              <w:rPr>
                <w:rFonts w:ascii="Calibri" w:hAnsi="Calibri" w:cs="Calibri"/>
                <w:sz w:val="18"/>
                <w:szCs w:val="18"/>
              </w:rPr>
              <w:t>thus</w:t>
            </w:r>
            <w:r w:rsidR="00E613EA" w:rsidRPr="0666C0EC">
              <w:rPr>
                <w:rFonts w:ascii="Calibri" w:hAnsi="Calibri" w:cs="Calibri"/>
                <w:color w:val="000000" w:themeColor="text1"/>
                <w:sz w:val="18"/>
                <w:szCs w:val="18"/>
              </w:rPr>
              <w:t xml:space="preserve">, the stock status estimates are based on </w:t>
            </w:r>
            <w:r w:rsidR="00E913DD" w:rsidRPr="008306F6">
              <w:rPr>
                <w:rFonts w:ascii="Calibri" w:hAnsi="Calibri" w:cs="Calibri"/>
                <w:sz w:val="18"/>
                <w:szCs w:val="18"/>
              </w:rPr>
              <w:t xml:space="preserve">two different </w:t>
            </w:r>
            <w:r w:rsidR="00E913DD" w:rsidRPr="0666C0EC">
              <w:rPr>
                <w:rFonts w:ascii="Calibri" w:hAnsi="Calibri" w:cs="Calibri"/>
                <w:sz w:val="18"/>
                <w:szCs w:val="18"/>
              </w:rPr>
              <w:t xml:space="preserve">assessment </w:t>
            </w:r>
            <w:r w:rsidR="00E913DD" w:rsidRPr="008306F6">
              <w:rPr>
                <w:rFonts w:ascii="Calibri" w:hAnsi="Calibri" w:cs="Calibri"/>
                <w:sz w:val="18"/>
                <w:szCs w:val="18"/>
              </w:rPr>
              <w:t>models</w:t>
            </w:r>
            <w:r w:rsidR="00E913DD" w:rsidRPr="0666C0EC">
              <w:rPr>
                <w:rFonts w:ascii="Calibri" w:hAnsi="Calibri" w:cs="Calibri"/>
                <w:color w:val="000000" w:themeColor="text1"/>
                <w:sz w:val="18"/>
                <w:szCs w:val="18"/>
              </w:rPr>
              <w:t xml:space="preserve"> </w:t>
            </w:r>
            <w:r w:rsidR="00E613EA" w:rsidRPr="0666C0EC">
              <w:rPr>
                <w:rFonts w:ascii="Calibri" w:hAnsi="Calibri" w:cs="Calibri"/>
                <w:color w:val="000000" w:themeColor="text1"/>
                <w:sz w:val="18"/>
                <w:szCs w:val="18"/>
              </w:rPr>
              <w:t>carried out in 202</w:t>
            </w:r>
            <w:r w:rsidR="00E613EA">
              <w:rPr>
                <w:rFonts w:ascii="Calibri" w:hAnsi="Calibri" w:cs="Calibri"/>
                <w:color w:val="000000" w:themeColor="text1"/>
                <w:sz w:val="18"/>
                <w:szCs w:val="18"/>
              </w:rPr>
              <w:t>4</w:t>
            </w:r>
            <w:r w:rsidRPr="008306F6">
              <w:rPr>
                <w:rFonts w:ascii="Calibri" w:hAnsi="Calibri" w:cs="Calibri"/>
                <w:sz w:val="18"/>
                <w:szCs w:val="18"/>
              </w:rPr>
              <w:t xml:space="preserve">: JABBA, a Bayesian state-space production model (age-aggregated); and SS3, an integrated model (age-structured) (using data up to 2022). Both models were generally consistent with regards to stock status and confirmed the results from 2012, 2013, 2015, 2017, 2018, and 2021 assessments, indicating that the stock is subject to overfishing (F&gt;FMSY) and is overfished, with the biomass being below the level which would produce MSY (B&lt;BMSY) for over a decade. Both SS3 and JABBA assessments rely on CPUE indices from the longline fisheries in which the striped marlin are not the main target species. On the weight-of-evidence available in 2024, the stock status of striped marlin is determined to be </w:t>
            </w:r>
            <w:r w:rsidRPr="008306F6">
              <w:rPr>
                <w:rFonts w:ascii="Calibri" w:hAnsi="Calibri" w:cs="Calibri"/>
                <w:b/>
                <w:bCs/>
                <w:sz w:val="18"/>
                <w:szCs w:val="18"/>
              </w:rPr>
              <w:t>overfished</w:t>
            </w:r>
            <w:r w:rsidRPr="008306F6">
              <w:rPr>
                <w:rFonts w:ascii="Calibri" w:hAnsi="Calibri" w:cs="Calibri"/>
                <w:sz w:val="18"/>
                <w:szCs w:val="18"/>
              </w:rPr>
              <w:t xml:space="preserve"> and subject to </w:t>
            </w:r>
            <w:r w:rsidRPr="008306F6">
              <w:rPr>
                <w:rFonts w:ascii="Calibri" w:hAnsi="Calibri" w:cs="Calibri"/>
                <w:b/>
                <w:bCs/>
                <w:sz w:val="18"/>
                <w:szCs w:val="18"/>
              </w:rPr>
              <w:t>overfishing</w:t>
            </w:r>
            <w:r>
              <w:rPr>
                <w:rFonts w:ascii="Calibri" w:hAnsi="Calibri" w:cs="Calibri"/>
                <w:b/>
                <w:bCs/>
                <w:sz w:val="18"/>
                <w:szCs w:val="18"/>
              </w:rPr>
              <w:t>.</w:t>
            </w:r>
          </w:p>
          <w:p w14:paraId="16632D60" w14:textId="68FF605B" w:rsidR="00875D9F" w:rsidRPr="00005601" w:rsidRDefault="00875D9F" w:rsidP="00875D9F">
            <w:pPr>
              <w:shd w:val="clear" w:color="auto" w:fill="FFFFFF" w:themeFill="background1"/>
              <w:spacing w:before="120"/>
              <w:rPr>
                <w:rFonts w:ascii="Calibri" w:hAnsi="Calibri" w:cs="Calibri"/>
                <w:color w:val="000000" w:themeColor="text1"/>
                <w:sz w:val="18"/>
                <w:szCs w:val="18"/>
              </w:rPr>
            </w:pPr>
            <w:r w:rsidRPr="3F1DEBE1">
              <w:rPr>
                <w:rFonts w:ascii="Calibri" w:hAnsi="Calibri" w:cs="Calibri"/>
                <w:b/>
                <w:bCs/>
                <w:i/>
                <w:iCs/>
                <w:color w:val="000000" w:themeColor="text1"/>
                <w:sz w:val="18"/>
                <w:szCs w:val="18"/>
              </w:rPr>
              <w:t>Management advice.</w:t>
            </w:r>
            <w:r w:rsidRPr="3F1DEBE1">
              <w:rPr>
                <w:rFonts w:ascii="Calibri" w:hAnsi="Calibri" w:cs="Calibri"/>
                <w:color w:val="000000" w:themeColor="text1"/>
                <w:sz w:val="18"/>
                <w:szCs w:val="18"/>
              </w:rPr>
              <w:t xml:space="preserve"> Current or increasing catches have a very high risk of further decline in the stock status. The 2022 catches (3,225 t) are lower than MSY (4,730 t) but are very close the limit set by Resolution 18/05 (3, 260 t) which may be a concern if this trend continues. However, the limit is not based on estimates of most recent stock assessment. Thus, it is recommended that the Commission urgently revise Resolution 18/05 to incorporate limits that reflect the most recent stock assessment and projections and review and where necessary revise the implementation and effectiveness of the measures contained in this Resolution.</w:t>
            </w:r>
          </w:p>
          <w:p w14:paraId="31645749" w14:textId="75D08AB2" w:rsidR="00875D9F" w:rsidRPr="003545A6" w:rsidRDefault="00875D9F" w:rsidP="00875D9F">
            <w:pPr>
              <w:shd w:val="clear" w:color="auto" w:fill="FFFFFF" w:themeFill="background1"/>
              <w:spacing w:before="120"/>
              <w:rPr>
                <w:rFonts w:ascii="Calibri" w:hAnsi="Calibri" w:cs="Calibri"/>
                <w:color w:val="000000"/>
              </w:rPr>
            </w:pPr>
            <w:r w:rsidRPr="00005601">
              <w:rPr>
                <w:rFonts w:ascii="Calibri" w:hAnsi="Calibri" w:cs="Calibri"/>
                <w:color w:val="000000" w:themeColor="text1"/>
                <w:sz w:val="18"/>
                <w:szCs w:val="18"/>
              </w:rPr>
              <w:t>The stock has been overfished for more than a decade and is now in a highly depleted state. If the Commission wishes to recover the stock to the green quadrant of the Kobe plot with a probability ranging from 60% to 90% between 2027 and 2032 (as per Resolution 18/05), it needs to provide mechanisms to ensure the maximum annual catches to be below 30% of the current level (Table 3). [SC to revise the advice]</w:t>
            </w:r>
            <w:r w:rsidRPr="003545A6">
              <w:rPr>
                <w:rFonts w:ascii="Calibri" w:hAnsi="Calibri" w:cs="Calibri"/>
                <w:color w:val="000000" w:themeColor="text1"/>
                <w:sz w:val="18"/>
                <w:szCs w:val="18"/>
              </w:rPr>
              <w:t>.</w:t>
            </w:r>
          </w:p>
          <w:p w14:paraId="2A189E6C" w14:textId="58E1665B" w:rsidR="00875D9F" w:rsidRPr="003545A6" w:rsidRDefault="00875D9F" w:rsidP="00875D9F">
            <w:pPr>
              <w:spacing w:before="120" w:after="120"/>
              <w:rPr>
                <w:rFonts w:ascii="Calibri" w:hAnsi="Calibri" w:cs="Calibri"/>
                <w:sz w:val="18"/>
                <w:szCs w:val="18"/>
                <w:lang w:eastAsia="en-US"/>
              </w:rPr>
            </w:pPr>
            <w:r w:rsidRPr="003545A6">
              <w:rPr>
                <w:rFonts w:ascii="Calibri" w:hAnsi="Calibri" w:cs="Calibri"/>
                <w:sz w:val="18"/>
                <w:szCs w:val="18"/>
                <w:lang w:eastAsia="en-US"/>
              </w:rPr>
              <w:t xml:space="preserve">Click here for full stock status summary: </w:t>
            </w:r>
            <w:hyperlink w:anchor="APP7">
              <w:r w:rsidRPr="003545A6">
                <w:rPr>
                  <w:rStyle w:val="Hyperlink"/>
                  <w:rFonts w:ascii="Calibri" w:hAnsi="Calibri" w:cs="Calibri"/>
                  <w:sz w:val="18"/>
                  <w:szCs w:val="18"/>
                  <w:lang w:eastAsia="en-US"/>
                </w:rPr>
                <w:t>Appendix VII</w:t>
              </w:r>
            </w:hyperlink>
          </w:p>
        </w:tc>
      </w:tr>
      <w:tr w:rsidR="00875D9F" w:rsidRPr="003545A6" w14:paraId="639873BB" w14:textId="77777777" w:rsidTr="0666C0EC">
        <w:trPr>
          <w:trHeight w:val="454"/>
        </w:trPr>
        <w:tc>
          <w:tcPr>
            <w:tcW w:w="133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5CD2A144" w14:textId="77777777" w:rsidR="00875D9F" w:rsidRPr="003545A6" w:rsidRDefault="00875D9F" w:rsidP="00875D9F">
            <w:pPr>
              <w:spacing w:before="60"/>
              <w:rPr>
                <w:rFonts w:ascii="Calibri" w:hAnsi="Calibri" w:cs="Calibri"/>
                <w:sz w:val="18"/>
                <w:szCs w:val="18"/>
                <w:lang w:eastAsia="en-US"/>
              </w:rPr>
            </w:pPr>
            <w:r w:rsidRPr="003545A6">
              <w:rPr>
                <w:rFonts w:ascii="Calibri" w:hAnsi="Calibri" w:cs="Calibri"/>
                <w:sz w:val="18"/>
                <w:szCs w:val="18"/>
                <w:lang w:eastAsia="en-US"/>
              </w:rPr>
              <w:t>Indo-Pacific Sailfish</w:t>
            </w:r>
          </w:p>
          <w:p w14:paraId="17819FF9" w14:textId="77777777" w:rsidR="00875D9F" w:rsidRPr="003545A6" w:rsidRDefault="00875D9F" w:rsidP="00875D9F">
            <w:pPr>
              <w:spacing w:before="60"/>
              <w:rPr>
                <w:rFonts w:ascii="Calibri" w:hAnsi="Calibri" w:cs="Calibri"/>
                <w:i/>
                <w:sz w:val="18"/>
                <w:szCs w:val="18"/>
                <w:lang w:eastAsia="en-US"/>
              </w:rPr>
            </w:pPr>
            <w:r w:rsidRPr="003545A6">
              <w:rPr>
                <w:rFonts w:ascii="Calibri" w:hAnsi="Calibri" w:cs="Calibri"/>
                <w:i/>
                <w:sz w:val="18"/>
                <w:szCs w:val="18"/>
                <w:lang w:eastAsia="en-US"/>
              </w:rPr>
              <w:t>Istiophorus platypterus</w:t>
            </w:r>
          </w:p>
        </w:tc>
        <w:tc>
          <w:tcPr>
            <w:tcW w:w="3278" w:type="dxa"/>
            <w:tcBorders>
              <w:top w:val="single" w:sz="4" w:space="0" w:color="000000" w:themeColor="text1"/>
              <w:left w:val="single" w:sz="4" w:space="0" w:color="000000" w:themeColor="text1"/>
              <w:bottom w:val="single" w:sz="4" w:space="0" w:color="000000" w:themeColor="text1"/>
              <w:right w:val="nil"/>
            </w:tcBorders>
            <w:shd w:val="clear" w:color="auto" w:fill="FFFFFF" w:themeFill="background1"/>
          </w:tcPr>
          <w:p w14:paraId="62E2C702" w14:textId="2B6AF0E2" w:rsidR="00875D9F" w:rsidRPr="003545A6" w:rsidRDefault="00875D9F" w:rsidP="00875D9F">
            <w:pPr>
              <w:tabs>
                <w:tab w:val="right" w:pos="932"/>
                <w:tab w:val="left" w:pos="1168"/>
              </w:tabs>
              <w:spacing w:before="120"/>
              <w:jc w:val="right"/>
              <w:rPr>
                <w:rFonts w:ascii="Calibri" w:hAnsi="Calibri" w:cs="Calibri"/>
                <w:sz w:val="18"/>
                <w:szCs w:val="18"/>
                <w:lang w:val="fr-FR" w:eastAsia="en-GB"/>
              </w:rPr>
            </w:pPr>
            <w:r w:rsidRPr="3F1DEBE1">
              <w:rPr>
                <w:rFonts w:ascii="Calibri" w:hAnsi="Calibri" w:cs="Calibri"/>
                <w:sz w:val="18"/>
                <w:szCs w:val="18"/>
                <w:lang w:val="fr-FR" w:eastAsia="en-GB"/>
              </w:rPr>
              <w:t>Catch 202</w:t>
            </w:r>
            <w:r>
              <w:rPr>
                <w:rFonts w:ascii="Calibri" w:hAnsi="Calibri" w:cs="Calibri"/>
                <w:sz w:val="18"/>
                <w:szCs w:val="18"/>
                <w:lang w:val="fr-FR" w:eastAsia="en-GB"/>
              </w:rPr>
              <w:t>3</w:t>
            </w:r>
            <w:r w:rsidRPr="3F1DEBE1">
              <w:rPr>
                <w:rFonts w:ascii="Calibri" w:hAnsi="Calibri" w:cs="Calibri"/>
                <w:sz w:val="18"/>
                <w:szCs w:val="18"/>
                <w:lang w:val="fr-FR" w:eastAsia="en-GB"/>
              </w:rPr>
              <w:t>:</w:t>
            </w:r>
            <w:r w:rsidRPr="3F1DEBE1">
              <w:rPr>
                <w:rFonts w:ascii="Calibri" w:hAnsi="Calibri" w:cs="Calibri"/>
                <w:lang w:val="fr-FR"/>
              </w:rPr>
              <w:t xml:space="preserve"> </w:t>
            </w:r>
            <w:r w:rsidRPr="3F1DEBE1">
              <w:rPr>
                <w:rFonts w:ascii="Calibri" w:hAnsi="Calibri" w:cs="Calibri"/>
                <w:sz w:val="18"/>
                <w:szCs w:val="18"/>
                <w:lang w:val="fr-FR" w:eastAsia="en-GB"/>
              </w:rPr>
              <w:t>3</w:t>
            </w:r>
            <w:r>
              <w:rPr>
                <w:rFonts w:ascii="Calibri" w:hAnsi="Calibri" w:cs="Calibri"/>
                <w:sz w:val="18"/>
                <w:szCs w:val="18"/>
                <w:lang w:val="fr-FR" w:eastAsia="en-GB"/>
              </w:rPr>
              <w:t>1</w:t>
            </w:r>
            <w:r w:rsidRPr="3F1DEBE1">
              <w:rPr>
                <w:rFonts w:ascii="Calibri" w:hAnsi="Calibri" w:cs="Calibri"/>
                <w:sz w:val="18"/>
                <w:szCs w:val="18"/>
                <w:lang w:val="fr-FR" w:eastAsia="en-GB"/>
              </w:rPr>
              <w:t>,</w:t>
            </w:r>
            <w:r>
              <w:rPr>
                <w:rFonts w:ascii="Calibri" w:hAnsi="Calibri" w:cs="Calibri"/>
                <w:sz w:val="18"/>
                <w:szCs w:val="18"/>
                <w:lang w:val="fr-FR" w:eastAsia="en-GB"/>
              </w:rPr>
              <w:t>898</w:t>
            </w:r>
            <w:r w:rsidRPr="3F1DEBE1">
              <w:rPr>
                <w:rFonts w:ascii="Calibri" w:hAnsi="Calibri" w:cs="Calibri"/>
                <w:sz w:val="18"/>
                <w:szCs w:val="18"/>
                <w:lang w:val="fr-FR" w:eastAsia="en-GB"/>
              </w:rPr>
              <w:t>t</w:t>
            </w:r>
          </w:p>
          <w:p w14:paraId="30F9705E" w14:textId="5700FBEA" w:rsidR="00875D9F" w:rsidRPr="003545A6" w:rsidRDefault="00875D9F" w:rsidP="00875D9F">
            <w:pPr>
              <w:tabs>
                <w:tab w:val="right" w:pos="932"/>
                <w:tab w:val="left" w:pos="1168"/>
              </w:tabs>
              <w:jc w:val="right"/>
              <w:rPr>
                <w:rFonts w:ascii="Calibri" w:hAnsi="Calibri" w:cs="Calibri"/>
                <w:sz w:val="18"/>
                <w:szCs w:val="18"/>
                <w:lang w:val="fr-FR" w:eastAsia="en-GB"/>
              </w:rPr>
            </w:pPr>
            <w:r w:rsidRPr="3F1DEBE1">
              <w:rPr>
                <w:rFonts w:ascii="Calibri" w:hAnsi="Calibri" w:cs="Calibri"/>
                <w:sz w:val="18"/>
                <w:szCs w:val="18"/>
                <w:lang w:val="fr-FR" w:eastAsia="en-GB"/>
              </w:rPr>
              <w:t>Average catch 201</w:t>
            </w:r>
            <w:r>
              <w:rPr>
                <w:rFonts w:ascii="Calibri" w:hAnsi="Calibri" w:cs="Calibri"/>
                <w:sz w:val="18"/>
                <w:szCs w:val="18"/>
                <w:lang w:val="fr-FR" w:eastAsia="en-GB"/>
              </w:rPr>
              <w:t>9</w:t>
            </w:r>
            <w:r w:rsidRPr="3F1DEBE1">
              <w:rPr>
                <w:rFonts w:ascii="Calibri" w:hAnsi="Calibri" w:cs="Calibri"/>
                <w:sz w:val="18"/>
                <w:szCs w:val="18"/>
                <w:lang w:val="fr-FR" w:eastAsia="en-GB"/>
              </w:rPr>
              <w:t>–202</w:t>
            </w:r>
            <w:r>
              <w:rPr>
                <w:rFonts w:ascii="Calibri" w:hAnsi="Calibri" w:cs="Calibri"/>
                <w:sz w:val="18"/>
                <w:szCs w:val="18"/>
                <w:lang w:val="fr-FR" w:eastAsia="en-GB"/>
              </w:rPr>
              <w:t>3</w:t>
            </w:r>
            <w:r w:rsidRPr="3F1DEBE1">
              <w:rPr>
                <w:rFonts w:ascii="Calibri" w:hAnsi="Calibri" w:cs="Calibri"/>
                <w:sz w:val="18"/>
                <w:szCs w:val="18"/>
                <w:lang w:val="fr-FR" w:eastAsia="en-GB"/>
              </w:rPr>
              <w:t>:</w:t>
            </w:r>
            <w:r w:rsidRPr="3F1DEBE1">
              <w:rPr>
                <w:rFonts w:ascii="Calibri" w:hAnsi="Calibri" w:cs="Calibri"/>
                <w:lang w:val="fr-FR"/>
              </w:rPr>
              <w:t xml:space="preserve"> </w:t>
            </w:r>
            <w:r w:rsidRPr="3F1DEBE1">
              <w:rPr>
                <w:rFonts w:ascii="Calibri" w:hAnsi="Calibri" w:cs="Calibri"/>
                <w:sz w:val="18"/>
                <w:szCs w:val="18"/>
                <w:lang w:val="fr-FR" w:eastAsia="en-GB"/>
              </w:rPr>
              <w:t>3</w:t>
            </w:r>
            <w:r>
              <w:rPr>
                <w:rFonts w:ascii="Calibri" w:hAnsi="Calibri" w:cs="Calibri"/>
                <w:sz w:val="18"/>
                <w:szCs w:val="18"/>
                <w:lang w:val="fr-FR" w:eastAsia="en-GB"/>
              </w:rPr>
              <w:t>3</w:t>
            </w:r>
            <w:r w:rsidRPr="3F1DEBE1">
              <w:rPr>
                <w:rFonts w:ascii="Calibri" w:hAnsi="Calibri" w:cs="Calibri"/>
                <w:sz w:val="18"/>
                <w:szCs w:val="18"/>
                <w:lang w:val="fr-FR" w:eastAsia="en-GB"/>
              </w:rPr>
              <w:t>,</w:t>
            </w:r>
            <w:r>
              <w:rPr>
                <w:rFonts w:ascii="Calibri" w:hAnsi="Calibri" w:cs="Calibri"/>
                <w:sz w:val="18"/>
                <w:szCs w:val="18"/>
                <w:lang w:val="fr-FR" w:eastAsia="en-GB"/>
              </w:rPr>
              <w:t>888</w:t>
            </w:r>
            <w:r w:rsidRPr="3F1DEBE1">
              <w:rPr>
                <w:rFonts w:ascii="Calibri" w:hAnsi="Calibri" w:cs="Calibri"/>
                <w:sz w:val="18"/>
                <w:szCs w:val="18"/>
                <w:lang w:val="fr-FR" w:eastAsia="en-GB"/>
              </w:rPr>
              <w:t>t</w:t>
            </w:r>
          </w:p>
          <w:p w14:paraId="0C67BC76" w14:textId="70C693D1" w:rsidR="00AB79C3" w:rsidRPr="00AB79C3" w:rsidRDefault="00AB79C3" w:rsidP="00955113">
            <w:pPr>
              <w:tabs>
                <w:tab w:val="right" w:pos="932"/>
                <w:tab w:val="left" w:pos="1168"/>
              </w:tabs>
              <w:jc w:val="right"/>
              <w:rPr>
                <w:rFonts w:ascii="Calibri" w:hAnsi="Calibri" w:cs="Calibri"/>
                <w:sz w:val="18"/>
                <w:szCs w:val="18"/>
                <w:lang w:val="en-AU"/>
              </w:rPr>
            </w:pPr>
            <w:r w:rsidRPr="00AB79C3">
              <w:rPr>
                <w:rFonts w:ascii="Calibri" w:hAnsi="Calibri" w:cs="Calibri"/>
                <w:sz w:val="18"/>
                <w:szCs w:val="18"/>
                <w:lang w:val="fr-FR"/>
              </w:rPr>
              <w:t>MSY (1,000 t) (80% CI)</w:t>
            </w:r>
            <w:r w:rsidR="00955113" w:rsidRPr="00955113">
              <w:rPr>
                <w:rFonts w:ascii="Calibri" w:hAnsi="Calibri" w:cs="Calibri"/>
                <w:sz w:val="18"/>
                <w:szCs w:val="18"/>
                <w:lang w:val="fr-FR"/>
              </w:rPr>
              <w:t xml:space="preserve">: </w:t>
            </w:r>
            <w:r w:rsidR="00955113" w:rsidRPr="005D4E4F">
              <w:rPr>
                <w:rFonts w:ascii="Calibri" w:hAnsi="Calibri" w:cs="Calibri"/>
                <w:sz w:val="18"/>
                <w:szCs w:val="18"/>
                <w:lang w:val="fr-FR"/>
              </w:rPr>
              <w:t>34.3 (28.7-42.2)</w:t>
            </w:r>
            <w:r w:rsidR="007A45DD" w:rsidRPr="007A45DD">
              <w:rPr>
                <w:rFonts w:ascii="Calibri" w:hAnsi="Calibri" w:cs="Calibri"/>
                <w:sz w:val="18"/>
                <w:szCs w:val="18"/>
                <w:vertAlign w:val="superscript"/>
                <w:lang w:val="fr-FR"/>
              </w:rPr>
              <w:t>4</w:t>
            </w:r>
            <w:r w:rsidR="00955113" w:rsidRPr="005D4E4F">
              <w:rPr>
                <w:rFonts w:ascii="Calibri" w:hAnsi="Calibri" w:cs="Calibri"/>
                <w:sz w:val="18"/>
                <w:szCs w:val="18"/>
              </w:rPr>
              <w:t> </w:t>
            </w:r>
          </w:p>
          <w:p w14:paraId="02B5BC49" w14:textId="52E0076B" w:rsidR="00AB79C3" w:rsidRPr="00AB79C3" w:rsidRDefault="00AB79C3" w:rsidP="00955113">
            <w:pPr>
              <w:tabs>
                <w:tab w:val="right" w:pos="932"/>
                <w:tab w:val="left" w:pos="1168"/>
              </w:tabs>
              <w:jc w:val="right"/>
              <w:rPr>
                <w:rFonts w:ascii="Calibri" w:hAnsi="Calibri" w:cs="Calibri"/>
                <w:sz w:val="18"/>
                <w:szCs w:val="18"/>
                <w:lang w:val="en-AU"/>
              </w:rPr>
            </w:pPr>
            <w:r w:rsidRPr="00AB79C3">
              <w:rPr>
                <w:rFonts w:ascii="Calibri" w:hAnsi="Calibri" w:cs="Calibri"/>
                <w:sz w:val="18"/>
                <w:szCs w:val="18"/>
                <w:lang w:val="fr-FR"/>
              </w:rPr>
              <w:t>F</w:t>
            </w:r>
            <w:r w:rsidRPr="00AB79C3">
              <w:rPr>
                <w:rFonts w:ascii="Calibri" w:hAnsi="Calibri" w:cs="Calibri"/>
                <w:sz w:val="18"/>
                <w:szCs w:val="18"/>
                <w:vertAlign w:val="subscript"/>
                <w:lang w:val="fr-FR"/>
              </w:rPr>
              <w:t>MSY</w:t>
            </w:r>
            <w:r w:rsidRPr="00AB79C3">
              <w:rPr>
                <w:rFonts w:ascii="Calibri" w:hAnsi="Calibri" w:cs="Calibri"/>
                <w:sz w:val="18"/>
                <w:szCs w:val="18"/>
                <w:lang w:val="fr-FR"/>
              </w:rPr>
              <w:t xml:space="preserve"> (80% CI)</w:t>
            </w:r>
            <w:r w:rsidR="00955113">
              <w:rPr>
                <w:rFonts w:ascii="Calibri" w:hAnsi="Calibri" w:cs="Calibri"/>
                <w:sz w:val="18"/>
                <w:szCs w:val="18"/>
                <w:lang w:val="fr-FR"/>
              </w:rPr>
              <w:t> :</w:t>
            </w:r>
            <w:r w:rsidR="00955113" w:rsidRPr="00955113">
              <w:rPr>
                <w:rFonts w:ascii="Calibri" w:hAnsi="Calibri" w:cs="Calibri"/>
                <w:sz w:val="18"/>
                <w:szCs w:val="18"/>
                <w:lang w:val="fr-FR"/>
              </w:rPr>
              <w:t xml:space="preserve"> </w:t>
            </w:r>
            <w:r w:rsidR="00955113" w:rsidRPr="005D4E4F">
              <w:rPr>
                <w:rFonts w:ascii="Calibri" w:hAnsi="Calibri" w:cs="Calibri"/>
                <w:sz w:val="18"/>
                <w:szCs w:val="18"/>
                <w:lang w:val="fr-FR"/>
              </w:rPr>
              <w:t>0.20 (0.17-0.23)</w:t>
            </w:r>
            <w:r w:rsidR="003F24BC" w:rsidRPr="007A45DD">
              <w:rPr>
                <w:rFonts w:ascii="Calibri" w:hAnsi="Calibri" w:cs="Calibri"/>
                <w:sz w:val="18"/>
                <w:szCs w:val="18"/>
                <w:vertAlign w:val="superscript"/>
                <w:lang w:val="fr-FR"/>
              </w:rPr>
              <w:t xml:space="preserve"> </w:t>
            </w:r>
            <w:r w:rsidR="003F24BC" w:rsidRPr="007A45DD">
              <w:rPr>
                <w:rFonts w:ascii="Calibri" w:hAnsi="Calibri" w:cs="Calibri"/>
                <w:sz w:val="18"/>
                <w:szCs w:val="18"/>
                <w:vertAlign w:val="superscript"/>
                <w:lang w:val="fr-FR"/>
              </w:rPr>
              <w:t>4</w:t>
            </w:r>
            <w:r w:rsidR="00955113" w:rsidRPr="005D4E4F">
              <w:rPr>
                <w:rFonts w:ascii="Calibri" w:hAnsi="Calibri" w:cs="Calibri"/>
                <w:sz w:val="18"/>
                <w:szCs w:val="18"/>
              </w:rPr>
              <w:t> </w:t>
            </w:r>
          </w:p>
          <w:p w14:paraId="1104DF97" w14:textId="49E57DBE" w:rsidR="00955113" w:rsidRPr="005D4E4F" w:rsidRDefault="00AB79C3" w:rsidP="00955113">
            <w:pPr>
              <w:tabs>
                <w:tab w:val="right" w:pos="932"/>
                <w:tab w:val="left" w:pos="1168"/>
              </w:tabs>
              <w:jc w:val="right"/>
              <w:rPr>
                <w:rFonts w:ascii="Calibri" w:hAnsi="Calibri" w:cs="Calibri"/>
                <w:sz w:val="18"/>
                <w:szCs w:val="18"/>
              </w:rPr>
            </w:pPr>
            <w:r w:rsidRPr="00AB79C3">
              <w:rPr>
                <w:rFonts w:ascii="Calibri" w:hAnsi="Calibri" w:cs="Calibri"/>
                <w:sz w:val="18"/>
                <w:szCs w:val="18"/>
                <w:lang w:val="fr-FR"/>
              </w:rPr>
              <w:t>SB</w:t>
            </w:r>
            <w:r w:rsidRPr="00AB79C3">
              <w:rPr>
                <w:rFonts w:ascii="Calibri" w:hAnsi="Calibri" w:cs="Calibri"/>
                <w:sz w:val="18"/>
                <w:szCs w:val="18"/>
                <w:vertAlign w:val="subscript"/>
                <w:lang w:val="fr-FR"/>
              </w:rPr>
              <w:t>MSY</w:t>
            </w:r>
            <w:r w:rsidRPr="00AB79C3">
              <w:rPr>
                <w:rFonts w:ascii="Calibri" w:hAnsi="Calibri" w:cs="Calibri"/>
                <w:sz w:val="18"/>
                <w:szCs w:val="18"/>
                <w:lang w:val="fr-FR"/>
              </w:rPr>
              <w:t xml:space="preserve"> (1,000 t) (80% CI)</w:t>
            </w:r>
            <w:r w:rsidR="00955113">
              <w:rPr>
                <w:rFonts w:ascii="Calibri" w:hAnsi="Calibri" w:cs="Calibri"/>
                <w:sz w:val="18"/>
                <w:szCs w:val="18"/>
                <w:lang w:val="fr-FR"/>
              </w:rPr>
              <w:t> :</w:t>
            </w:r>
            <w:r w:rsidR="00955113" w:rsidRPr="00955113">
              <w:rPr>
                <w:rFonts w:ascii="Calibri" w:hAnsi="Calibri" w:cs="Calibri"/>
                <w:sz w:val="18"/>
                <w:szCs w:val="18"/>
                <w:lang w:val="fr-FR"/>
              </w:rPr>
              <w:t xml:space="preserve"> </w:t>
            </w:r>
            <w:r w:rsidR="00955113" w:rsidRPr="005D4E4F">
              <w:rPr>
                <w:rFonts w:ascii="Calibri" w:hAnsi="Calibri" w:cs="Calibri"/>
                <w:sz w:val="18"/>
                <w:szCs w:val="18"/>
                <w:lang w:val="fr-FR"/>
              </w:rPr>
              <w:t>174 (145-212)</w:t>
            </w:r>
            <w:r w:rsidR="003F24BC" w:rsidRPr="007A45DD">
              <w:rPr>
                <w:rFonts w:ascii="Calibri" w:hAnsi="Calibri" w:cs="Calibri"/>
                <w:sz w:val="18"/>
                <w:szCs w:val="18"/>
                <w:vertAlign w:val="superscript"/>
                <w:lang w:val="fr-FR"/>
              </w:rPr>
              <w:t xml:space="preserve"> </w:t>
            </w:r>
            <w:r w:rsidR="003F24BC" w:rsidRPr="007A45DD">
              <w:rPr>
                <w:rFonts w:ascii="Calibri" w:hAnsi="Calibri" w:cs="Calibri"/>
                <w:sz w:val="18"/>
                <w:szCs w:val="18"/>
                <w:vertAlign w:val="superscript"/>
                <w:lang w:val="fr-FR"/>
              </w:rPr>
              <w:t>4</w:t>
            </w:r>
            <w:r w:rsidR="00955113" w:rsidRPr="005D4E4F">
              <w:rPr>
                <w:rFonts w:ascii="Calibri" w:hAnsi="Calibri" w:cs="Calibri"/>
                <w:sz w:val="18"/>
                <w:szCs w:val="18"/>
              </w:rPr>
              <w:t> </w:t>
            </w:r>
          </w:p>
          <w:p w14:paraId="030257A3" w14:textId="3146ED38" w:rsidR="00AB79C3" w:rsidRPr="00AB79C3" w:rsidRDefault="00AB79C3" w:rsidP="00955113">
            <w:pPr>
              <w:tabs>
                <w:tab w:val="right" w:pos="932"/>
                <w:tab w:val="left" w:pos="1168"/>
              </w:tabs>
              <w:jc w:val="right"/>
              <w:rPr>
                <w:rFonts w:ascii="Calibri" w:hAnsi="Calibri" w:cs="Calibri"/>
                <w:sz w:val="18"/>
                <w:szCs w:val="18"/>
                <w:lang w:val="en-AU"/>
              </w:rPr>
            </w:pPr>
            <w:r w:rsidRPr="00AB79C3">
              <w:rPr>
                <w:rFonts w:ascii="Calibri" w:hAnsi="Calibri" w:cs="Calibri"/>
                <w:sz w:val="18"/>
                <w:szCs w:val="18"/>
                <w:lang w:val="fr-FR"/>
              </w:rPr>
              <w:t>F</w:t>
            </w:r>
            <w:r w:rsidRPr="00AB79C3">
              <w:rPr>
                <w:rFonts w:ascii="Calibri" w:hAnsi="Calibri" w:cs="Calibri"/>
                <w:sz w:val="18"/>
                <w:szCs w:val="18"/>
                <w:vertAlign w:val="subscript"/>
                <w:lang w:val="fr-FR"/>
              </w:rPr>
              <w:t>2023/</w:t>
            </w:r>
            <w:r w:rsidRPr="00AB79C3">
              <w:rPr>
                <w:rFonts w:ascii="Calibri" w:hAnsi="Calibri" w:cs="Calibri"/>
                <w:sz w:val="18"/>
                <w:szCs w:val="18"/>
                <w:lang w:val="fr-FR"/>
              </w:rPr>
              <w:t>F</w:t>
            </w:r>
            <w:r w:rsidRPr="00AB79C3">
              <w:rPr>
                <w:rFonts w:ascii="Calibri" w:hAnsi="Calibri" w:cs="Calibri"/>
                <w:sz w:val="18"/>
                <w:szCs w:val="18"/>
                <w:vertAlign w:val="subscript"/>
                <w:lang w:val="fr-FR"/>
              </w:rPr>
              <w:t xml:space="preserve">MSY </w:t>
            </w:r>
            <w:r w:rsidRPr="00AB79C3">
              <w:rPr>
                <w:rFonts w:ascii="Calibri" w:hAnsi="Calibri" w:cs="Calibri"/>
                <w:sz w:val="18"/>
                <w:szCs w:val="18"/>
                <w:lang w:val="fr-FR"/>
              </w:rPr>
              <w:t>(80% CI)</w:t>
            </w:r>
            <w:r w:rsidR="00955113">
              <w:rPr>
                <w:rFonts w:ascii="Calibri" w:hAnsi="Calibri" w:cs="Calibri"/>
                <w:sz w:val="18"/>
                <w:szCs w:val="18"/>
                <w:lang w:val="fr-FR"/>
              </w:rPr>
              <w:t> :</w:t>
            </w:r>
            <w:r w:rsidRPr="00AB79C3">
              <w:rPr>
                <w:rFonts w:ascii="Calibri" w:hAnsi="Calibri" w:cs="Calibri"/>
                <w:sz w:val="18"/>
                <w:szCs w:val="18"/>
                <w:vertAlign w:val="superscript"/>
                <w:lang w:val="fr-FR"/>
              </w:rPr>
              <w:t> </w:t>
            </w:r>
            <w:r w:rsidRPr="00AB79C3">
              <w:rPr>
                <w:rFonts w:ascii="Calibri" w:hAnsi="Calibri" w:cs="Calibri"/>
                <w:sz w:val="18"/>
                <w:szCs w:val="18"/>
              </w:rPr>
              <w:t> </w:t>
            </w:r>
            <w:r w:rsidR="00955113" w:rsidRPr="005D4E4F">
              <w:rPr>
                <w:rFonts w:ascii="Calibri" w:hAnsi="Calibri" w:cs="Calibri"/>
                <w:sz w:val="18"/>
                <w:szCs w:val="18"/>
                <w:lang w:val="fr-FR"/>
              </w:rPr>
              <w:t>0.69 (0.51 - 0.94)</w:t>
            </w:r>
            <w:r w:rsidR="003F24BC" w:rsidRPr="007A45DD">
              <w:rPr>
                <w:rFonts w:ascii="Calibri" w:hAnsi="Calibri" w:cs="Calibri"/>
                <w:sz w:val="18"/>
                <w:szCs w:val="18"/>
                <w:vertAlign w:val="superscript"/>
                <w:lang w:val="fr-FR"/>
              </w:rPr>
              <w:t xml:space="preserve"> </w:t>
            </w:r>
            <w:r w:rsidR="003F24BC" w:rsidRPr="007A45DD">
              <w:rPr>
                <w:rFonts w:ascii="Calibri" w:hAnsi="Calibri" w:cs="Calibri"/>
                <w:sz w:val="18"/>
                <w:szCs w:val="18"/>
                <w:vertAlign w:val="superscript"/>
                <w:lang w:val="fr-FR"/>
              </w:rPr>
              <w:t>4</w:t>
            </w:r>
            <w:r w:rsidR="00955113" w:rsidRPr="005D4E4F">
              <w:rPr>
                <w:rFonts w:ascii="Calibri" w:hAnsi="Calibri" w:cs="Calibri"/>
                <w:sz w:val="18"/>
                <w:szCs w:val="18"/>
              </w:rPr>
              <w:t> </w:t>
            </w:r>
          </w:p>
          <w:p w14:paraId="0BE8C00A" w14:textId="7A800E0B" w:rsidR="00AB79C3" w:rsidRPr="00AB79C3" w:rsidRDefault="00AB79C3" w:rsidP="00955113">
            <w:pPr>
              <w:tabs>
                <w:tab w:val="right" w:pos="932"/>
                <w:tab w:val="left" w:pos="1168"/>
              </w:tabs>
              <w:jc w:val="right"/>
              <w:rPr>
                <w:rFonts w:ascii="Calibri" w:hAnsi="Calibri" w:cs="Calibri"/>
                <w:sz w:val="18"/>
                <w:szCs w:val="18"/>
                <w:lang w:val="fr-FR"/>
              </w:rPr>
            </w:pPr>
            <w:r w:rsidRPr="00AB79C3">
              <w:rPr>
                <w:rFonts w:ascii="Calibri" w:hAnsi="Calibri" w:cs="Calibri"/>
                <w:sz w:val="18"/>
                <w:szCs w:val="18"/>
                <w:lang w:val="fr-FR"/>
              </w:rPr>
              <w:t>SB</w:t>
            </w:r>
            <w:r w:rsidRPr="00AB79C3">
              <w:rPr>
                <w:rFonts w:ascii="Calibri" w:hAnsi="Calibri" w:cs="Calibri"/>
                <w:sz w:val="18"/>
                <w:szCs w:val="18"/>
                <w:vertAlign w:val="subscript"/>
                <w:lang w:val="fr-FR"/>
              </w:rPr>
              <w:t>2023/</w:t>
            </w:r>
            <w:r w:rsidRPr="00AB79C3">
              <w:rPr>
                <w:rFonts w:ascii="Calibri" w:hAnsi="Calibri" w:cs="Calibri"/>
                <w:sz w:val="18"/>
                <w:szCs w:val="18"/>
                <w:lang w:val="fr-FR"/>
              </w:rPr>
              <w:t>SB</w:t>
            </w:r>
            <w:r w:rsidRPr="00AB79C3">
              <w:rPr>
                <w:rFonts w:ascii="Calibri" w:hAnsi="Calibri" w:cs="Calibri"/>
                <w:sz w:val="18"/>
                <w:szCs w:val="18"/>
                <w:vertAlign w:val="subscript"/>
                <w:lang w:val="fr-FR"/>
              </w:rPr>
              <w:t xml:space="preserve">MSY </w:t>
            </w:r>
            <w:r w:rsidRPr="00AB79C3">
              <w:rPr>
                <w:rFonts w:ascii="Calibri" w:hAnsi="Calibri" w:cs="Calibri"/>
                <w:sz w:val="18"/>
                <w:szCs w:val="18"/>
                <w:lang w:val="fr-FR"/>
              </w:rPr>
              <w:t>(80% CI)</w:t>
            </w:r>
            <w:r w:rsidR="00955113">
              <w:rPr>
                <w:rFonts w:ascii="Calibri" w:hAnsi="Calibri" w:cs="Calibri"/>
                <w:sz w:val="18"/>
                <w:szCs w:val="18"/>
                <w:lang w:val="fr-FR"/>
              </w:rPr>
              <w:t> :</w:t>
            </w:r>
            <w:r w:rsidR="00955113" w:rsidRPr="00955113">
              <w:rPr>
                <w:rFonts w:ascii="Calibri" w:hAnsi="Calibri" w:cs="Calibri"/>
                <w:sz w:val="18"/>
                <w:szCs w:val="18"/>
                <w:lang w:val="fr-FR"/>
              </w:rPr>
              <w:t xml:space="preserve"> </w:t>
            </w:r>
            <w:r w:rsidR="00955113" w:rsidRPr="005D4E4F">
              <w:rPr>
                <w:rFonts w:ascii="Calibri" w:hAnsi="Calibri" w:cs="Calibri"/>
                <w:sz w:val="18"/>
                <w:szCs w:val="18"/>
                <w:lang w:val="fr-FR"/>
              </w:rPr>
              <w:t>1.34 (1.15 - 1.53)</w:t>
            </w:r>
            <w:r w:rsidR="003F24BC" w:rsidRPr="007A45DD">
              <w:rPr>
                <w:rFonts w:ascii="Calibri" w:hAnsi="Calibri" w:cs="Calibri"/>
                <w:sz w:val="18"/>
                <w:szCs w:val="18"/>
                <w:vertAlign w:val="superscript"/>
                <w:lang w:val="fr-FR"/>
              </w:rPr>
              <w:t xml:space="preserve"> </w:t>
            </w:r>
            <w:r w:rsidR="003F24BC" w:rsidRPr="007A45DD">
              <w:rPr>
                <w:rFonts w:ascii="Calibri" w:hAnsi="Calibri" w:cs="Calibri"/>
                <w:sz w:val="18"/>
                <w:szCs w:val="18"/>
                <w:vertAlign w:val="superscript"/>
                <w:lang w:val="fr-FR"/>
              </w:rPr>
              <w:t>4</w:t>
            </w:r>
            <w:r w:rsidR="00955113" w:rsidRPr="005D4E4F">
              <w:rPr>
                <w:rFonts w:ascii="Calibri" w:hAnsi="Calibri" w:cs="Calibri"/>
                <w:sz w:val="18"/>
                <w:szCs w:val="18"/>
              </w:rPr>
              <w:t> </w:t>
            </w:r>
          </w:p>
          <w:p w14:paraId="50AA3058" w14:textId="439900BF" w:rsidR="007A45DD" w:rsidRDefault="00AB79C3" w:rsidP="00955113">
            <w:pPr>
              <w:tabs>
                <w:tab w:val="right" w:pos="932"/>
                <w:tab w:val="left" w:pos="1168"/>
              </w:tabs>
              <w:jc w:val="right"/>
              <w:rPr>
                <w:rFonts w:ascii="Calibri" w:hAnsi="Calibri" w:cs="Calibri"/>
                <w:sz w:val="18"/>
                <w:szCs w:val="18"/>
                <w:lang w:val="fr-FR"/>
              </w:rPr>
            </w:pPr>
            <w:r w:rsidRPr="00AB79C3">
              <w:rPr>
                <w:rFonts w:ascii="Calibri" w:hAnsi="Calibri" w:cs="Calibri"/>
                <w:sz w:val="18"/>
                <w:szCs w:val="18"/>
                <w:lang w:val="fr-FR"/>
              </w:rPr>
              <w:t>SB</w:t>
            </w:r>
            <w:r w:rsidRPr="00AB79C3">
              <w:rPr>
                <w:rFonts w:ascii="Calibri" w:hAnsi="Calibri" w:cs="Calibri"/>
                <w:sz w:val="18"/>
                <w:szCs w:val="18"/>
                <w:vertAlign w:val="subscript"/>
                <w:lang w:val="fr-FR"/>
              </w:rPr>
              <w:t>2023</w:t>
            </w:r>
            <w:r w:rsidRPr="00AB79C3">
              <w:rPr>
                <w:rFonts w:ascii="Calibri" w:hAnsi="Calibri" w:cs="Calibri"/>
                <w:sz w:val="18"/>
                <w:szCs w:val="18"/>
                <w:lang w:val="fr-FR"/>
              </w:rPr>
              <w:t>/SB</w:t>
            </w:r>
            <w:r w:rsidRPr="00AB79C3">
              <w:rPr>
                <w:rFonts w:ascii="Calibri" w:hAnsi="Calibri" w:cs="Calibri"/>
                <w:sz w:val="18"/>
                <w:szCs w:val="18"/>
                <w:vertAlign w:val="subscript"/>
                <w:lang w:val="fr-FR"/>
              </w:rPr>
              <w:t xml:space="preserve">0 </w:t>
            </w:r>
            <w:r w:rsidRPr="00AB79C3">
              <w:rPr>
                <w:rFonts w:ascii="Calibri" w:hAnsi="Calibri" w:cs="Calibri"/>
                <w:sz w:val="18"/>
                <w:szCs w:val="18"/>
                <w:lang w:val="fr-FR"/>
              </w:rPr>
              <w:t>(80% CI)</w:t>
            </w:r>
            <w:r w:rsidR="00955113">
              <w:rPr>
                <w:rFonts w:ascii="Calibri" w:hAnsi="Calibri" w:cs="Calibri"/>
                <w:sz w:val="18"/>
                <w:szCs w:val="18"/>
                <w:lang w:val="fr-FR"/>
              </w:rPr>
              <w:t xml:space="preserve"> : </w:t>
            </w:r>
            <w:r w:rsidR="00955113" w:rsidRPr="005D4E4F">
              <w:rPr>
                <w:rFonts w:ascii="Calibri" w:hAnsi="Calibri" w:cs="Calibri"/>
                <w:sz w:val="18"/>
                <w:szCs w:val="18"/>
                <w:lang w:val="fr-FR"/>
              </w:rPr>
              <w:t>0.67 (0.58 - 0.76)</w:t>
            </w:r>
            <w:r w:rsidR="003F24BC" w:rsidRPr="007A45DD">
              <w:rPr>
                <w:rFonts w:ascii="Calibri" w:hAnsi="Calibri" w:cs="Calibri"/>
                <w:sz w:val="18"/>
                <w:szCs w:val="18"/>
                <w:vertAlign w:val="superscript"/>
                <w:lang w:val="fr-FR"/>
              </w:rPr>
              <w:t xml:space="preserve"> </w:t>
            </w:r>
            <w:r w:rsidR="003F24BC" w:rsidRPr="007A45DD">
              <w:rPr>
                <w:rFonts w:ascii="Calibri" w:hAnsi="Calibri" w:cs="Calibri"/>
                <w:sz w:val="18"/>
                <w:szCs w:val="18"/>
                <w:vertAlign w:val="superscript"/>
                <w:lang w:val="fr-FR"/>
              </w:rPr>
              <w:t>4</w:t>
            </w:r>
          </w:p>
          <w:p w14:paraId="1B2C55B4" w14:textId="77777777" w:rsidR="007A45DD" w:rsidRDefault="007A45DD" w:rsidP="00955113">
            <w:pPr>
              <w:tabs>
                <w:tab w:val="right" w:pos="932"/>
                <w:tab w:val="left" w:pos="1168"/>
              </w:tabs>
              <w:jc w:val="right"/>
              <w:rPr>
                <w:rFonts w:ascii="Calibri" w:hAnsi="Calibri" w:cs="Calibri"/>
                <w:sz w:val="18"/>
                <w:szCs w:val="18"/>
              </w:rPr>
            </w:pPr>
          </w:p>
          <w:p w14:paraId="7ECA3D22" w14:textId="5FBE83F0" w:rsidR="00AB79C3" w:rsidRPr="003F24BC" w:rsidRDefault="003F24BC" w:rsidP="003F24BC">
            <w:pPr>
              <w:rPr>
                <w:rFonts w:ascii="Calibri" w:eastAsia="Calibri" w:hAnsi="Calibri" w:cs="Calibri"/>
                <w:sz w:val="18"/>
                <w:szCs w:val="18"/>
                <w:vertAlign w:val="superscript"/>
              </w:rPr>
            </w:pPr>
            <w:r w:rsidRPr="007A45DD">
              <w:rPr>
                <w:rFonts w:ascii="Calibri" w:hAnsi="Calibri" w:cs="Calibri"/>
                <w:sz w:val="18"/>
                <w:szCs w:val="18"/>
                <w:vertAlign w:val="superscript"/>
                <w:lang w:val="fr-FR"/>
              </w:rPr>
              <w:t>4</w:t>
            </w:r>
            <w:r w:rsidR="007A45DD">
              <w:rPr>
                <w:rFonts w:ascii="Calibri" w:eastAsia="Calibri" w:hAnsi="Calibri" w:cs="Calibri"/>
                <w:sz w:val="18"/>
                <w:szCs w:val="18"/>
              </w:rPr>
              <w:t>These figures are outputs from the 2025 stock assessment and are not endorsed for management advice. Please s</w:t>
            </w:r>
            <w:r w:rsidR="007A45DD" w:rsidRPr="002046CE">
              <w:rPr>
                <w:rFonts w:ascii="Calibri" w:eastAsia="Calibri" w:hAnsi="Calibri" w:cs="Calibri"/>
                <w:sz w:val="18"/>
                <w:szCs w:val="18"/>
              </w:rPr>
              <w:t>ee</w:t>
            </w:r>
            <w:r w:rsidR="007A45DD">
              <w:rPr>
                <w:rFonts w:ascii="Calibri" w:eastAsia="Calibri" w:hAnsi="Calibri" w:cs="Calibri"/>
                <w:sz w:val="18"/>
                <w:szCs w:val="18"/>
              </w:rPr>
              <w:t xml:space="preserve"> the section on management advice for further explanations on these estimates.</w:t>
            </w:r>
            <w:r w:rsidR="00AB79C3" w:rsidRPr="00AB79C3">
              <w:rPr>
                <w:rFonts w:ascii="Calibri" w:hAnsi="Calibri" w:cs="Calibri"/>
                <w:sz w:val="18"/>
                <w:szCs w:val="18"/>
              </w:rPr>
              <w:t> </w:t>
            </w:r>
          </w:p>
        </w:tc>
        <w:tc>
          <w:tcPr>
            <w:tcW w:w="607" w:type="dxa"/>
            <w:tcBorders>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tcPr>
          <w:p w14:paraId="110C759E" w14:textId="77777777" w:rsidR="00875D9F" w:rsidRPr="00AB79C3" w:rsidRDefault="00875D9F" w:rsidP="00875D9F">
            <w:pPr>
              <w:jc w:val="center"/>
              <w:rPr>
                <w:rFonts w:ascii="Calibri" w:hAnsi="Calibri" w:cs="Calibri"/>
                <w:sz w:val="16"/>
                <w:szCs w:val="16"/>
                <w:lang w:val="fr-FR" w:eastAsia="en-US"/>
              </w:rPr>
            </w:pPr>
          </w:p>
        </w:tc>
        <w:tc>
          <w:tcPr>
            <w:tcW w:w="611" w:type="dxa"/>
            <w:tcBorders>
              <w:left w:val="single" w:sz="4" w:space="0" w:color="000000" w:themeColor="text1"/>
              <w:bottom w:val="single" w:sz="4" w:space="0" w:color="000000" w:themeColor="text1"/>
              <w:right w:val="single" w:sz="4" w:space="0" w:color="000000" w:themeColor="text1"/>
            </w:tcBorders>
            <w:shd w:val="clear" w:color="auto" w:fill="00B050"/>
            <w:vAlign w:val="center"/>
          </w:tcPr>
          <w:p w14:paraId="2608F19C" w14:textId="77777777" w:rsidR="00875D9F" w:rsidRPr="00AB79C3" w:rsidRDefault="00875D9F" w:rsidP="00875D9F">
            <w:pPr>
              <w:jc w:val="center"/>
              <w:rPr>
                <w:rFonts w:ascii="Calibri" w:hAnsi="Calibri" w:cs="Calibri"/>
                <w:sz w:val="18"/>
                <w:szCs w:val="18"/>
                <w:lang w:val="fr-FR" w:eastAsia="en-US"/>
              </w:rPr>
            </w:pPr>
          </w:p>
        </w:tc>
        <w:tc>
          <w:tcPr>
            <w:tcW w:w="622" w:type="dxa"/>
            <w:tcBorders>
              <w:left w:val="single" w:sz="4" w:space="0" w:color="000000" w:themeColor="text1"/>
              <w:bottom w:val="single" w:sz="4" w:space="0" w:color="000000" w:themeColor="text1"/>
              <w:right w:val="single" w:sz="4" w:space="0" w:color="000000" w:themeColor="text1"/>
            </w:tcBorders>
            <w:shd w:val="clear" w:color="auto" w:fill="00B050"/>
            <w:vAlign w:val="center"/>
          </w:tcPr>
          <w:p w14:paraId="4029C4E4" w14:textId="77777777" w:rsidR="00875D9F" w:rsidRPr="00AB79C3" w:rsidRDefault="00875D9F" w:rsidP="00875D9F">
            <w:pPr>
              <w:jc w:val="center"/>
              <w:rPr>
                <w:rFonts w:ascii="Calibri" w:hAnsi="Calibri" w:cs="Calibri"/>
                <w:sz w:val="18"/>
                <w:szCs w:val="18"/>
                <w:lang w:val="fr-FR" w:eastAsia="en-US"/>
              </w:rPr>
            </w:pPr>
          </w:p>
        </w:tc>
        <w:tc>
          <w:tcPr>
            <w:tcW w:w="635" w:type="dxa"/>
            <w:tcBorders>
              <w:left w:val="single" w:sz="4" w:space="0" w:color="000000" w:themeColor="text1"/>
              <w:bottom w:val="single" w:sz="4" w:space="0" w:color="000000" w:themeColor="text1"/>
              <w:right w:val="single" w:sz="4" w:space="0" w:color="000000" w:themeColor="text1"/>
            </w:tcBorders>
            <w:shd w:val="clear" w:color="auto" w:fill="00B050"/>
          </w:tcPr>
          <w:p w14:paraId="0D7E6C3F" w14:textId="77777777" w:rsidR="00875D9F" w:rsidRPr="00AB79C3" w:rsidRDefault="00875D9F" w:rsidP="00875D9F">
            <w:pPr>
              <w:spacing w:before="120" w:after="120"/>
              <w:jc w:val="both"/>
              <w:rPr>
                <w:rFonts w:ascii="Calibri" w:hAnsi="Calibri" w:cs="Calibri"/>
                <w:sz w:val="18"/>
                <w:szCs w:val="18"/>
                <w:lang w:val="fr-FR" w:eastAsia="en-US"/>
              </w:rPr>
            </w:pPr>
          </w:p>
        </w:tc>
        <w:tc>
          <w:tcPr>
            <w:tcW w:w="669" w:type="dxa"/>
            <w:tcBorders>
              <w:left w:val="single" w:sz="4" w:space="0" w:color="000000" w:themeColor="text1"/>
              <w:bottom w:val="single" w:sz="4" w:space="0" w:color="000000" w:themeColor="text1"/>
              <w:right w:val="single" w:sz="4" w:space="0" w:color="000000" w:themeColor="text1"/>
            </w:tcBorders>
            <w:shd w:val="clear" w:color="auto" w:fill="00B050"/>
            <w:vAlign w:val="center"/>
          </w:tcPr>
          <w:p w14:paraId="78AF66A5" w14:textId="635FD42D" w:rsidR="00875D9F" w:rsidRPr="003545A6" w:rsidRDefault="00AF294B" w:rsidP="00875D9F">
            <w:pPr>
              <w:spacing w:before="120"/>
              <w:jc w:val="center"/>
              <w:rPr>
                <w:rFonts w:ascii="Calibri" w:hAnsi="Calibri" w:cs="Calibri"/>
                <w:b/>
                <w:sz w:val="18"/>
                <w:szCs w:val="18"/>
                <w:lang w:eastAsia="en-US"/>
              </w:rPr>
            </w:pPr>
            <w:r>
              <w:rPr>
                <w:rFonts w:ascii="Calibri" w:hAnsi="Calibri" w:cs="Calibri"/>
                <w:b/>
                <w:color w:val="FFFFFF" w:themeColor="background1"/>
                <w:sz w:val="18"/>
                <w:szCs w:val="18"/>
                <w:lang w:eastAsia="en-US"/>
              </w:rPr>
              <w:t>92%</w:t>
            </w:r>
          </w:p>
        </w:tc>
        <w:tc>
          <w:tcPr>
            <w:tcW w:w="7633" w:type="dxa"/>
            <w:tcBorders>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4E35A89" w14:textId="44ABA2D5" w:rsidR="00B8268B" w:rsidRPr="00B8268B" w:rsidRDefault="00875D9F" w:rsidP="00B8268B">
            <w:pPr>
              <w:spacing w:before="120"/>
              <w:jc w:val="both"/>
              <w:rPr>
                <w:rFonts w:ascii="Calibri" w:hAnsi="Calibri" w:cs="Calibri"/>
                <w:sz w:val="18"/>
                <w:szCs w:val="18"/>
                <w:lang w:val="en-AU"/>
              </w:rPr>
            </w:pPr>
            <w:r w:rsidRPr="3F1DEBE1">
              <w:rPr>
                <w:rFonts w:ascii="Calibri" w:hAnsi="Calibri" w:cs="Calibri"/>
                <w:b/>
                <w:bCs/>
                <w:i/>
                <w:iCs/>
                <w:sz w:val="18"/>
                <w:szCs w:val="18"/>
                <w:lang w:eastAsia="en-US"/>
              </w:rPr>
              <w:t xml:space="preserve">Stock status: </w:t>
            </w:r>
            <w:r w:rsidR="00B8268B" w:rsidRPr="00B8268B">
              <w:rPr>
                <w:rFonts w:ascii="Calibri" w:hAnsi="Calibri" w:cs="Calibri"/>
                <w:sz w:val="18"/>
                <w:szCs w:val="18"/>
              </w:rPr>
              <w:t>A new iteration of a Bayesian state-space production model (age-aggregated) JABBA stock assessment was carried out for Indo-Pacific Sailfish in 2025, using data up to 2023.  Prior to this, in 2015 and 2019, data poor methods (Catch-MSY) were utilised to provide stock status for Indo-Pacific sailfish. These methods rely on catch data only, which is highly uncertain for this species, and resulted in an undefined stock status. </w:t>
            </w:r>
          </w:p>
          <w:p w14:paraId="4C3FEBA7" w14:textId="1BD2A3CF" w:rsidR="00B8268B" w:rsidRPr="00B8268B" w:rsidRDefault="00B8268B" w:rsidP="00B8268B">
            <w:pPr>
              <w:spacing w:before="120"/>
              <w:jc w:val="both"/>
              <w:rPr>
                <w:rFonts w:ascii="Calibri" w:hAnsi="Calibri" w:cs="Calibri"/>
                <w:sz w:val="18"/>
                <w:szCs w:val="18"/>
                <w:lang w:val="en-AU"/>
              </w:rPr>
            </w:pPr>
            <w:r w:rsidRPr="00B8268B">
              <w:rPr>
                <w:rFonts w:ascii="Calibri" w:hAnsi="Calibri" w:cs="Calibri"/>
                <w:sz w:val="18"/>
                <w:szCs w:val="18"/>
              </w:rPr>
              <w:t>To overcome the lack of standardised CPUE indices or alternative abundance indices for this species, this assessment followed the methods of the previous assessment in 2022 (Parker et. al. (2022)) where length-frequency data were used to estimate the annual Spawning Potential Ratio (SPR) using the length-based spawning potential ratio (LBSPR) method. Annual estimates of SPR were then normalised in the JARA (Just Another Red List Assessment) model to provide an index that was assumed to be proportional to spawning biomass. This index was then incorporated as an index of relative abundance in a JABBA model. </w:t>
            </w:r>
          </w:p>
          <w:p w14:paraId="79897EA3" w14:textId="6B4428DC" w:rsidR="00B8268B" w:rsidRPr="00B8268B" w:rsidRDefault="00B8268B" w:rsidP="00B8268B">
            <w:pPr>
              <w:spacing w:before="120"/>
              <w:jc w:val="both"/>
              <w:rPr>
                <w:rFonts w:ascii="Calibri" w:hAnsi="Calibri" w:cs="Calibri"/>
                <w:sz w:val="18"/>
                <w:szCs w:val="18"/>
                <w:lang w:val="en-AU"/>
              </w:rPr>
            </w:pPr>
            <w:r w:rsidRPr="00B8268B">
              <w:rPr>
                <w:rFonts w:ascii="Calibri" w:hAnsi="Calibri" w:cs="Calibri"/>
                <w:sz w:val="18"/>
                <w:szCs w:val="18"/>
              </w:rPr>
              <w:t>This is a novel technique applied to overcome the paucity of abundance data for Indo-Pacific sailfish</w:t>
            </w:r>
            <w:r w:rsidR="007508EA">
              <w:rPr>
                <w:rFonts w:ascii="Calibri" w:hAnsi="Calibri" w:cs="Calibri"/>
                <w:sz w:val="18"/>
                <w:szCs w:val="18"/>
              </w:rPr>
              <w:t xml:space="preserve"> </w:t>
            </w:r>
            <w:r w:rsidR="007508EA">
              <w:rPr>
                <w:rFonts w:ascii="Calibri" w:hAnsi="Calibri" w:cs="Calibri"/>
                <w:sz w:val="18"/>
                <w:szCs w:val="18"/>
              </w:rPr>
              <w:t>and it had not been thoroughly tested with rigorous simulation-evaluation</w:t>
            </w:r>
            <w:r w:rsidRPr="00B8268B">
              <w:rPr>
                <w:rFonts w:ascii="Calibri" w:hAnsi="Calibri" w:cs="Calibri"/>
                <w:sz w:val="18"/>
                <w:szCs w:val="18"/>
              </w:rPr>
              <w:t xml:space="preserve">. This method has key assumptions that raised concerns within members of the WPB23. These three equilibrium assumptions </w:t>
            </w:r>
            <w:r w:rsidR="00B13D96">
              <w:rPr>
                <w:rFonts w:ascii="Calibri" w:hAnsi="Calibri" w:cs="Calibri"/>
                <w:sz w:val="18"/>
                <w:szCs w:val="18"/>
              </w:rPr>
              <w:t xml:space="preserve">that are likely to be violated </w:t>
            </w:r>
            <w:r w:rsidRPr="00B8268B">
              <w:rPr>
                <w:rFonts w:ascii="Calibri" w:hAnsi="Calibri" w:cs="Calibri"/>
                <w:sz w:val="18"/>
                <w:szCs w:val="18"/>
              </w:rPr>
              <w:t>are: 1) annual recruitment is assumed to be constant over time without directional trends; 2) length-frequency data used to derive the SPR trends is representative of the population; 3) selectivity is non-varying, and follows a logistic form.  </w:t>
            </w:r>
          </w:p>
          <w:p w14:paraId="78365218" w14:textId="6E4F1F90" w:rsidR="00B8268B" w:rsidRPr="00B8268B" w:rsidRDefault="00B8268B" w:rsidP="00B8268B">
            <w:pPr>
              <w:spacing w:before="120"/>
              <w:jc w:val="both"/>
              <w:rPr>
                <w:rFonts w:ascii="Calibri" w:hAnsi="Calibri" w:cs="Calibri"/>
                <w:sz w:val="18"/>
                <w:szCs w:val="18"/>
                <w:lang w:val="en-AU"/>
              </w:rPr>
            </w:pPr>
            <w:r w:rsidRPr="00B8268B">
              <w:rPr>
                <w:rFonts w:ascii="Calibri" w:hAnsi="Calibri" w:cs="Calibri"/>
                <w:sz w:val="18"/>
                <w:szCs w:val="18"/>
                <w:lang w:val="en-AU"/>
              </w:rPr>
              <w:lastRenderedPageBreak/>
              <w:t>The previous iteration of the Indo-Pacific sailfish assessment also noted the same concerns, and it was agreed by the SC in 2022 that the methodology of converting the length data into an index of relative abundance required further review. </w:t>
            </w:r>
            <w:r w:rsidRPr="00B8268B">
              <w:rPr>
                <w:rFonts w:ascii="Calibri" w:hAnsi="Calibri" w:cs="Calibri"/>
                <w:sz w:val="18"/>
                <w:szCs w:val="18"/>
              </w:rPr>
              <w:t xml:space="preserve"> At the time of the assessment in 2025, there was uncertainty regarding how much the current assessment results are impacted by the violation of the assumptions listed above. It was discussed that it was possible that if assumptions are violated, the index of abundance could be showing trends that are diametrically opposed to the true population trend.  </w:t>
            </w:r>
            <w:r w:rsidRPr="00B8268B">
              <w:rPr>
                <w:rFonts w:ascii="Calibri" w:hAnsi="Calibri" w:cs="Calibri"/>
                <w:sz w:val="18"/>
                <w:szCs w:val="18"/>
                <w:lang w:val="en-AU"/>
              </w:rPr>
              <w:t>It was recommended by the WPB23 that th</w:t>
            </w:r>
            <w:r w:rsidRPr="00B8268B">
              <w:rPr>
                <w:rFonts w:ascii="Calibri" w:hAnsi="Calibri" w:cs="Calibri"/>
                <w:sz w:val="18"/>
                <w:szCs w:val="18"/>
              </w:rPr>
              <w:t xml:space="preserve">e extent of the potential bias </w:t>
            </w:r>
            <w:r w:rsidRPr="00B8268B">
              <w:rPr>
                <w:rFonts w:ascii="Calibri" w:hAnsi="Calibri" w:cs="Calibri"/>
                <w:sz w:val="18"/>
                <w:szCs w:val="18"/>
                <w:lang w:val="en-AU"/>
              </w:rPr>
              <w:t>must</w:t>
            </w:r>
            <w:r w:rsidRPr="00B8268B">
              <w:rPr>
                <w:rFonts w:ascii="Calibri" w:hAnsi="Calibri" w:cs="Calibri"/>
                <w:sz w:val="18"/>
                <w:szCs w:val="18"/>
              </w:rPr>
              <w:t xml:space="preserve"> be evaluated with a simulation</w:t>
            </w:r>
            <w:r w:rsidRPr="00B8268B">
              <w:rPr>
                <w:rFonts w:ascii="Calibri" w:hAnsi="Calibri" w:cs="Calibri"/>
                <w:sz w:val="18"/>
                <w:szCs w:val="18"/>
                <w:lang w:val="en-AU"/>
              </w:rPr>
              <w:t xml:space="preserve"> study </w:t>
            </w:r>
            <w:r w:rsidRPr="00B8268B">
              <w:rPr>
                <w:rFonts w:ascii="Calibri" w:hAnsi="Calibri" w:cs="Calibri"/>
                <w:sz w:val="18"/>
                <w:szCs w:val="18"/>
              </w:rPr>
              <w:t xml:space="preserve">which will inform whether this index is acceptable for use in the </w:t>
            </w:r>
            <w:r w:rsidRPr="00B8268B">
              <w:rPr>
                <w:rFonts w:ascii="Calibri" w:hAnsi="Calibri" w:cs="Calibri"/>
                <w:sz w:val="18"/>
                <w:szCs w:val="18"/>
                <w:lang w:val="en-AU"/>
              </w:rPr>
              <w:t>Indo-Pacific sailfish stock assessment</w:t>
            </w:r>
            <w:r w:rsidRPr="00B8268B">
              <w:rPr>
                <w:rFonts w:ascii="Calibri" w:hAnsi="Calibri" w:cs="Calibri"/>
                <w:sz w:val="18"/>
                <w:szCs w:val="18"/>
              </w:rPr>
              <w:t>. </w:t>
            </w:r>
          </w:p>
          <w:p w14:paraId="56F86DA2" w14:textId="77777777" w:rsidR="00B8268B" w:rsidRPr="00B8268B" w:rsidRDefault="00B8268B" w:rsidP="00B8268B">
            <w:pPr>
              <w:spacing w:before="120"/>
              <w:jc w:val="both"/>
              <w:rPr>
                <w:rFonts w:ascii="Calibri" w:hAnsi="Calibri" w:cs="Calibri"/>
                <w:sz w:val="18"/>
                <w:szCs w:val="18"/>
              </w:rPr>
            </w:pPr>
            <w:r w:rsidRPr="00B8268B">
              <w:rPr>
                <w:rFonts w:ascii="Calibri" w:hAnsi="Calibri" w:cs="Calibri"/>
                <w:sz w:val="18"/>
                <w:szCs w:val="18"/>
              </w:rPr>
              <w:t>The results of the LBSPR portion of the assessment indicate that there has been a 45.5 % decline in SPR since 1970. The latest (2023) estimate of B/B</w:t>
            </w:r>
            <w:r w:rsidRPr="00B8268B">
              <w:rPr>
                <w:rFonts w:ascii="Calibri" w:hAnsi="Calibri" w:cs="Calibri"/>
                <w:sz w:val="18"/>
                <w:szCs w:val="18"/>
                <w:vertAlign w:val="subscript"/>
              </w:rPr>
              <w:t>MSY</w:t>
            </w:r>
            <w:r w:rsidRPr="00B8268B">
              <w:rPr>
                <w:rFonts w:ascii="Calibri" w:hAnsi="Calibri" w:cs="Calibri"/>
                <w:sz w:val="18"/>
                <w:szCs w:val="18"/>
              </w:rPr>
              <w:t xml:space="preserve"> was 1.34, while the F/F</w:t>
            </w:r>
            <w:r w:rsidRPr="00B8268B">
              <w:rPr>
                <w:rFonts w:ascii="Calibri" w:hAnsi="Calibri" w:cs="Calibri"/>
                <w:sz w:val="18"/>
                <w:szCs w:val="18"/>
                <w:vertAlign w:val="subscript"/>
              </w:rPr>
              <w:t>MSY</w:t>
            </w:r>
            <w:r w:rsidRPr="00B8268B">
              <w:rPr>
                <w:rFonts w:ascii="Calibri" w:hAnsi="Calibri" w:cs="Calibri"/>
                <w:sz w:val="18"/>
                <w:szCs w:val="18"/>
              </w:rPr>
              <w:t xml:space="preserve"> estimate was 0.69. Additionally, concern was raised regarding the high levels of current catches (31,898 t in 2023), that are above the previous MSY estimate of 25,905 t, and close to the current, higher estimate of MSY of 34,300 t. </w:t>
            </w:r>
          </w:p>
          <w:p w14:paraId="4084BF4C" w14:textId="1DD038E1" w:rsidR="00875D9F" w:rsidRPr="00310B84" w:rsidRDefault="00310B84" w:rsidP="00875D9F">
            <w:pPr>
              <w:spacing w:before="120"/>
              <w:jc w:val="both"/>
              <w:rPr>
                <w:rFonts w:ascii="Calibri" w:hAnsi="Calibri" w:cs="Calibri"/>
                <w:sz w:val="18"/>
                <w:szCs w:val="18"/>
                <w:lang w:val="en-AU"/>
              </w:rPr>
            </w:pPr>
            <w:r w:rsidRPr="00310B84">
              <w:rPr>
                <w:rFonts w:ascii="Calibri" w:hAnsi="Calibri" w:cs="Calibri"/>
                <w:sz w:val="18"/>
                <w:szCs w:val="18"/>
              </w:rPr>
              <w:t xml:space="preserve">On the weight-of-evidence available in 2025, the stock status of Indo-Pacific sailfish is determined to be </w:t>
            </w:r>
            <w:r w:rsidRPr="00310B84">
              <w:rPr>
                <w:rFonts w:ascii="Calibri" w:hAnsi="Calibri" w:cs="Calibri"/>
                <w:b/>
                <w:bCs/>
                <w:i/>
                <w:iCs/>
                <w:sz w:val="18"/>
                <w:szCs w:val="18"/>
              </w:rPr>
              <w:t>not overfished nor subject to overfishing</w:t>
            </w:r>
          </w:p>
          <w:p w14:paraId="6FC7009E" w14:textId="43BD6F01" w:rsidR="00F26026" w:rsidRPr="00F26026" w:rsidRDefault="00875D9F" w:rsidP="00F26026">
            <w:pPr>
              <w:spacing w:before="120" w:after="120"/>
              <w:rPr>
                <w:rFonts w:ascii="Calibri" w:hAnsi="Calibri" w:cs="Calibri"/>
                <w:sz w:val="18"/>
                <w:szCs w:val="18"/>
                <w:lang w:val="en-AU" w:eastAsia="en-US"/>
              </w:rPr>
            </w:pPr>
            <w:r w:rsidRPr="3F1DEBE1">
              <w:rPr>
                <w:rFonts w:ascii="Calibri" w:hAnsi="Calibri" w:cs="Calibri"/>
                <w:b/>
                <w:bCs/>
                <w:i/>
                <w:iCs/>
                <w:sz w:val="18"/>
                <w:szCs w:val="18"/>
                <w:lang w:eastAsia="en-US"/>
              </w:rPr>
              <w:t>Management advice</w:t>
            </w:r>
            <w:r w:rsidRPr="3F1DEBE1">
              <w:rPr>
                <w:rFonts w:ascii="Calibri" w:hAnsi="Calibri" w:cs="Calibri"/>
                <w:b/>
                <w:bCs/>
                <w:sz w:val="18"/>
                <w:szCs w:val="18"/>
                <w:lang w:eastAsia="en-US"/>
              </w:rPr>
              <w:t xml:space="preserve">: </w:t>
            </w:r>
            <w:r w:rsidR="00F26026" w:rsidRPr="00F26026">
              <w:rPr>
                <w:rFonts w:ascii="Calibri" w:hAnsi="Calibri" w:cs="Calibri"/>
                <w:sz w:val="18"/>
                <w:szCs w:val="18"/>
                <w:lang w:eastAsia="en-US"/>
              </w:rPr>
              <w:t>Considerable uncertainty remains in the JABBA assessment conducted in 2025, however the trends in key model outputs align relatively well with the 2022 assessment. For this year, due to the uncertainty in the model outputs, the management advice from 2022 would be carried over for one year (1 year) to allow time to complete the simulation studies and provide updated management advice in 2026. It is anticipated that, once the underlying uncertainty in the JABBA assessment is understood and presented at the proposed WPB meeting next year, management advice can be updated.  </w:t>
            </w:r>
          </w:p>
          <w:p w14:paraId="406FB073" w14:textId="12240E93" w:rsidR="00F26026" w:rsidRPr="00F26026" w:rsidRDefault="00F26026" w:rsidP="00F26026">
            <w:pPr>
              <w:spacing w:before="120" w:after="120"/>
              <w:rPr>
                <w:rFonts w:ascii="Calibri" w:hAnsi="Calibri" w:cs="Calibri"/>
                <w:sz w:val="18"/>
                <w:szCs w:val="18"/>
                <w:lang w:eastAsia="en-US"/>
              </w:rPr>
            </w:pPr>
            <w:r w:rsidRPr="00F26026">
              <w:rPr>
                <w:rFonts w:ascii="Calibri" w:hAnsi="Calibri" w:cs="Calibri"/>
                <w:sz w:val="18"/>
                <w:szCs w:val="18"/>
                <w:lang w:eastAsia="en-US"/>
              </w:rPr>
              <w:t>The</w:t>
            </w:r>
            <w:r w:rsidRPr="00F26026">
              <w:rPr>
                <w:rFonts w:ascii="Calibri" w:hAnsi="Calibri" w:cs="Calibri"/>
                <w:b/>
                <w:bCs/>
                <w:i/>
                <w:iCs/>
                <w:sz w:val="18"/>
                <w:szCs w:val="18"/>
                <w:lang w:eastAsia="en-US"/>
              </w:rPr>
              <w:t xml:space="preserve"> </w:t>
            </w:r>
            <w:r w:rsidRPr="00F26026">
              <w:rPr>
                <w:rFonts w:ascii="Calibri" w:hAnsi="Calibri" w:cs="Calibri"/>
                <w:sz w:val="18"/>
                <w:szCs w:val="18"/>
                <w:lang w:eastAsia="en-US"/>
              </w:rPr>
              <w:t xml:space="preserve">catch limits as stipulated in </w:t>
            </w:r>
            <w:hyperlink r:id="rId20" w:tgtFrame="_blank" w:history="1">
              <w:r w:rsidRPr="00F26026">
                <w:rPr>
                  <w:rStyle w:val="Hyperlink"/>
                  <w:rFonts w:ascii="Calibri" w:hAnsi="Calibri" w:cs="Calibri"/>
                  <w:sz w:val="18"/>
                  <w:szCs w:val="18"/>
                  <w:lang w:eastAsia="en-US"/>
                </w:rPr>
                <w:t>Resolution 18/05</w:t>
              </w:r>
            </w:hyperlink>
            <w:r w:rsidRPr="00F26026">
              <w:rPr>
                <w:rFonts w:ascii="Calibri" w:hAnsi="Calibri" w:cs="Calibri"/>
                <w:sz w:val="18"/>
                <w:szCs w:val="18"/>
                <w:lang w:eastAsia="en-US"/>
              </w:rPr>
              <w:t xml:space="preserve"> have been exceeded since 2020, which as per resolution 18/05, requires a review of the resolution. Furthermore, these limits are not based on estimates of most recent stock assessment. it is recommended that the Commission review the implementation and effectiveness of the measures contained in this Resolution and consider the adoption of additional conservation and management measures. The Commission should provide mechanisms to ensure that catch limits are not exceeded by all concerned fisheries. Research emphasis on further developing possible CPUE indicators from coastal gillnet and longline fisheries, and further exploration of stock assessment approaches for data poor fisheries are warranted. Given the limited data being reported for coastal fisheries, and the importance of sports fisheries for this species, efforts must be made to rectify these information gaps. </w:t>
            </w:r>
          </w:p>
          <w:p w14:paraId="5C66820F" w14:textId="451E706D" w:rsidR="00875D9F" w:rsidRPr="003545A6" w:rsidRDefault="00875D9F" w:rsidP="00875D9F">
            <w:pPr>
              <w:spacing w:before="120" w:after="120"/>
              <w:rPr>
                <w:rFonts w:ascii="Calibri" w:hAnsi="Calibri" w:cs="Calibri"/>
                <w:sz w:val="18"/>
                <w:szCs w:val="18"/>
                <w:lang w:eastAsia="en-US"/>
              </w:rPr>
            </w:pPr>
            <w:r w:rsidRPr="003545A6">
              <w:rPr>
                <w:rFonts w:ascii="Calibri" w:hAnsi="Calibri" w:cs="Calibri"/>
                <w:sz w:val="18"/>
                <w:szCs w:val="18"/>
                <w:lang w:eastAsia="en-US"/>
              </w:rPr>
              <w:t xml:space="preserve">Click here for full stock status summary: </w:t>
            </w:r>
            <w:hyperlink w:anchor="APP8">
              <w:r w:rsidRPr="003545A6">
                <w:rPr>
                  <w:rStyle w:val="Hyperlink"/>
                  <w:rFonts w:ascii="Calibri" w:hAnsi="Calibri" w:cs="Calibri"/>
                  <w:sz w:val="18"/>
                  <w:szCs w:val="18"/>
                  <w:lang w:eastAsia="en-US"/>
                </w:rPr>
                <w:t>Appendix VIII</w:t>
              </w:r>
            </w:hyperlink>
          </w:p>
        </w:tc>
      </w:tr>
    </w:tbl>
    <w:p w14:paraId="2B7ACA4F" w14:textId="77777777" w:rsidR="008034DE" w:rsidRPr="003545A6" w:rsidRDefault="008034DE" w:rsidP="008034DE">
      <w:pPr>
        <w:tabs>
          <w:tab w:val="right" w:pos="932"/>
          <w:tab w:val="left" w:pos="1168"/>
        </w:tabs>
        <w:ind w:left="405"/>
        <w:rPr>
          <w:rFonts w:ascii="Calibri" w:hAnsi="Calibri" w:cs="Calibri"/>
          <w:sz w:val="18"/>
          <w:szCs w:val="18"/>
          <w:lang w:eastAsia="en-US"/>
        </w:rPr>
      </w:pPr>
      <w:bookmarkStart w:id="10" w:name="_Toc67367524"/>
      <w:bookmarkStart w:id="11" w:name="_Toc218672861"/>
      <w:bookmarkStart w:id="12" w:name="_Toc218916695"/>
      <w:bookmarkStart w:id="13" w:name="_Toc289173006"/>
      <w:bookmarkStart w:id="14" w:name="_Toc163032594"/>
    </w:p>
    <w:p w14:paraId="752EA48E" w14:textId="77777777" w:rsidR="000D15DB" w:rsidRPr="003545A6" w:rsidRDefault="000D15DB" w:rsidP="008034DE">
      <w:pPr>
        <w:tabs>
          <w:tab w:val="right" w:pos="932"/>
          <w:tab w:val="left" w:pos="1168"/>
        </w:tabs>
        <w:ind w:left="405"/>
        <w:rPr>
          <w:rFonts w:ascii="Calibri" w:hAnsi="Calibri" w:cs="Calibri"/>
          <w:sz w:val="18"/>
          <w:szCs w:val="18"/>
          <w:lang w:eastAsia="en-US"/>
        </w:rPr>
      </w:pPr>
    </w:p>
    <w:tbl>
      <w:tblPr>
        <w:tblStyle w:val="TableGrid312"/>
        <w:tblW w:w="0" w:type="auto"/>
        <w:jc w:val="center"/>
        <w:shd w:val="clear" w:color="auto" w:fill="FFFFFF" w:themeFill="background1"/>
        <w:tblLook w:val="04A0" w:firstRow="1" w:lastRow="0" w:firstColumn="1" w:lastColumn="0" w:noHBand="0" w:noVBand="1"/>
      </w:tblPr>
      <w:tblGrid>
        <w:gridCol w:w="3799"/>
        <w:gridCol w:w="2951"/>
        <w:gridCol w:w="3109"/>
      </w:tblGrid>
      <w:tr w:rsidR="008D1802" w:rsidRPr="003545A6" w14:paraId="49CE9300" w14:textId="77777777" w:rsidTr="00C2402E">
        <w:trPr>
          <w:jc w:val="center"/>
        </w:trPr>
        <w:tc>
          <w:tcPr>
            <w:tcW w:w="37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3AAEA3" w14:textId="77777777" w:rsidR="00C2402E" w:rsidRPr="003545A6" w:rsidRDefault="00C2402E" w:rsidP="00C2402E">
            <w:pPr>
              <w:keepNext/>
              <w:keepLines/>
              <w:jc w:val="center"/>
              <w:rPr>
                <w:rFonts w:ascii="Calibri" w:hAnsi="Calibri" w:cs="Calibri"/>
                <w:b/>
                <w:sz w:val="18"/>
                <w:szCs w:val="18"/>
                <w:lang w:eastAsia="en-GB"/>
              </w:rPr>
            </w:pPr>
            <w:r w:rsidRPr="003545A6">
              <w:rPr>
                <w:rFonts w:ascii="Calibri" w:hAnsi="Calibri" w:cs="Calibri"/>
                <w:b/>
                <w:sz w:val="18"/>
                <w:szCs w:val="18"/>
                <w:lang w:eastAsia="en-GB"/>
              </w:rPr>
              <w:lastRenderedPageBreak/>
              <w:t>Colour key</w:t>
            </w:r>
          </w:p>
        </w:tc>
        <w:tc>
          <w:tcPr>
            <w:tcW w:w="29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B4A53D7" w14:textId="18CA339D" w:rsidR="00C2402E" w:rsidRPr="003545A6" w:rsidRDefault="00C2402E" w:rsidP="00C2402E">
            <w:pPr>
              <w:keepNext/>
              <w:keepLines/>
              <w:jc w:val="center"/>
              <w:rPr>
                <w:rFonts w:ascii="Calibri" w:hAnsi="Calibri" w:cs="Calibri"/>
                <w:sz w:val="18"/>
                <w:szCs w:val="18"/>
                <w:lang w:eastAsia="en-GB"/>
              </w:rPr>
            </w:pPr>
            <w:r w:rsidRPr="003545A6">
              <w:rPr>
                <w:rFonts w:ascii="Calibri" w:hAnsi="Calibri" w:cs="Calibri"/>
                <w:sz w:val="18"/>
                <w:szCs w:val="18"/>
                <w:lang w:eastAsia="en-GB"/>
              </w:rPr>
              <w:t>Stock overfished</w:t>
            </w:r>
            <w:r w:rsidR="002E06EA" w:rsidRPr="003545A6">
              <w:rPr>
                <w:rFonts w:ascii="Calibri" w:hAnsi="Calibri" w:cs="Calibri"/>
                <w:sz w:val="18"/>
                <w:szCs w:val="18"/>
                <w:lang w:eastAsia="en-GB"/>
              </w:rPr>
              <w:t xml:space="preserve"> </w:t>
            </w:r>
            <w:r w:rsidRPr="003545A6">
              <w:rPr>
                <w:rFonts w:ascii="Calibri" w:hAnsi="Calibri" w:cs="Calibri"/>
                <w:sz w:val="18"/>
                <w:szCs w:val="18"/>
                <w:lang w:eastAsia="en-GB"/>
              </w:rPr>
              <w:t>(SB</w:t>
            </w:r>
            <w:r w:rsidRPr="003545A6">
              <w:rPr>
                <w:rFonts w:ascii="Calibri" w:hAnsi="Calibri" w:cs="Calibri"/>
                <w:sz w:val="18"/>
                <w:szCs w:val="18"/>
                <w:vertAlign w:val="subscript"/>
                <w:lang w:eastAsia="en-GB"/>
              </w:rPr>
              <w:t>year</w:t>
            </w:r>
            <w:r w:rsidRPr="003545A6">
              <w:rPr>
                <w:rFonts w:ascii="Calibri" w:hAnsi="Calibri" w:cs="Calibri"/>
                <w:sz w:val="18"/>
                <w:szCs w:val="18"/>
                <w:lang w:eastAsia="en-GB"/>
              </w:rPr>
              <w:t>/SB</w:t>
            </w:r>
            <w:r w:rsidRPr="003545A6">
              <w:rPr>
                <w:rFonts w:ascii="Calibri" w:hAnsi="Calibri" w:cs="Calibri"/>
                <w:sz w:val="18"/>
                <w:szCs w:val="18"/>
                <w:vertAlign w:val="subscript"/>
                <w:lang w:eastAsia="en-GB"/>
              </w:rPr>
              <w:t>MSY</w:t>
            </w:r>
            <w:r w:rsidRPr="003545A6">
              <w:rPr>
                <w:rFonts w:ascii="Calibri" w:hAnsi="Calibri" w:cs="Calibri"/>
                <w:sz w:val="18"/>
                <w:szCs w:val="18"/>
                <w:lang w:eastAsia="en-GB"/>
              </w:rPr>
              <w:t>&lt; 1)</w:t>
            </w:r>
          </w:p>
        </w:tc>
        <w:tc>
          <w:tcPr>
            <w:tcW w:w="31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7F5AE2" w14:textId="77777777" w:rsidR="00C2402E" w:rsidRPr="003545A6" w:rsidRDefault="00C2402E" w:rsidP="00C2402E">
            <w:pPr>
              <w:keepNext/>
              <w:keepLines/>
              <w:jc w:val="center"/>
              <w:rPr>
                <w:rFonts w:ascii="Calibri" w:hAnsi="Calibri" w:cs="Calibri"/>
                <w:sz w:val="18"/>
                <w:szCs w:val="18"/>
                <w:lang w:eastAsia="en-GB"/>
              </w:rPr>
            </w:pPr>
            <w:r w:rsidRPr="003545A6">
              <w:rPr>
                <w:rFonts w:ascii="Calibri" w:hAnsi="Calibri" w:cs="Calibri"/>
                <w:sz w:val="18"/>
                <w:szCs w:val="18"/>
                <w:lang w:eastAsia="en-GB"/>
              </w:rPr>
              <w:t>Stock not overfished (SB</w:t>
            </w:r>
            <w:r w:rsidRPr="003545A6">
              <w:rPr>
                <w:rFonts w:ascii="Calibri" w:hAnsi="Calibri" w:cs="Calibri"/>
                <w:sz w:val="18"/>
                <w:szCs w:val="18"/>
                <w:vertAlign w:val="subscript"/>
                <w:lang w:eastAsia="en-GB"/>
              </w:rPr>
              <w:t>year</w:t>
            </w:r>
            <w:r w:rsidRPr="003545A6">
              <w:rPr>
                <w:rFonts w:ascii="Calibri" w:hAnsi="Calibri" w:cs="Calibri"/>
                <w:sz w:val="18"/>
                <w:szCs w:val="18"/>
                <w:lang w:eastAsia="en-GB"/>
              </w:rPr>
              <w:t>/SB</w:t>
            </w:r>
            <w:r w:rsidRPr="003545A6">
              <w:rPr>
                <w:rFonts w:ascii="Calibri" w:hAnsi="Calibri" w:cs="Calibri"/>
                <w:sz w:val="18"/>
                <w:szCs w:val="18"/>
                <w:vertAlign w:val="subscript"/>
                <w:lang w:eastAsia="en-GB"/>
              </w:rPr>
              <w:t>MSY</w:t>
            </w:r>
            <w:r w:rsidRPr="003545A6">
              <w:rPr>
                <w:rFonts w:ascii="Calibri" w:hAnsi="Calibri" w:cs="Calibri"/>
                <w:sz w:val="18"/>
                <w:szCs w:val="18"/>
                <w:lang w:eastAsia="en-GB"/>
              </w:rPr>
              <w:t>≥ 1)</w:t>
            </w:r>
          </w:p>
        </w:tc>
      </w:tr>
      <w:tr w:rsidR="008D1802" w:rsidRPr="003545A6" w14:paraId="70B219F0" w14:textId="77777777" w:rsidTr="00C2402E">
        <w:trPr>
          <w:trHeight w:val="224"/>
          <w:jc w:val="center"/>
        </w:trPr>
        <w:tc>
          <w:tcPr>
            <w:tcW w:w="37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EA4D6E" w14:textId="53EF2779" w:rsidR="00C2402E" w:rsidRPr="003545A6" w:rsidRDefault="00C2402E" w:rsidP="00C2402E">
            <w:pPr>
              <w:keepNext/>
              <w:keepLines/>
              <w:jc w:val="center"/>
              <w:rPr>
                <w:rFonts w:ascii="Calibri" w:hAnsi="Calibri" w:cs="Calibri"/>
                <w:sz w:val="18"/>
                <w:szCs w:val="18"/>
                <w:lang w:eastAsia="en-GB"/>
              </w:rPr>
            </w:pPr>
            <w:r w:rsidRPr="003545A6">
              <w:rPr>
                <w:rFonts w:ascii="Calibri" w:hAnsi="Calibri" w:cs="Calibri"/>
                <w:sz w:val="18"/>
                <w:szCs w:val="18"/>
                <w:lang w:eastAsia="en-GB"/>
              </w:rPr>
              <w:t>Stock subject to overfishing</w:t>
            </w:r>
            <w:r w:rsidR="002E06EA" w:rsidRPr="003545A6">
              <w:rPr>
                <w:rFonts w:ascii="Calibri" w:hAnsi="Calibri" w:cs="Calibri"/>
                <w:sz w:val="18"/>
                <w:szCs w:val="18"/>
                <w:lang w:eastAsia="en-GB"/>
              </w:rPr>
              <w:t xml:space="preserve"> </w:t>
            </w:r>
            <w:r w:rsidRPr="003545A6">
              <w:rPr>
                <w:rFonts w:ascii="Calibri" w:hAnsi="Calibri" w:cs="Calibri"/>
                <w:sz w:val="18"/>
                <w:szCs w:val="18"/>
                <w:lang w:eastAsia="en-GB"/>
              </w:rPr>
              <w:t>(F</w:t>
            </w:r>
            <w:r w:rsidRPr="003545A6">
              <w:rPr>
                <w:rFonts w:ascii="Calibri" w:hAnsi="Calibri" w:cs="Calibri"/>
                <w:sz w:val="18"/>
                <w:szCs w:val="18"/>
                <w:vertAlign w:val="subscript"/>
                <w:lang w:eastAsia="en-GB"/>
              </w:rPr>
              <w:t>year</w:t>
            </w:r>
            <w:r w:rsidRPr="003545A6">
              <w:rPr>
                <w:rFonts w:ascii="Calibri" w:hAnsi="Calibri" w:cs="Calibri"/>
                <w:sz w:val="18"/>
                <w:szCs w:val="18"/>
                <w:lang w:eastAsia="en-GB"/>
              </w:rPr>
              <w:t>/F</w:t>
            </w:r>
            <w:r w:rsidRPr="003545A6">
              <w:rPr>
                <w:rFonts w:ascii="Calibri" w:hAnsi="Calibri" w:cs="Calibri"/>
                <w:sz w:val="18"/>
                <w:szCs w:val="18"/>
                <w:vertAlign w:val="subscript"/>
                <w:lang w:eastAsia="en-GB"/>
              </w:rPr>
              <w:t>MSY</w:t>
            </w:r>
            <w:r w:rsidRPr="003545A6">
              <w:rPr>
                <w:rFonts w:ascii="Calibri" w:hAnsi="Calibri" w:cs="Calibri"/>
                <w:sz w:val="18"/>
                <w:szCs w:val="18"/>
                <w:lang w:eastAsia="en-GB"/>
              </w:rPr>
              <w:t>&gt; 1)</w:t>
            </w:r>
          </w:p>
        </w:tc>
        <w:tc>
          <w:tcPr>
            <w:tcW w:w="2951" w:type="dxa"/>
            <w:tcBorders>
              <w:top w:val="single" w:sz="4" w:space="0" w:color="auto"/>
              <w:left w:val="single" w:sz="4" w:space="0" w:color="auto"/>
              <w:bottom w:val="single" w:sz="4" w:space="0" w:color="auto"/>
              <w:right w:val="single" w:sz="4" w:space="0" w:color="auto"/>
            </w:tcBorders>
            <w:shd w:val="clear" w:color="auto" w:fill="FF0000"/>
            <w:vAlign w:val="center"/>
          </w:tcPr>
          <w:p w14:paraId="7BA9340C" w14:textId="77777777" w:rsidR="00C2402E" w:rsidRPr="003545A6" w:rsidRDefault="00C2402E" w:rsidP="00C2402E">
            <w:pPr>
              <w:keepNext/>
              <w:keepLines/>
              <w:jc w:val="center"/>
              <w:rPr>
                <w:rFonts w:ascii="Calibri" w:hAnsi="Calibri" w:cs="Calibri"/>
                <w:sz w:val="18"/>
                <w:szCs w:val="18"/>
                <w:lang w:eastAsia="en-GB"/>
              </w:rPr>
            </w:pPr>
          </w:p>
        </w:tc>
        <w:tc>
          <w:tcPr>
            <w:tcW w:w="3109" w:type="dxa"/>
            <w:tcBorders>
              <w:top w:val="single" w:sz="4" w:space="0" w:color="auto"/>
              <w:left w:val="single" w:sz="4" w:space="0" w:color="auto"/>
              <w:bottom w:val="single" w:sz="4" w:space="0" w:color="auto"/>
              <w:right w:val="single" w:sz="4" w:space="0" w:color="auto"/>
            </w:tcBorders>
            <w:shd w:val="clear" w:color="auto" w:fill="F79646" w:themeFill="accent6"/>
            <w:vAlign w:val="center"/>
          </w:tcPr>
          <w:p w14:paraId="253EAE51" w14:textId="77777777" w:rsidR="00C2402E" w:rsidRPr="003545A6" w:rsidRDefault="00C2402E" w:rsidP="00C2402E">
            <w:pPr>
              <w:keepNext/>
              <w:keepLines/>
              <w:jc w:val="center"/>
              <w:rPr>
                <w:rFonts w:ascii="Calibri" w:hAnsi="Calibri" w:cs="Calibri"/>
                <w:sz w:val="18"/>
                <w:szCs w:val="18"/>
                <w:lang w:eastAsia="en-GB"/>
              </w:rPr>
            </w:pPr>
          </w:p>
        </w:tc>
      </w:tr>
      <w:tr w:rsidR="008D1802" w:rsidRPr="003545A6" w14:paraId="7E970A5C" w14:textId="77777777" w:rsidTr="00C2402E">
        <w:trPr>
          <w:trHeight w:val="260"/>
          <w:jc w:val="center"/>
        </w:trPr>
        <w:tc>
          <w:tcPr>
            <w:tcW w:w="37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B99F515" w14:textId="77777777" w:rsidR="00C2402E" w:rsidRPr="003545A6" w:rsidRDefault="00C2402E" w:rsidP="00C2402E">
            <w:pPr>
              <w:keepNext/>
              <w:keepLines/>
              <w:jc w:val="center"/>
              <w:rPr>
                <w:rFonts w:ascii="Calibri" w:hAnsi="Calibri" w:cs="Calibri"/>
                <w:sz w:val="18"/>
                <w:szCs w:val="18"/>
                <w:lang w:eastAsia="en-GB"/>
              </w:rPr>
            </w:pPr>
            <w:r w:rsidRPr="003545A6">
              <w:rPr>
                <w:rFonts w:ascii="Calibri" w:hAnsi="Calibri" w:cs="Calibri"/>
                <w:sz w:val="18"/>
                <w:szCs w:val="18"/>
                <w:lang w:eastAsia="en-GB"/>
              </w:rPr>
              <w:t>Stock not subject to overfishing (F</w:t>
            </w:r>
            <w:r w:rsidRPr="003545A6">
              <w:rPr>
                <w:rFonts w:ascii="Calibri" w:hAnsi="Calibri" w:cs="Calibri"/>
                <w:sz w:val="18"/>
                <w:szCs w:val="18"/>
                <w:vertAlign w:val="subscript"/>
                <w:lang w:eastAsia="en-GB"/>
              </w:rPr>
              <w:t>year</w:t>
            </w:r>
            <w:r w:rsidRPr="003545A6">
              <w:rPr>
                <w:rFonts w:ascii="Calibri" w:hAnsi="Calibri" w:cs="Calibri"/>
                <w:sz w:val="18"/>
                <w:szCs w:val="18"/>
                <w:lang w:eastAsia="en-GB"/>
              </w:rPr>
              <w:t>/F</w:t>
            </w:r>
            <w:r w:rsidRPr="003545A6">
              <w:rPr>
                <w:rFonts w:ascii="Calibri" w:hAnsi="Calibri" w:cs="Calibri"/>
                <w:sz w:val="18"/>
                <w:szCs w:val="18"/>
                <w:vertAlign w:val="subscript"/>
                <w:lang w:eastAsia="en-GB"/>
              </w:rPr>
              <w:t>MSY</w:t>
            </w:r>
            <w:r w:rsidRPr="003545A6">
              <w:rPr>
                <w:rFonts w:ascii="Calibri" w:hAnsi="Calibri" w:cs="Calibri"/>
                <w:sz w:val="18"/>
                <w:szCs w:val="18"/>
                <w:lang w:eastAsia="en-GB"/>
              </w:rPr>
              <w:t>≤ 1)</w:t>
            </w:r>
          </w:p>
        </w:tc>
        <w:tc>
          <w:tcPr>
            <w:tcW w:w="2951" w:type="dxa"/>
            <w:tcBorders>
              <w:top w:val="single" w:sz="4" w:space="0" w:color="auto"/>
              <w:left w:val="single" w:sz="4" w:space="0" w:color="auto"/>
              <w:bottom w:val="single" w:sz="4" w:space="0" w:color="auto"/>
              <w:right w:val="single" w:sz="4" w:space="0" w:color="auto"/>
            </w:tcBorders>
            <w:shd w:val="clear" w:color="auto" w:fill="FFFF00"/>
            <w:vAlign w:val="center"/>
          </w:tcPr>
          <w:p w14:paraId="5C5C3238" w14:textId="77777777" w:rsidR="00C2402E" w:rsidRPr="003545A6" w:rsidRDefault="00C2402E" w:rsidP="00C2402E">
            <w:pPr>
              <w:keepNext/>
              <w:keepLines/>
              <w:jc w:val="center"/>
              <w:rPr>
                <w:rFonts w:ascii="Calibri" w:hAnsi="Calibri" w:cs="Calibri"/>
                <w:sz w:val="18"/>
                <w:szCs w:val="18"/>
                <w:lang w:eastAsia="en-GB"/>
              </w:rPr>
            </w:pPr>
          </w:p>
        </w:tc>
        <w:tc>
          <w:tcPr>
            <w:tcW w:w="3109" w:type="dxa"/>
            <w:tcBorders>
              <w:top w:val="single" w:sz="4" w:space="0" w:color="auto"/>
              <w:left w:val="single" w:sz="4" w:space="0" w:color="auto"/>
              <w:bottom w:val="single" w:sz="4" w:space="0" w:color="auto"/>
              <w:right w:val="single" w:sz="4" w:space="0" w:color="auto"/>
            </w:tcBorders>
            <w:shd w:val="clear" w:color="auto" w:fill="92D050"/>
            <w:vAlign w:val="center"/>
          </w:tcPr>
          <w:p w14:paraId="57FF7778" w14:textId="77777777" w:rsidR="00C2402E" w:rsidRPr="003545A6" w:rsidRDefault="00C2402E" w:rsidP="00C2402E">
            <w:pPr>
              <w:keepNext/>
              <w:keepLines/>
              <w:jc w:val="center"/>
              <w:rPr>
                <w:rFonts w:ascii="Calibri" w:hAnsi="Calibri" w:cs="Calibri"/>
                <w:sz w:val="18"/>
                <w:szCs w:val="18"/>
                <w:lang w:eastAsia="en-GB"/>
              </w:rPr>
            </w:pPr>
          </w:p>
        </w:tc>
      </w:tr>
      <w:tr w:rsidR="008D1802" w:rsidRPr="009B294D" w14:paraId="0851C538" w14:textId="77777777" w:rsidTr="000D15DB">
        <w:trPr>
          <w:trHeight w:val="260"/>
          <w:jc w:val="center"/>
        </w:trPr>
        <w:tc>
          <w:tcPr>
            <w:tcW w:w="37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756E7A" w14:textId="77777777" w:rsidR="00C2402E" w:rsidRPr="002B2F72" w:rsidRDefault="00C2402E" w:rsidP="00C2402E">
            <w:pPr>
              <w:keepNext/>
              <w:keepLines/>
              <w:jc w:val="center"/>
              <w:rPr>
                <w:rFonts w:ascii="Calibri" w:hAnsi="Calibri" w:cs="Calibri"/>
                <w:sz w:val="18"/>
                <w:szCs w:val="18"/>
                <w:lang w:eastAsia="en-GB"/>
              </w:rPr>
            </w:pPr>
            <w:r w:rsidRPr="003545A6">
              <w:rPr>
                <w:rFonts w:ascii="Calibri" w:hAnsi="Calibri" w:cs="Calibri"/>
                <w:sz w:val="18"/>
                <w:szCs w:val="18"/>
                <w:lang w:eastAsia="en-GB"/>
              </w:rPr>
              <w:t>Not assessed/Uncertain</w:t>
            </w:r>
          </w:p>
        </w:tc>
        <w:tc>
          <w:tcPr>
            <w:tcW w:w="606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B1BE5F5" w14:textId="77777777" w:rsidR="00C2402E" w:rsidRPr="002B2F72" w:rsidRDefault="00C2402E" w:rsidP="00C2402E">
            <w:pPr>
              <w:keepNext/>
              <w:keepLines/>
              <w:jc w:val="center"/>
              <w:rPr>
                <w:rFonts w:ascii="Calibri" w:hAnsi="Calibri" w:cs="Calibri"/>
                <w:sz w:val="18"/>
                <w:szCs w:val="18"/>
                <w:lang w:eastAsia="en-GB"/>
              </w:rPr>
            </w:pPr>
          </w:p>
        </w:tc>
      </w:tr>
    </w:tbl>
    <w:p w14:paraId="4407A752" w14:textId="006958E9" w:rsidR="00C2402E" w:rsidRPr="009B294D" w:rsidRDefault="2FCB0C3E" w:rsidP="006E07E7">
      <w:pPr>
        <w:spacing w:before="120"/>
        <w:ind w:right="418"/>
        <w:rPr>
          <w:rFonts w:ascii="Calibri" w:hAnsi="Calibri" w:cs="Calibri"/>
          <w:sz w:val="18"/>
          <w:szCs w:val="18"/>
          <w:lang w:eastAsia="en-GB"/>
        </w:rPr>
      </w:pPr>
      <w:r w:rsidRPr="267C31E2">
        <w:rPr>
          <w:rFonts w:ascii="Calibri" w:hAnsi="Calibri" w:cs="Calibri"/>
          <w:sz w:val="18"/>
          <w:szCs w:val="18"/>
          <w:lang w:eastAsia="en-GB"/>
        </w:rPr>
        <w:t xml:space="preserve">  </w:t>
      </w:r>
    </w:p>
    <w:p w14:paraId="016DB322" w14:textId="2677E4F3" w:rsidR="267C31E2" w:rsidRDefault="267C31E2">
      <w:r>
        <w:br w:type="page"/>
      </w:r>
    </w:p>
    <w:p w14:paraId="4B7360CF" w14:textId="6DF3C332" w:rsidR="267C31E2" w:rsidRDefault="267C31E2" w:rsidP="267C31E2">
      <w:pPr>
        <w:spacing w:before="120"/>
        <w:ind w:right="418"/>
        <w:rPr>
          <w:rFonts w:ascii="Calibri" w:hAnsi="Calibri" w:cs="Calibri"/>
          <w:sz w:val="18"/>
          <w:szCs w:val="18"/>
          <w:lang w:eastAsia="en-GB"/>
        </w:rPr>
        <w:sectPr w:rsidR="267C31E2" w:rsidSect="00C2402E">
          <w:pgSz w:w="16838" w:h="11906" w:orient="landscape"/>
          <w:pgMar w:top="720" w:right="720" w:bottom="720" w:left="720" w:header="340" w:footer="709" w:gutter="0"/>
          <w:cols w:space="708"/>
          <w:titlePg/>
          <w:docGrid w:linePitch="360"/>
        </w:sectPr>
      </w:pPr>
    </w:p>
    <w:p w14:paraId="74AAD48B" w14:textId="17057857" w:rsidR="006128B7" w:rsidRPr="009B294D" w:rsidRDefault="00536ADB" w:rsidP="00521071">
      <w:pPr>
        <w:pStyle w:val="IOTCAgendaH1"/>
        <w:keepNext w:val="0"/>
        <w:rPr>
          <w:rFonts w:ascii="Calibri" w:hAnsi="Calibri" w:cs="Calibri"/>
        </w:rPr>
      </w:pPr>
      <w:bookmarkStart w:id="15" w:name="_Toc336947258"/>
      <w:bookmarkStart w:id="16" w:name="_Toc210218006"/>
      <w:r w:rsidRPr="009B294D">
        <w:rPr>
          <w:rFonts w:ascii="Calibri" w:hAnsi="Calibri" w:cs="Calibri"/>
        </w:rPr>
        <w:lastRenderedPageBreak/>
        <w:t>Opening of the s</w:t>
      </w:r>
      <w:r w:rsidR="00454BD2" w:rsidRPr="009B294D">
        <w:rPr>
          <w:rFonts w:ascii="Calibri" w:hAnsi="Calibri" w:cs="Calibri"/>
        </w:rPr>
        <w:t>ession</w:t>
      </w:r>
      <w:bookmarkEnd w:id="10"/>
      <w:bookmarkEnd w:id="11"/>
      <w:bookmarkEnd w:id="12"/>
      <w:bookmarkEnd w:id="13"/>
      <w:bookmarkEnd w:id="14"/>
      <w:bookmarkEnd w:id="15"/>
      <w:bookmarkEnd w:id="16"/>
    </w:p>
    <w:p w14:paraId="58A8DDF1" w14:textId="3401C21E" w:rsidR="002C79E2" w:rsidRPr="007F3EB3" w:rsidRDefault="6EC36D1A" w:rsidP="3F1DEBE1">
      <w:pPr>
        <w:pStyle w:val="IOTCReportNormalNumbered"/>
        <w:ind w:left="540" w:hanging="540"/>
        <w:rPr>
          <w:rFonts w:ascii="Calibri" w:hAnsi="Calibri" w:cs="Calibri"/>
          <w:color w:val="000000" w:themeColor="text1"/>
        </w:rPr>
      </w:pPr>
      <w:r w:rsidRPr="3F1DEBE1">
        <w:rPr>
          <w:rFonts w:ascii="Calibri" w:hAnsi="Calibri" w:cs="Calibri"/>
          <w:color w:val="auto"/>
        </w:rPr>
        <w:t xml:space="preserve">The </w:t>
      </w:r>
      <w:r w:rsidR="1C47A1D5" w:rsidRPr="3F1DEBE1">
        <w:rPr>
          <w:rFonts w:ascii="Calibri" w:hAnsi="Calibri" w:cs="Calibri"/>
          <w:color w:val="auto"/>
        </w:rPr>
        <w:t>2</w:t>
      </w:r>
      <w:r w:rsidR="005703A4">
        <w:rPr>
          <w:rFonts w:ascii="Calibri" w:hAnsi="Calibri" w:cs="Calibri"/>
          <w:color w:val="auto"/>
        </w:rPr>
        <w:t>3</w:t>
      </w:r>
      <w:r w:rsidR="005703A4">
        <w:rPr>
          <w:rFonts w:ascii="Calibri" w:hAnsi="Calibri" w:cs="Calibri"/>
          <w:color w:val="auto"/>
          <w:vertAlign w:val="superscript"/>
        </w:rPr>
        <w:t>rd</w:t>
      </w:r>
      <w:r w:rsidR="3171E646" w:rsidRPr="3F1DEBE1">
        <w:rPr>
          <w:rFonts w:ascii="Calibri" w:hAnsi="Calibri" w:cs="Calibri"/>
          <w:color w:val="auto"/>
        </w:rPr>
        <w:t xml:space="preserve"> </w:t>
      </w:r>
      <w:r w:rsidRPr="3F1DEBE1">
        <w:rPr>
          <w:rFonts w:ascii="Calibri" w:hAnsi="Calibri" w:cs="Calibri"/>
          <w:color w:val="auto"/>
        </w:rPr>
        <w:t xml:space="preserve">Session of the Indian Ocean Tuna Commission’s (IOTC) Working Party on Billfish (WPB) was </w:t>
      </w:r>
      <w:r w:rsidR="00EF5D83">
        <w:rPr>
          <w:rFonts w:ascii="Calibri" w:eastAsiaTheme="minorEastAsia" w:hAnsi="Calibri" w:cs="Calibri" w:hint="eastAsia"/>
          <w:color w:val="auto"/>
          <w:lang w:eastAsia="zh-CN"/>
        </w:rPr>
        <w:t xml:space="preserve">held </w:t>
      </w:r>
      <w:r w:rsidR="3171E646" w:rsidRPr="3F1DEBE1">
        <w:rPr>
          <w:rFonts w:ascii="Calibri" w:hAnsi="Calibri" w:cs="Calibri"/>
          <w:color w:val="auto"/>
        </w:rPr>
        <w:t xml:space="preserve">in </w:t>
      </w:r>
      <w:r w:rsidR="005703A4">
        <w:rPr>
          <w:rFonts w:ascii="Calibri" w:hAnsi="Calibri" w:cs="Calibri"/>
          <w:color w:val="auto"/>
        </w:rPr>
        <w:t xml:space="preserve">IRD, </w:t>
      </w:r>
      <w:r w:rsidR="00405FD7" w:rsidRPr="00405FD7">
        <w:rPr>
          <w:rFonts w:ascii="Calibri" w:hAnsi="Calibri" w:cs="Calibri"/>
          <w:color w:val="auto"/>
        </w:rPr>
        <w:t>Sète</w:t>
      </w:r>
      <w:r w:rsidR="005703A4">
        <w:rPr>
          <w:rFonts w:ascii="Calibri" w:hAnsi="Calibri" w:cs="Calibri"/>
          <w:color w:val="auto"/>
        </w:rPr>
        <w:t>, France</w:t>
      </w:r>
      <w:r w:rsidR="00EB07FB" w:rsidRPr="3F1DEBE1">
        <w:rPr>
          <w:rFonts w:ascii="Calibri" w:hAnsi="Calibri" w:cs="Calibri"/>
          <w:color w:val="auto"/>
        </w:rPr>
        <w:t xml:space="preserve">, using a hybrid format from the </w:t>
      </w:r>
      <w:r w:rsidR="005703A4">
        <w:rPr>
          <w:rFonts w:ascii="Calibri" w:hAnsi="Calibri" w:cs="Calibri"/>
          <w:color w:val="auto"/>
        </w:rPr>
        <w:t>15</w:t>
      </w:r>
      <w:r w:rsidR="00EB07FB" w:rsidRPr="3F1DEBE1">
        <w:rPr>
          <w:rFonts w:ascii="Calibri" w:hAnsi="Calibri" w:cs="Calibri"/>
          <w:color w:val="auto"/>
        </w:rPr>
        <w:t xml:space="preserve"> to </w:t>
      </w:r>
      <w:r w:rsidR="005703A4">
        <w:rPr>
          <w:rFonts w:ascii="Calibri" w:hAnsi="Calibri" w:cs="Calibri"/>
          <w:color w:val="auto"/>
        </w:rPr>
        <w:t>18</w:t>
      </w:r>
      <w:r w:rsidR="00EB07FB" w:rsidRPr="3F1DEBE1">
        <w:rPr>
          <w:rFonts w:ascii="Calibri" w:hAnsi="Calibri" w:cs="Calibri"/>
          <w:color w:val="auto"/>
        </w:rPr>
        <w:t xml:space="preserve"> September 202</w:t>
      </w:r>
      <w:r w:rsidR="002C2CA2">
        <w:rPr>
          <w:rFonts w:ascii="Calibri" w:hAnsi="Calibri" w:cs="Calibri"/>
          <w:color w:val="auto"/>
        </w:rPr>
        <w:t>5</w:t>
      </w:r>
      <w:r w:rsidR="00EB07FB" w:rsidRPr="3F1DEBE1">
        <w:rPr>
          <w:rFonts w:ascii="Calibri" w:hAnsi="Calibri" w:cs="Calibri"/>
          <w:color w:val="auto"/>
        </w:rPr>
        <w:t xml:space="preserve">. A total of </w:t>
      </w:r>
      <w:r w:rsidR="006E184F">
        <w:rPr>
          <w:rFonts w:ascii="Calibri" w:hAnsi="Calibri" w:cs="Calibri"/>
          <w:color w:val="auto"/>
        </w:rPr>
        <w:t>36</w:t>
      </w:r>
      <w:r w:rsidR="00EB07FB" w:rsidRPr="3F1DEBE1">
        <w:rPr>
          <w:rFonts w:ascii="Calibri" w:hAnsi="Calibri" w:cs="Calibri"/>
          <w:color w:val="auto"/>
        </w:rPr>
        <w:t xml:space="preserve"> participants (</w:t>
      </w:r>
      <w:r w:rsidR="005703A4">
        <w:rPr>
          <w:rFonts w:ascii="Calibri" w:hAnsi="Calibri" w:cs="Calibri"/>
          <w:color w:val="auto"/>
        </w:rPr>
        <w:t>47, in 202</w:t>
      </w:r>
      <w:r w:rsidR="00374C3B">
        <w:rPr>
          <w:rFonts w:ascii="Calibri" w:hAnsi="Calibri" w:cs="Calibri"/>
          <w:color w:val="auto"/>
        </w:rPr>
        <w:t xml:space="preserve">4, </w:t>
      </w:r>
      <w:r w:rsidR="00EB07FB" w:rsidRPr="3F1DEBE1">
        <w:rPr>
          <w:rFonts w:ascii="Calibri" w:hAnsi="Calibri" w:cs="Calibri"/>
          <w:color w:val="auto"/>
        </w:rPr>
        <w:t xml:space="preserve">97 in 2023, 51 in 2022, and 55 in 2021) attended the Session (of which </w:t>
      </w:r>
      <w:r w:rsidR="008A29E9">
        <w:rPr>
          <w:rFonts w:ascii="Calibri" w:hAnsi="Calibri" w:cs="Calibri"/>
          <w:color w:val="auto"/>
        </w:rPr>
        <w:t>25</w:t>
      </w:r>
      <w:r w:rsidR="00EB07FB" w:rsidRPr="3F1DEBE1">
        <w:rPr>
          <w:rFonts w:ascii="Calibri" w:hAnsi="Calibri" w:cs="Calibri"/>
          <w:color w:val="auto"/>
        </w:rPr>
        <w:t xml:space="preserve"> attended in person)</w:t>
      </w:r>
      <w:r w:rsidRPr="3F1DEBE1">
        <w:rPr>
          <w:rFonts w:ascii="Calibri" w:hAnsi="Calibri" w:cs="Calibri"/>
          <w:color w:val="auto"/>
        </w:rPr>
        <w:t xml:space="preserve">. The list of participants is provided at </w:t>
      </w:r>
      <w:hyperlink w:anchor="APP1">
        <w:r w:rsidRPr="3F1DEBE1">
          <w:rPr>
            <w:rStyle w:val="Hyperlink"/>
            <w:rFonts w:ascii="Calibri" w:hAnsi="Calibri" w:cs="Calibri"/>
          </w:rPr>
          <w:t>Appendix I</w:t>
        </w:r>
      </w:hyperlink>
      <w:r w:rsidRPr="3F1DEBE1">
        <w:rPr>
          <w:rFonts w:ascii="Calibri" w:hAnsi="Calibri" w:cs="Calibri"/>
          <w:color w:val="auto"/>
        </w:rPr>
        <w:t xml:space="preserve">. The meeting was opened by the Chairperson, Dr </w:t>
      </w:r>
      <w:r w:rsidR="3171E646" w:rsidRPr="3F1DEBE1">
        <w:rPr>
          <w:rFonts w:ascii="Calibri" w:hAnsi="Calibri" w:cs="Calibri"/>
          <w:color w:val="auto"/>
        </w:rPr>
        <w:t>Jie</w:t>
      </w:r>
      <w:r w:rsidRPr="3F1DEBE1">
        <w:rPr>
          <w:rFonts w:ascii="Calibri" w:hAnsi="Calibri" w:cs="Calibri"/>
          <w:color w:val="auto"/>
        </w:rPr>
        <w:t xml:space="preserve"> </w:t>
      </w:r>
      <w:r w:rsidR="3171E646" w:rsidRPr="3F1DEBE1">
        <w:rPr>
          <w:rFonts w:ascii="Calibri" w:hAnsi="Calibri" w:cs="Calibri"/>
          <w:color w:val="auto"/>
        </w:rPr>
        <w:t>Cao</w:t>
      </w:r>
      <w:r w:rsidRPr="3F1DEBE1">
        <w:rPr>
          <w:rFonts w:ascii="Calibri" w:hAnsi="Calibri" w:cs="Calibri"/>
          <w:color w:val="auto"/>
        </w:rPr>
        <w:t xml:space="preserve"> (</w:t>
      </w:r>
      <w:r w:rsidR="3171E646" w:rsidRPr="3F1DEBE1">
        <w:rPr>
          <w:rFonts w:ascii="Calibri" w:hAnsi="Calibri" w:cs="Calibri"/>
          <w:color w:val="auto"/>
        </w:rPr>
        <w:t>China</w:t>
      </w:r>
      <w:r w:rsidRPr="3F1DEBE1">
        <w:rPr>
          <w:rFonts w:ascii="Calibri" w:hAnsi="Calibri" w:cs="Calibri"/>
          <w:color w:val="auto"/>
        </w:rPr>
        <w:t>), who welcomed participants</w:t>
      </w:r>
      <w:r w:rsidR="6D43F97D" w:rsidRPr="3F1DEBE1">
        <w:rPr>
          <w:rFonts w:ascii="Calibri" w:hAnsi="Calibri" w:cs="Calibri"/>
          <w:color w:val="000000" w:themeColor="text1"/>
        </w:rPr>
        <w:t>.</w:t>
      </w:r>
    </w:p>
    <w:p w14:paraId="615753B8" w14:textId="77777777" w:rsidR="00454BD2" w:rsidRPr="005F689A" w:rsidRDefault="00536ADB" w:rsidP="00006C16">
      <w:pPr>
        <w:pStyle w:val="IOTCAgendaH1"/>
        <w:keepNext w:val="0"/>
        <w:rPr>
          <w:rFonts w:ascii="Calibri" w:hAnsi="Calibri" w:cs="Calibri"/>
        </w:rPr>
      </w:pPr>
      <w:bookmarkStart w:id="17" w:name="_Toc506363816"/>
      <w:bookmarkStart w:id="18" w:name="_Toc533489831"/>
      <w:bookmarkStart w:id="19" w:name="_Toc533496033"/>
      <w:bookmarkStart w:id="20" w:name="_Toc534770655"/>
      <w:bookmarkStart w:id="21" w:name="_Toc36864866"/>
      <w:bookmarkStart w:id="22" w:name="_Toc67367525"/>
      <w:bookmarkStart w:id="23" w:name="_Toc218672862"/>
      <w:bookmarkStart w:id="24" w:name="_Toc218916696"/>
      <w:bookmarkStart w:id="25" w:name="_Toc289173007"/>
      <w:bookmarkStart w:id="26" w:name="_Toc163032595"/>
      <w:bookmarkStart w:id="27" w:name="_Toc336947259"/>
      <w:bookmarkStart w:id="28" w:name="_Toc210218007"/>
      <w:r w:rsidRPr="005F689A">
        <w:rPr>
          <w:rFonts w:ascii="Calibri" w:hAnsi="Calibri" w:cs="Calibri"/>
        </w:rPr>
        <w:t>Adoption of the agenda and arrangements for the s</w:t>
      </w:r>
      <w:r w:rsidR="00454BD2" w:rsidRPr="005F689A">
        <w:rPr>
          <w:rFonts w:ascii="Calibri" w:hAnsi="Calibri" w:cs="Calibri"/>
        </w:rPr>
        <w:t>ession</w:t>
      </w:r>
      <w:bookmarkEnd w:id="17"/>
      <w:bookmarkEnd w:id="18"/>
      <w:bookmarkEnd w:id="19"/>
      <w:bookmarkEnd w:id="20"/>
      <w:bookmarkEnd w:id="21"/>
      <w:bookmarkEnd w:id="22"/>
      <w:bookmarkEnd w:id="23"/>
      <w:bookmarkEnd w:id="24"/>
      <w:bookmarkEnd w:id="25"/>
      <w:bookmarkEnd w:id="26"/>
      <w:bookmarkEnd w:id="27"/>
      <w:bookmarkEnd w:id="28"/>
    </w:p>
    <w:p w14:paraId="6E33ACA2" w14:textId="2ACAEC2E" w:rsidR="00454BD2" w:rsidRPr="005F689A" w:rsidRDefault="36DD67FB" w:rsidP="3F1DEBE1">
      <w:pPr>
        <w:pStyle w:val="IOTCReportNormalNumbered"/>
        <w:ind w:left="540" w:hanging="540"/>
        <w:rPr>
          <w:rFonts w:ascii="Calibri" w:hAnsi="Calibri" w:cs="Calibri"/>
          <w:color w:val="000000" w:themeColor="text1"/>
        </w:rPr>
      </w:pPr>
      <w:r w:rsidRPr="3F1DEBE1">
        <w:rPr>
          <w:rFonts w:ascii="Calibri" w:hAnsi="Calibri" w:cs="Calibri"/>
          <w:color w:val="000000" w:themeColor="text1"/>
        </w:rPr>
        <w:t xml:space="preserve">The </w:t>
      </w:r>
      <w:r w:rsidR="033B6423" w:rsidRPr="3F1DEBE1">
        <w:rPr>
          <w:rFonts w:ascii="Calibri" w:hAnsi="Calibri" w:cs="Calibri"/>
          <w:color w:val="000000" w:themeColor="text1"/>
        </w:rPr>
        <w:t xml:space="preserve">WPB </w:t>
      </w:r>
      <w:r w:rsidR="5A2B87CB" w:rsidRPr="3F1DEBE1">
        <w:rPr>
          <w:rFonts w:ascii="Calibri" w:hAnsi="Calibri" w:cs="Calibri"/>
          <w:b/>
          <w:bCs/>
          <w:color w:val="000000" w:themeColor="text1"/>
        </w:rPr>
        <w:t>ADOPTED</w:t>
      </w:r>
      <w:r w:rsidR="033B6423" w:rsidRPr="3F1DEBE1">
        <w:rPr>
          <w:rFonts w:ascii="Calibri" w:hAnsi="Calibri" w:cs="Calibri"/>
          <w:color w:val="000000" w:themeColor="text1"/>
        </w:rPr>
        <w:t xml:space="preserve"> the Agenda</w:t>
      </w:r>
      <w:r w:rsidR="7248613F" w:rsidRPr="3F1DEBE1">
        <w:rPr>
          <w:rFonts w:ascii="Calibri" w:hAnsi="Calibri" w:cs="Calibri"/>
          <w:color w:val="000000" w:themeColor="text1"/>
        </w:rPr>
        <w:t xml:space="preserve"> </w:t>
      </w:r>
      <w:r w:rsidR="238F0D6D" w:rsidRPr="3F1DEBE1">
        <w:rPr>
          <w:rFonts w:ascii="Calibri" w:hAnsi="Calibri" w:cs="Calibri"/>
          <w:color w:val="000000" w:themeColor="text1"/>
        </w:rPr>
        <w:t xml:space="preserve">provided </w:t>
      </w:r>
      <w:r w:rsidR="6E83F17A" w:rsidRPr="3F1DEBE1">
        <w:rPr>
          <w:rFonts w:ascii="Calibri" w:hAnsi="Calibri" w:cs="Calibri"/>
          <w:color w:val="000000" w:themeColor="text1"/>
        </w:rPr>
        <w:t>in</w:t>
      </w:r>
      <w:r w:rsidR="4B67B4ED" w:rsidRPr="3F1DEBE1">
        <w:rPr>
          <w:rFonts w:ascii="Calibri" w:hAnsi="Calibri" w:cs="Calibri"/>
          <w:color w:val="000000" w:themeColor="text1"/>
        </w:rPr>
        <w:t xml:space="preserve"> </w:t>
      </w:r>
      <w:hyperlink w:anchor="APP2">
        <w:r w:rsidR="4B67B4ED" w:rsidRPr="3F1DEBE1">
          <w:rPr>
            <w:rStyle w:val="Hyperlink"/>
            <w:rFonts w:ascii="Calibri" w:hAnsi="Calibri" w:cs="Calibri"/>
          </w:rPr>
          <w:t>Appendix II</w:t>
        </w:r>
      </w:hyperlink>
      <w:r w:rsidR="5A2B87CB" w:rsidRPr="3F1DEBE1">
        <w:rPr>
          <w:rFonts w:ascii="Calibri" w:hAnsi="Calibri" w:cs="Calibri"/>
          <w:color w:val="000000" w:themeColor="text1"/>
        </w:rPr>
        <w:t xml:space="preserve">. </w:t>
      </w:r>
      <w:r w:rsidRPr="3F1DEBE1">
        <w:rPr>
          <w:rFonts w:ascii="Calibri" w:hAnsi="Calibri" w:cs="Calibri"/>
          <w:color w:val="000000" w:themeColor="text1"/>
        </w:rPr>
        <w:t xml:space="preserve">The documents </w:t>
      </w:r>
      <w:r w:rsidR="238F0D6D" w:rsidRPr="3F1DEBE1">
        <w:rPr>
          <w:rFonts w:ascii="Calibri" w:hAnsi="Calibri" w:cs="Calibri"/>
          <w:color w:val="000000" w:themeColor="text1"/>
        </w:rPr>
        <w:t xml:space="preserve">presented to the </w:t>
      </w:r>
      <w:r w:rsidR="033B6423" w:rsidRPr="3F1DEBE1">
        <w:rPr>
          <w:rFonts w:ascii="Calibri" w:hAnsi="Calibri" w:cs="Calibri"/>
          <w:color w:val="000000" w:themeColor="text1"/>
        </w:rPr>
        <w:t>WPB</w:t>
      </w:r>
      <w:r w:rsidR="03508C7C" w:rsidRPr="3F1DEBE1">
        <w:rPr>
          <w:rFonts w:ascii="Calibri" w:hAnsi="Calibri" w:cs="Calibri"/>
          <w:color w:val="000000" w:themeColor="text1"/>
        </w:rPr>
        <w:t>2</w:t>
      </w:r>
      <w:r w:rsidR="00EB43C8">
        <w:rPr>
          <w:rFonts w:ascii="Calibri" w:eastAsiaTheme="minorEastAsia" w:hAnsi="Calibri" w:cs="Calibri" w:hint="eastAsia"/>
          <w:color w:val="000000" w:themeColor="text1"/>
          <w:lang w:eastAsia="zh-CN"/>
        </w:rPr>
        <w:t>3</w:t>
      </w:r>
      <w:r w:rsidRPr="3F1DEBE1">
        <w:rPr>
          <w:rFonts w:ascii="Calibri" w:hAnsi="Calibri" w:cs="Calibri"/>
          <w:color w:val="000000" w:themeColor="text1"/>
        </w:rPr>
        <w:t xml:space="preserve"> are listed in</w:t>
      </w:r>
      <w:r w:rsidR="6E8B51BC" w:rsidRPr="3F1DEBE1">
        <w:rPr>
          <w:rFonts w:ascii="Calibri" w:hAnsi="Calibri" w:cs="Calibri"/>
          <w:color w:val="000000" w:themeColor="text1"/>
        </w:rPr>
        <w:t xml:space="preserve"> </w:t>
      </w:r>
      <w:hyperlink w:anchor="APP3">
        <w:r w:rsidR="4B67B4ED" w:rsidRPr="00270BC2">
          <w:rPr>
            <w:rStyle w:val="Hyperlink"/>
            <w:rFonts w:ascii="Calibri" w:hAnsi="Calibri" w:cs="Calibri"/>
          </w:rPr>
          <w:t>Appendix III</w:t>
        </w:r>
      </w:hyperlink>
      <w:r w:rsidR="48B88ED1" w:rsidRPr="3F1DEBE1">
        <w:rPr>
          <w:rFonts w:ascii="Calibri" w:hAnsi="Calibri" w:cs="Calibri"/>
          <w:color w:val="000000" w:themeColor="text1"/>
        </w:rPr>
        <w:t>.</w:t>
      </w:r>
    </w:p>
    <w:p w14:paraId="7C8471F0" w14:textId="77777777" w:rsidR="00536ADB" w:rsidRPr="005F689A" w:rsidRDefault="00536ADB" w:rsidP="00006C16">
      <w:pPr>
        <w:pStyle w:val="IOTCAgendaH1"/>
        <w:keepNext w:val="0"/>
        <w:rPr>
          <w:rFonts w:ascii="Calibri" w:hAnsi="Calibri" w:cs="Calibri"/>
        </w:rPr>
      </w:pPr>
      <w:bookmarkStart w:id="29" w:name="_Toc210218008"/>
      <w:bookmarkStart w:id="30" w:name="_Toc506363818"/>
      <w:bookmarkStart w:id="31" w:name="_Toc533489833"/>
      <w:bookmarkStart w:id="32" w:name="_Toc533496035"/>
      <w:bookmarkStart w:id="33" w:name="_Toc534770657"/>
      <w:bookmarkStart w:id="34" w:name="_Toc36864868"/>
      <w:bookmarkStart w:id="35" w:name="_Toc67367527"/>
      <w:bookmarkStart w:id="36" w:name="_Toc218672863"/>
      <w:bookmarkStart w:id="37" w:name="_Toc218916697"/>
      <w:bookmarkStart w:id="38" w:name="_Toc289173008"/>
      <w:bookmarkStart w:id="39" w:name="_Toc163032596"/>
      <w:bookmarkStart w:id="40" w:name="_Toc336947260"/>
      <w:r w:rsidRPr="005F689A">
        <w:rPr>
          <w:rFonts w:ascii="Calibri" w:hAnsi="Calibri" w:cs="Calibri"/>
        </w:rPr>
        <w:t>The IOTC</w:t>
      </w:r>
      <w:r w:rsidR="00E86746" w:rsidRPr="005F689A">
        <w:rPr>
          <w:rFonts w:ascii="Calibri" w:hAnsi="Calibri" w:cs="Calibri"/>
        </w:rPr>
        <w:t xml:space="preserve"> </w:t>
      </w:r>
      <w:r w:rsidRPr="005F689A">
        <w:rPr>
          <w:rFonts w:ascii="Calibri" w:hAnsi="Calibri" w:cs="Calibri"/>
        </w:rPr>
        <w:t>process: Outcomes, updates and progress</w:t>
      </w:r>
      <w:bookmarkEnd w:id="29"/>
    </w:p>
    <w:p w14:paraId="0014096A" w14:textId="6CDE96DF" w:rsidR="00536ADB" w:rsidRPr="005F689A" w:rsidRDefault="00563EA7" w:rsidP="00A21899">
      <w:pPr>
        <w:pStyle w:val="IOTCsubheading2"/>
        <w:ind w:left="1134" w:hanging="708"/>
        <w:rPr>
          <w:rFonts w:ascii="Calibri" w:hAnsi="Calibri" w:cs="Calibri"/>
          <w:lang w:val="en-GB" w:eastAsia="en-US"/>
        </w:rPr>
      </w:pPr>
      <w:r w:rsidRPr="005F689A">
        <w:rPr>
          <w:rFonts w:ascii="Calibri" w:hAnsi="Calibri" w:cs="Calibri"/>
          <w:lang w:val="en-GB" w:eastAsia="en-US"/>
        </w:rPr>
        <w:t>Outcomes of the 2</w:t>
      </w:r>
      <w:r w:rsidR="006E1988">
        <w:rPr>
          <w:rFonts w:ascii="Calibri" w:hAnsi="Calibri" w:cs="Calibri"/>
          <w:lang w:val="en-GB" w:eastAsia="en-US"/>
        </w:rPr>
        <w:t>7</w:t>
      </w:r>
      <w:r w:rsidR="00DB339D" w:rsidRPr="00DB339D">
        <w:rPr>
          <w:rFonts w:ascii="Calibri" w:hAnsi="Calibri" w:cs="Calibri"/>
          <w:vertAlign w:val="superscript"/>
          <w:lang w:val="en-GB" w:eastAsia="en-US"/>
        </w:rPr>
        <w:t>th</w:t>
      </w:r>
      <w:r w:rsidR="00DB339D">
        <w:rPr>
          <w:rFonts w:ascii="Calibri" w:hAnsi="Calibri" w:cs="Calibri"/>
          <w:lang w:val="en-GB" w:eastAsia="en-US"/>
        </w:rPr>
        <w:t xml:space="preserve"> </w:t>
      </w:r>
      <w:r w:rsidR="00536ADB" w:rsidRPr="005F689A">
        <w:rPr>
          <w:rFonts w:ascii="Calibri" w:hAnsi="Calibri" w:cs="Calibri"/>
          <w:lang w:val="en-GB" w:eastAsia="en-US"/>
        </w:rPr>
        <w:t>Sess</w:t>
      </w:r>
      <w:r w:rsidR="003F5455" w:rsidRPr="005F689A">
        <w:rPr>
          <w:rFonts w:ascii="Calibri" w:hAnsi="Calibri" w:cs="Calibri"/>
          <w:lang w:val="en-GB" w:eastAsia="en-US"/>
        </w:rPr>
        <w:t xml:space="preserve">ion of the Scientific </w:t>
      </w:r>
      <w:r w:rsidR="00352624" w:rsidRPr="005F689A">
        <w:rPr>
          <w:rFonts w:ascii="Calibri" w:hAnsi="Calibri" w:cs="Calibri"/>
          <w:lang w:val="en-GB" w:eastAsia="en-US"/>
        </w:rPr>
        <w:t>Committee</w:t>
      </w:r>
    </w:p>
    <w:p w14:paraId="610F343B" w14:textId="4B50538D" w:rsidR="0044107F" w:rsidRPr="008A45EC" w:rsidRDefault="48B88ED1" w:rsidP="008A45EC">
      <w:pPr>
        <w:pStyle w:val="IOTCReportNormalNumbered"/>
        <w:ind w:left="540" w:hanging="540"/>
        <w:rPr>
          <w:rFonts w:ascii="Calibri" w:hAnsi="Calibri" w:cs="Calibri"/>
          <w:color w:val="000000" w:themeColor="text1"/>
          <w:szCs w:val="22"/>
        </w:rPr>
      </w:pPr>
      <w:r w:rsidRPr="1EA925F2">
        <w:rPr>
          <w:rFonts w:ascii="Calibri" w:hAnsi="Calibri" w:cs="Calibri"/>
          <w:color w:val="000000" w:themeColor="text1"/>
        </w:rPr>
        <w:t xml:space="preserve">The WPB </w:t>
      </w:r>
      <w:r w:rsidRPr="1EA925F2">
        <w:rPr>
          <w:rFonts w:ascii="Calibri" w:hAnsi="Calibri" w:cs="Calibri"/>
          <w:b/>
          <w:bCs/>
          <w:color w:val="000000" w:themeColor="text1"/>
        </w:rPr>
        <w:t>NOTED</w:t>
      </w:r>
      <w:r w:rsidR="6E8B51BC" w:rsidRPr="1EA925F2">
        <w:rPr>
          <w:rFonts w:ascii="Calibri" w:hAnsi="Calibri" w:cs="Calibri"/>
          <w:b/>
          <w:bCs/>
          <w:color w:val="000000" w:themeColor="text1"/>
        </w:rPr>
        <w:t xml:space="preserve"> </w:t>
      </w:r>
      <w:r w:rsidRPr="1EA925F2">
        <w:rPr>
          <w:rFonts w:ascii="Calibri" w:hAnsi="Calibri" w:cs="Calibri"/>
          <w:color w:val="000000" w:themeColor="text1"/>
        </w:rPr>
        <w:t xml:space="preserve">paper </w:t>
      </w:r>
      <w:hyperlink r:id="rId21" w:history="1">
        <w:r w:rsidRPr="0031157B">
          <w:rPr>
            <w:rStyle w:val="Hyperlink"/>
            <w:rFonts w:ascii="Calibri" w:hAnsi="Calibri" w:cs="Calibri"/>
          </w:rPr>
          <w:t>IOTC–20</w:t>
        </w:r>
        <w:r w:rsidR="697016BB" w:rsidRPr="0031157B">
          <w:rPr>
            <w:rStyle w:val="Hyperlink"/>
            <w:rFonts w:ascii="Calibri" w:hAnsi="Calibri" w:cs="Calibri"/>
          </w:rPr>
          <w:t>2</w:t>
        </w:r>
        <w:r w:rsidR="00FD5B15" w:rsidRPr="0031157B">
          <w:rPr>
            <w:rStyle w:val="Hyperlink"/>
            <w:rFonts w:ascii="Calibri" w:hAnsi="Calibri" w:cs="Calibri"/>
          </w:rPr>
          <w:t>5</w:t>
        </w:r>
        <w:r w:rsidRPr="0031157B">
          <w:rPr>
            <w:rStyle w:val="Hyperlink"/>
            <w:rFonts w:ascii="Calibri" w:hAnsi="Calibri" w:cs="Calibri"/>
          </w:rPr>
          <w:t>–WPB</w:t>
        </w:r>
        <w:r w:rsidR="00FD5B15" w:rsidRPr="0031157B">
          <w:rPr>
            <w:rStyle w:val="Hyperlink"/>
            <w:rFonts w:ascii="Calibri" w:hAnsi="Calibri" w:cs="Calibri"/>
          </w:rPr>
          <w:t>23</w:t>
        </w:r>
        <w:r w:rsidRPr="0031157B">
          <w:rPr>
            <w:rStyle w:val="Hyperlink"/>
            <w:rFonts w:ascii="Calibri" w:hAnsi="Calibri" w:cs="Calibri"/>
          </w:rPr>
          <w:t>–03</w:t>
        </w:r>
      </w:hyperlink>
      <w:r w:rsidRPr="1EA925F2">
        <w:rPr>
          <w:rFonts w:ascii="Calibri" w:hAnsi="Calibri" w:cs="Calibri"/>
          <w:color w:val="000000" w:themeColor="text1"/>
        </w:rPr>
        <w:t xml:space="preserve"> which </w:t>
      </w:r>
      <w:r w:rsidR="603179E1" w:rsidRPr="1EA925F2">
        <w:rPr>
          <w:rFonts w:ascii="Calibri" w:hAnsi="Calibri" w:cs="Calibri"/>
          <w:color w:val="000000" w:themeColor="text1"/>
        </w:rPr>
        <w:t>describes</w:t>
      </w:r>
      <w:r w:rsidR="44361226" w:rsidRPr="1EA925F2">
        <w:rPr>
          <w:rFonts w:ascii="Calibri" w:hAnsi="Calibri" w:cs="Calibri"/>
          <w:color w:val="000000" w:themeColor="text1"/>
        </w:rPr>
        <w:t xml:space="preserve"> the main outcomes of the 2</w:t>
      </w:r>
      <w:r w:rsidR="00FD5B15">
        <w:rPr>
          <w:rFonts w:ascii="Calibri" w:hAnsi="Calibri" w:cs="Calibri"/>
          <w:color w:val="000000" w:themeColor="text1"/>
        </w:rPr>
        <w:t>7</w:t>
      </w:r>
      <w:r w:rsidR="1C47A1D5" w:rsidRPr="1EA925F2">
        <w:rPr>
          <w:rFonts w:ascii="Calibri" w:hAnsi="Calibri" w:cs="Calibri"/>
          <w:color w:val="000000" w:themeColor="text1"/>
          <w:vertAlign w:val="superscript"/>
        </w:rPr>
        <w:t>th</w:t>
      </w:r>
      <w:r w:rsidR="1C47A1D5" w:rsidRPr="1EA925F2">
        <w:rPr>
          <w:rFonts w:ascii="Calibri" w:hAnsi="Calibri" w:cs="Calibri"/>
          <w:color w:val="000000" w:themeColor="text1"/>
        </w:rPr>
        <w:t xml:space="preserve"> </w:t>
      </w:r>
      <w:r w:rsidRPr="1EA925F2">
        <w:rPr>
          <w:rFonts w:ascii="Calibri" w:hAnsi="Calibri" w:cs="Calibri"/>
          <w:color w:val="000000" w:themeColor="text1"/>
        </w:rPr>
        <w:t>Session of the Scie</w:t>
      </w:r>
      <w:r w:rsidR="44361226" w:rsidRPr="1EA925F2">
        <w:rPr>
          <w:rFonts w:ascii="Calibri" w:hAnsi="Calibri" w:cs="Calibri"/>
          <w:color w:val="000000" w:themeColor="text1"/>
        </w:rPr>
        <w:t>ntific Committee (SC2</w:t>
      </w:r>
      <w:r w:rsidR="00FD5B15">
        <w:rPr>
          <w:rFonts w:ascii="Calibri" w:hAnsi="Calibri" w:cs="Calibri"/>
          <w:color w:val="000000" w:themeColor="text1"/>
        </w:rPr>
        <w:t>7</w:t>
      </w:r>
      <w:r w:rsidRPr="1EA925F2">
        <w:rPr>
          <w:rFonts w:ascii="Calibri" w:hAnsi="Calibri" w:cs="Calibri"/>
          <w:color w:val="000000" w:themeColor="text1"/>
        </w:rPr>
        <w:t>), specifically</w:t>
      </w:r>
      <w:r w:rsidR="62B3F638" w:rsidRPr="1EA925F2">
        <w:rPr>
          <w:rFonts w:ascii="Calibri" w:hAnsi="Calibri" w:cs="Calibri"/>
          <w:color w:val="000000" w:themeColor="text1"/>
        </w:rPr>
        <w:t xml:space="preserve"> related to the work of the WPB:</w:t>
      </w:r>
    </w:p>
    <w:p w14:paraId="303BD73E" w14:textId="79FF378F" w:rsidR="00DF26BC" w:rsidRPr="00564501" w:rsidRDefault="00564501" w:rsidP="00564501">
      <w:pPr>
        <w:keepNext/>
        <w:spacing w:before="120"/>
        <w:ind w:firstLine="540"/>
        <w:rPr>
          <w:rFonts w:ascii="Calibri" w:hAnsi="Calibri" w:cs="Calibri"/>
          <w:color w:val="000000" w:themeColor="text1"/>
        </w:rPr>
      </w:pPr>
      <w:r w:rsidRPr="00564501">
        <w:rPr>
          <w:rFonts w:ascii="Calibri" w:eastAsia="MS Mincho" w:hAnsi="Calibri" w:cs="Calibri"/>
          <w:b/>
          <w:bCs/>
          <w:i/>
          <w:iCs/>
          <w:snapToGrid w:val="0"/>
          <w:color w:val="000000" w:themeColor="text1"/>
        </w:rPr>
        <w:t>“</w:t>
      </w:r>
      <w:r w:rsidR="00DF26BC" w:rsidRPr="00564501">
        <w:rPr>
          <w:rFonts w:ascii="Calibri" w:eastAsia="MS Mincho" w:hAnsi="Calibri" w:cs="Calibri"/>
          <w:b/>
          <w:bCs/>
          <w:i/>
          <w:iCs/>
          <w:snapToGrid w:val="0"/>
          <w:color w:val="000000" w:themeColor="text1"/>
        </w:rPr>
        <w:t xml:space="preserve">Report of the </w:t>
      </w:r>
      <w:r w:rsidR="00DF26BC" w:rsidRPr="00564501">
        <w:rPr>
          <w:rFonts w:ascii="Calibri" w:eastAsia="MS Mincho" w:hAnsi="Calibri" w:cs="Calibri"/>
          <w:b/>
          <w:bCs/>
          <w:i/>
          <w:iCs/>
          <w:color w:val="000000" w:themeColor="text1"/>
        </w:rPr>
        <w:t>22</w:t>
      </w:r>
      <w:r w:rsidR="00DF26BC" w:rsidRPr="00564501">
        <w:rPr>
          <w:rFonts w:ascii="Calibri" w:eastAsia="MS Mincho" w:hAnsi="Calibri" w:cs="Calibri"/>
          <w:b/>
          <w:bCs/>
          <w:i/>
          <w:iCs/>
          <w:color w:val="000000" w:themeColor="text1"/>
          <w:vertAlign w:val="superscript"/>
        </w:rPr>
        <w:t>nd</w:t>
      </w:r>
      <w:r w:rsidR="00DF26BC" w:rsidRPr="00564501">
        <w:rPr>
          <w:rFonts w:ascii="Calibri" w:eastAsia="MS Mincho" w:hAnsi="Calibri" w:cs="Calibri"/>
          <w:b/>
          <w:bCs/>
          <w:i/>
          <w:iCs/>
          <w:color w:val="000000" w:themeColor="text1"/>
        </w:rPr>
        <w:t xml:space="preserve"> S</w:t>
      </w:r>
      <w:r w:rsidR="00DF26BC" w:rsidRPr="00564501">
        <w:rPr>
          <w:rFonts w:ascii="Calibri" w:eastAsia="MS Mincho" w:hAnsi="Calibri" w:cs="Calibri"/>
          <w:b/>
          <w:bCs/>
          <w:i/>
          <w:iCs/>
          <w:snapToGrid w:val="0"/>
          <w:color w:val="000000" w:themeColor="text1"/>
        </w:rPr>
        <w:t xml:space="preserve">ession of the Working Party on </w:t>
      </w:r>
      <w:r w:rsidR="00DF26BC" w:rsidRPr="00564501">
        <w:rPr>
          <w:rFonts w:ascii="Calibri" w:eastAsia="MS Mincho" w:hAnsi="Calibri" w:cs="Calibri"/>
          <w:b/>
          <w:bCs/>
          <w:i/>
          <w:iCs/>
          <w:color w:val="000000" w:themeColor="text1"/>
        </w:rPr>
        <w:t>Billfish (WPB22)</w:t>
      </w:r>
      <w:r w:rsidRPr="00564501">
        <w:rPr>
          <w:rFonts w:ascii="Calibri" w:eastAsia="MS Mincho" w:hAnsi="Calibri" w:cs="Calibri"/>
          <w:b/>
          <w:bCs/>
          <w:i/>
          <w:iCs/>
          <w:color w:val="000000" w:themeColor="text1"/>
        </w:rPr>
        <w:t>”</w:t>
      </w:r>
    </w:p>
    <w:p w14:paraId="02BD285D" w14:textId="77777777" w:rsidR="00DF26BC" w:rsidRPr="00564501" w:rsidRDefault="00DF26BC" w:rsidP="00C63C9B">
      <w:pPr>
        <w:pStyle w:val="00Numberedparagraph"/>
        <w:numPr>
          <w:ilvl w:val="0"/>
          <w:numId w:val="28"/>
        </w:numPr>
        <w:ind w:left="900"/>
        <w:rPr>
          <w:rFonts w:ascii="Calibri" w:eastAsia="Calibri" w:hAnsi="Calibri" w:cs="Calibri"/>
          <w:sz w:val="22"/>
          <w:szCs w:val="22"/>
        </w:rPr>
      </w:pPr>
      <w:r w:rsidRPr="00564501">
        <w:rPr>
          <w:rFonts w:ascii="Calibri" w:hAnsi="Calibri" w:cs="Calibri"/>
          <w:sz w:val="22"/>
          <w:szCs w:val="22"/>
        </w:rPr>
        <w:t xml:space="preserve">The SC </w:t>
      </w:r>
      <w:r w:rsidRPr="00564501">
        <w:rPr>
          <w:rFonts w:ascii="Calibri" w:hAnsi="Calibri" w:cs="Calibri"/>
          <w:b/>
          <w:bCs/>
          <w:sz w:val="22"/>
          <w:szCs w:val="22"/>
        </w:rPr>
        <w:t xml:space="preserve">NOTED </w:t>
      </w:r>
      <w:r w:rsidRPr="00564501">
        <w:rPr>
          <w:rFonts w:ascii="Calibri" w:hAnsi="Calibri" w:cs="Calibri"/>
          <w:sz w:val="22"/>
          <w:szCs w:val="22"/>
        </w:rPr>
        <w:t>the report of the 22</w:t>
      </w:r>
      <w:r w:rsidRPr="00564501">
        <w:rPr>
          <w:rFonts w:ascii="Calibri" w:hAnsi="Calibri" w:cs="Calibri"/>
          <w:sz w:val="22"/>
          <w:szCs w:val="22"/>
          <w:vertAlign w:val="superscript"/>
        </w:rPr>
        <w:t>nd</w:t>
      </w:r>
      <w:r w:rsidRPr="00564501">
        <w:rPr>
          <w:rFonts w:ascii="Calibri" w:hAnsi="Calibri" w:cs="Calibri"/>
          <w:sz w:val="22"/>
          <w:szCs w:val="22"/>
        </w:rPr>
        <w:t xml:space="preserve"> Session of the Working Party on Billfish (</w:t>
      </w:r>
      <w:hyperlink r:id="rId22">
        <w:r w:rsidRPr="00564501">
          <w:rPr>
            <w:rStyle w:val="Hyperlink"/>
            <w:rFonts w:ascii="Calibri" w:hAnsi="Calibri" w:cs="Calibri"/>
            <w:sz w:val="22"/>
            <w:szCs w:val="22"/>
          </w:rPr>
          <w:t>IOTC–2024–WPB22–R</w:t>
        </w:r>
      </w:hyperlink>
      <w:r w:rsidRPr="00564501">
        <w:rPr>
          <w:rFonts w:ascii="Calibri" w:hAnsi="Calibri" w:cs="Calibri"/>
          <w:sz w:val="22"/>
          <w:szCs w:val="22"/>
        </w:rPr>
        <w:t>), including the consolidated list of recommendations provided as an appendix to the report. The meeting was attended by 47 participants (cf. 97 in 2023). Five participants received funding through the MPF.</w:t>
      </w:r>
    </w:p>
    <w:p w14:paraId="2DC22C29" w14:textId="77777777" w:rsidR="00DF26BC" w:rsidRPr="00564501" w:rsidRDefault="00DF26BC" w:rsidP="00C63C9B">
      <w:pPr>
        <w:pStyle w:val="00Numberedparagraph"/>
        <w:numPr>
          <w:ilvl w:val="0"/>
          <w:numId w:val="28"/>
        </w:numPr>
        <w:ind w:left="900"/>
        <w:rPr>
          <w:rFonts w:ascii="Calibri" w:eastAsia="Calibri" w:hAnsi="Calibri" w:cs="Calibri"/>
          <w:sz w:val="22"/>
          <w:szCs w:val="22"/>
        </w:rPr>
      </w:pPr>
      <w:r w:rsidRPr="00564501">
        <w:rPr>
          <w:rFonts w:ascii="Calibri" w:eastAsia="Calibri" w:hAnsi="Calibri" w:cs="Calibri"/>
          <w:sz w:val="22"/>
          <w:szCs w:val="22"/>
        </w:rPr>
        <w:t xml:space="preserve">The SC </w:t>
      </w:r>
      <w:r w:rsidRPr="00564501">
        <w:rPr>
          <w:rFonts w:ascii="Calibri" w:eastAsia="Calibri" w:hAnsi="Calibri" w:cs="Calibri"/>
          <w:b/>
          <w:bCs/>
          <w:sz w:val="22"/>
          <w:szCs w:val="22"/>
        </w:rPr>
        <w:t>THANKED</w:t>
      </w:r>
      <w:r w:rsidRPr="00564501">
        <w:rPr>
          <w:rFonts w:ascii="Calibri" w:eastAsia="Calibri" w:hAnsi="Calibri" w:cs="Calibri"/>
          <w:sz w:val="22"/>
          <w:szCs w:val="22"/>
        </w:rPr>
        <w:t xml:space="preserve"> and </w:t>
      </w:r>
      <w:r w:rsidRPr="00564501">
        <w:rPr>
          <w:rFonts w:ascii="Calibri" w:eastAsia="Calibri" w:hAnsi="Calibri" w:cs="Calibri"/>
          <w:b/>
          <w:bCs/>
          <w:sz w:val="22"/>
          <w:szCs w:val="22"/>
        </w:rPr>
        <w:t>CONGRATULATED</w:t>
      </w:r>
      <w:r w:rsidRPr="00564501">
        <w:rPr>
          <w:rFonts w:ascii="Calibri" w:eastAsia="Calibri" w:hAnsi="Calibri" w:cs="Calibri"/>
          <w:sz w:val="22"/>
          <w:szCs w:val="22"/>
        </w:rPr>
        <w:t xml:space="preserve"> the Chair and the WPB for their efforts and accomplishments during the 22</w:t>
      </w:r>
      <w:r w:rsidRPr="00564501">
        <w:rPr>
          <w:rFonts w:ascii="Calibri" w:eastAsia="Calibri" w:hAnsi="Calibri" w:cs="Calibri"/>
          <w:sz w:val="22"/>
          <w:szCs w:val="22"/>
          <w:vertAlign w:val="superscript"/>
        </w:rPr>
        <w:t>nd</w:t>
      </w:r>
      <w:r w:rsidRPr="00564501">
        <w:rPr>
          <w:rFonts w:ascii="Calibri" w:eastAsia="Calibri" w:hAnsi="Calibri" w:cs="Calibri"/>
          <w:sz w:val="22"/>
          <w:szCs w:val="22"/>
        </w:rPr>
        <w:t xml:space="preserve"> session of the WPB.</w:t>
      </w:r>
    </w:p>
    <w:p w14:paraId="0D24F977" w14:textId="77777777" w:rsidR="00DF26BC" w:rsidRPr="00564501" w:rsidRDefault="00DF26BC" w:rsidP="00C63C9B">
      <w:pPr>
        <w:pStyle w:val="00Numberedparagraph"/>
        <w:numPr>
          <w:ilvl w:val="0"/>
          <w:numId w:val="28"/>
        </w:numPr>
        <w:ind w:left="900"/>
        <w:rPr>
          <w:rFonts w:ascii="Calibri" w:eastAsia="Calibri" w:hAnsi="Calibri" w:cs="Calibri"/>
          <w:sz w:val="22"/>
          <w:szCs w:val="22"/>
        </w:rPr>
      </w:pPr>
      <w:r w:rsidRPr="00564501">
        <w:rPr>
          <w:rFonts w:ascii="Calibri" w:eastAsia="Calibri" w:hAnsi="Calibri" w:cs="Calibri"/>
          <w:sz w:val="22"/>
          <w:szCs w:val="22"/>
        </w:rPr>
        <w:t xml:space="preserve">The SC </w:t>
      </w:r>
      <w:r w:rsidRPr="00564501">
        <w:rPr>
          <w:rFonts w:ascii="Calibri" w:eastAsia="Calibri" w:hAnsi="Calibri" w:cs="Calibri"/>
          <w:b/>
          <w:bCs/>
          <w:sz w:val="22"/>
          <w:szCs w:val="22"/>
        </w:rPr>
        <w:t>NOTED</w:t>
      </w:r>
      <w:r w:rsidRPr="00564501">
        <w:rPr>
          <w:rFonts w:ascii="Calibri" w:eastAsia="Calibri" w:hAnsi="Calibri" w:cs="Calibri"/>
          <w:sz w:val="22"/>
          <w:szCs w:val="22"/>
        </w:rPr>
        <w:t xml:space="preserve"> that, according to the FAO Global Capture Production Database, the Indian Ocean has accounted for more than 40% of the global billfish catch in recent years.</w:t>
      </w:r>
    </w:p>
    <w:p w14:paraId="5E83092B" w14:textId="77777777" w:rsidR="00DF26BC" w:rsidRPr="00564501" w:rsidRDefault="00DF26BC" w:rsidP="00C63C9B">
      <w:pPr>
        <w:pStyle w:val="00Numberedparagraph"/>
        <w:numPr>
          <w:ilvl w:val="0"/>
          <w:numId w:val="28"/>
        </w:numPr>
        <w:ind w:left="900"/>
        <w:rPr>
          <w:rFonts w:ascii="Calibri" w:eastAsia="Calibri" w:hAnsi="Calibri" w:cs="Calibri"/>
          <w:sz w:val="22"/>
          <w:szCs w:val="22"/>
        </w:rPr>
      </w:pPr>
      <w:r w:rsidRPr="00564501">
        <w:rPr>
          <w:rFonts w:ascii="Calibri" w:eastAsia="Calibri" w:hAnsi="Calibri" w:cs="Calibri"/>
          <w:sz w:val="22"/>
          <w:szCs w:val="22"/>
        </w:rPr>
        <w:t xml:space="preserve">The SC </w:t>
      </w:r>
      <w:r w:rsidRPr="00564501">
        <w:rPr>
          <w:rFonts w:ascii="Calibri" w:eastAsia="Calibri" w:hAnsi="Calibri" w:cs="Calibri"/>
          <w:b/>
          <w:bCs/>
          <w:sz w:val="22"/>
          <w:szCs w:val="22"/>
        </w:rPr>
        <w:t>NOTED</w:t>
      </w:r>
      <w:r w:rsidRPr="00564501">
        <w:rPr>
          <w:rFonts w:ascii="Calibri" w:eastAsia="Calibri" w:hAnsi="Calibri" w:cs="Calibri"/>
          <w:sz w:val="22"/>
          <w:szCs w:val="22"/>
        </w:rPr>
        <w:t xml:space="preserve"> that </w:t>
      </w:r>
      <w:r w:rsidRPr="00564501">
        <w:rPr>
          <w:rFonts w:ascii="Calibri" w:eastAsiaTheme="minorEastAsia" w:hAnsi="Calibri" w:cs="Calibri"/>
          <w:sz w:val="22"/>
          <w:szCs w:val="22"/>
          <w:lang w:eastAsia="ja-JP"/>
        </w:rPr>
        <w:t xml:space="preserve">annual </w:t>
      </w:r>
      <w:r w:rsidRPr="00564501">
        <w:rPr>
          <w:rFonts w:ascii="Calibri" w:eastAsia="Calibri" w:hAnsi="Calibri" w:cs="Calibri"/>
          <w:sz w:val="22"/>
          <w:szCs w:val="22"/>
        </w:rPr>
        <w:t>Indian Ocean billfish catches increased from approximately 5,500 tonnes in the 1950s to around 90,000 tonnes in the 2010s, representing less than 5% of the total catch of IOTC species in recent years.</w:t>
      </w:r>
    </w:p>
    <w:p w14:paraId="7B1CAA41" w14:textId="635F837C" w:rsidR="00DF26BC" w:rsidRPr="00C941CC" w:rsidRDefault="00DF26BC" w:rsidP="00C63C9B">
      <w:pPr>
        <w:pStyle w:val="00Numberedparagraph"/>
        <w:numPr>
          <w:ilvl w:val="0"/>
          <w:numId w:val="28"/>
        </w:numPr>
        <w:ind w:left="900"/>
        <w:rPr>
          <w:rFonts w:ascii="Calibri" w:eastAsia="Calibri" w:hAnsi="Calibri" w:cs="Calibri"/>
          <w:sz w:val="22"/>
          <w:szCs w:val="22"/>
        </w:rPr>
      </w:pPr>
      <w:r w:rsidRPr="00564501">
        <w:rPr>
          <w:rFonts w:ascii="Calibri" w:eastAsia="Calibri" w:hAnsi="Calibri" w:cs="Calibri"/>
          <w:sz w:val="22"/>
          <w:szCs w:val="22"/>
        </w:rPr>
        <w:t xml:space="preserve">The SC further </w:t>
      </w:r>
      <w:r w:rsidRPr="00564501">
        <w:rPr>
          <w:rFonts w:ascii="Calibri" w:eastAsia="Calibri" w:hAnsi="Calibri" w:cs="Calibri"/>
          <w:b/>
          <w:bCs/>
          <w:sz w:val="22"/>
          <w:szCs w:val="22"/>
        </w:rPr>
        <w:t>NOTED</w:t>
      </w:r>
      <w:r w:rsidRPr="00564501">
        <w:rPr>
          <w:rFonts w:ascii="Calibri" w:eastAsia="Calibri" w:hAnsi="Calibri" w:cs="Calibri"/>
          <w:sz w:val="22"/>
          <w:szCs w:val="22"/>
        </w:rPr>
        <w:t xml:space="preserve"> that the contribution of gillnets has increased over the years, accounting for nearly 50% of the total billfish catch in the Indian Ocean in recent years.</w:t>
      </w:r>
    </w:p>
    <w:p w14:paraId="15BC8729" w14:textId="13C40F3E" w:rsidR="00DF26BC" w:rsidRPr="00564501" w:rsidRDefault="00DF26BC" w:rsidP="00564501">
      <w:pPr>
        <w:pStyle w:val="IOTCReportNormalNumbered"/>
        <w:numPr>
          <w:ilvl w:val="0"/>
          <w:numId w:val="0"/>
        </w:numPr>
        <w:ind w:left="540"/>
        <w:rPr>
          <w:rFonts w:ascii="Calibri" w:eastAsia="MS Mincho" w:hAnsi="Calibri" w:cs="Calibri"/>
          <w:b/>
          <w:bCs/>
          <w:i/>
          <w:iCs/>
          <w:szCs w:val="22"/>
        </w:rPr>
      </w:pPr>
      <w:r w:rsidRPr="00564501">
        <w:rPr>
          <w:rFonts w:ascii="Calibri" w:eastAsia="MS Mincho" w:hAnsi="Calibri" w:cs="Calibri"/>
          <w:b/>
          <w:bCs/>
          <w:i/>
          <w:iCs/>
          <w:szCs w:val="22"/>
        </w:rPr>
        <w:t>Billfish reproductive biology workshop</w:t>
      </w:r>
    </w:p>
    <w:p w14:paraId="7C99F9FF" w14:textId="77777777" w:rsidR="00DF26BC" w:rsidRPr="00564501" w:rsidRDefault="00DF26BC" w:rsidP="00C63C9B">
      <w:pPr>
        <w:pStyle w:val="00Numberedparagraph"/>
        <w:numPr>
          <w:ilvl w:val="0"/>
          <w:numId w:val="28"/>
        </w:numPr>
        <w:ind w:left="900"/>
        <w:rPr>
          <w:rFonts w:ascii="Calibri" w:eastAsia="Calibri" w:hAnsi="Calibri" w:cs="Calibri"/>
          <w:sz w:val="22"/>
          <w:szCs w:val="22"/>
        </w:rPr>
      </w:pPr>
      <w:r w:rsidRPr="00564501">
        <w:rPr>
          <w:rFonts w:ascii="Calibri" w:eastAsia="Calibri" w:hAnsi="Calibri" w:cs="Calibri"/>
          <w:sz w:val="22"/>
          <w:szCs w:val="22"/>
        </w:rPr>
        <w:t xml:space="preserve">The SC </w:t>
      </w:r>
      <w:r w:rsidRPr="00564501">
        <w:rPr>
          <w:rFonts w:ascii="Calibri" w:eastAsia="Calibri" w:hAnsi="Calibri" w:cs="Calibri"/>
          <w:b/>
          <w:sz w:val="22"/>
          <w:szCs w:val="22"/>
        </w:rPr>
        <w:t>NOTED</w:t>
      </w:r>
      <w:r w:rsidRPr="00564501">
        <w:rPr>
          <w:rFonts w:ascii="Calibri" w:eastAsia="Calibri" w:hAnsi="Calibri" w:cs="Calibri"/>
          <w:sz w:val="22"/>
          <w:szCs w:val="22"/>
        </w:rPr>
        <w:t xml:space="preserve"> that a portion of the 22nd session of the WPB was dedicated to billfish reproductive biology, </w:t>
      </w:r>
      <w:r w:rsidRPr="00564501">
        <w:rPr>
          <w:rFonts w:ascii="Calibri" w:eastAsia="Calibri" w:hAnsi="Calibri" w:cs="Calibri"/>
          <w:b/>
          <w:bCs/>
          <w:sz w:val="22"/>
          <w:szCs w:val="22"/>
        </w:rPr>
        <w:t>ACKNOWLEDGING</w:t>
      </w:r>
      <w:r w:rsidRPr="00564501">
        <w:rPr>
          <w:rFonts w:ascii="Calibri" w:eastAsia="Calibri" w:hAnsi="Calibri" w:cs="Calibri"/>
          <w:sz w:val="22"/>
          <w:szCs w:val="22"/>
        </w:rPr>
        <w:t xml:space="preserve"> the contribution of an invited expert, Dr. Robert Humphreys, who presented a comprehensive review of past and recent studies utilising gonad histology to define reproductive phases and maturity status in billfish species.</w:t>
      </w:r>
    </w:p>
    <w:p w14:paraId="3A189E21" w14:textId="2A97C069" w:rsidR="00DF26BC" w:rsidRPr="00564501" w:rsidRDefault="00DF26BC" w:rsidP="00564501">
      <w:pPr>
        <w:pStyle w:val="IOTCReportNormalNumbered"/>
        <w:numPr>
          <w:ilvl w:val="0"/>
          <w:numId w:val="0"/>
        </w:numPr>
        <w:ind w:left="180" w:firstLine="360"/>
        <w:rPr>
          <w:rFonts w:ascii="Calibri" w:eastAsia="MS Mincho" w:hAnsi="Calibri" w:cs="Calibri"/>
          <w:b/>
          <w:bCs/>
          <w:i/>
          <w:iCs/>
          <w:szCs w:val="22"/>
          <w:vertAlign w:val="subscript"/>
        </w:rPr>
      </w:pPr>
      <w:r w:rsidRPr="00564501">
        <w:rPr>
          <w:rFonts w:ascii="Calibri" w:eastAsia="MS Mincho" w:hAnsi="Calibri" w:cs="Calibri"/>
          <w:b/>
          <w:bCs/>
          <w:i/>
          <w:iCs/>
          <w:szCs w:val="22"/>
        </w:rPr>
        <w:t xml:space="preserve">Striped marlin stock assessment </w:t>
      </w:r>
    </w:p>
    <w:p w14:paraId="5D772071" w14:textId="77777777" w:rsidR="00DF26BC" w:rsidRPr="00564501" w:rsidRDefault="00DF26BC" w:rsidP="00C63C9B">
      <w:pPr>
        <w:numPr>
          <w:ilvl w:val="0"/>
          <w:numId w:val="28"/>
        </w:numPr>
        <w:spacing w:before="120"/>
        <w:ind w:left="900"/>
        <w:jc w:val="both"/>
        <w:rPr>
          <w:rFonts w:ascii="Calibri" w:eastAsia="Calibri" w:hAnsi="Calibri" w:cs="Calibri"/>
        </w:rPr>
      </w:pPr>
      <w:r w:rsidRPr="00564501">
        <w:rPr>
          <w:rFonts w:ascii="Calibri" w:eastAsia="Calibri" w:hAnsi="Calibri" w:cs="Calibri"/>
        </w:rPr>
        <w:t xml:space="preserve">The SC </w:t>
      </w:r>
      <w:r w:rsidRPr="00564501">
        <w:rPr>
          <w:rFonts w:ascii="Calibri" w:eastAsia="Calibri" w:hAnsi="Calibri" w:cs="Calibri"/>
          <w:b/>
        </w:rPr>
        <w:t>NOTED</w:t>
      </w:r>
      <w:r w:rsidRPr="00564501">
        <w:rPr>
          <w:rFonts w:ascii="Calibri" w:eastAsia="Calibri" w:hAnsi="Calibri" w:cs="Calibri"/>
        </w:rPr>
        <w:t xml:space="preserve"> with concern the status of the striped marlin stock in the Indian Ocean, despite the agreement to catch limits established in late 2018 through Resolution 18/05. Both a surplus production model using JABBA and an age-structured model using SS3 indicated that the stock was overfished and subject to overfishing in 2022 with a probability of 100%.</w:t>
      </w:r>
    </w:p>
    <w:p w14:paraId="3E2481B1" w14:textId="77777777" w:rsidR="00DF26BC" w:rsidRPr="00564501" w:rsidRDefault="00DF26BC" w:rsidP="00C63C9B">
      <w:pPr>
        <w:numPr>
          <w:ilvl w:val="0"/>
          <w:numId w:val="28"/>
        </w:numPr>
        <w:spacing w:before="120"/>
        <w:ind w:left="900"/>
        <w:jc w:val="both"/>
        <w:rPr>
          <w:rFonts w:ascii="Calibri" w:eastAsia="Calibri" w:hAnsi="Calibri" w:cs="Calibri"/>
        </w:rPr>
      </w:pPr>
      <w:r w:rsidRPr="00564501">
        <w:rPr>
          <w:rFonts w:ascii="Calibri" w:eastAsia="Calibri" w:hAnsi="Calibri" w:cs="Calibri"/>
        </w:rPr>
        <w:t xml:space="preserve">The SC </w:t>
      </w:r>
      <w:r w:rsidRPr="00564501">
        <w:rPr>
          <w:rFonts w:ascii="Calibri" w:eastAsia="Calibri" w:hAnsi="Calibri" w:cs="Calibri"/>
          <w:b/>
        </w:rPr>
        <w:t>NOTED</w:t>
      </w:r>
      <w:r w:rsidRPr="00564501">
        <w:rPr>
          <w:rFonts w:ascii="Calibri" w:eastAsia="Calibri" w:hAnsi="Calibri" w:cs="Calibri"/>
        </w:rPr>
        <w:t xml:space="preserve"> that the stock status determination in the stock-specific tables of the report refers to the year 2024, despite the input data being available only up to 2022. The SC </w:t>
      </w:r>
      <w:r w:rsidRPr="00564501">
        <w:rPr>
          <w:rFonts w:ascii="Calibri" w:eastAsia="Calibri" w:hAnsi="Calibri" w:cs="Calibri"/>
          <w:b/>
        </w:rPr>
        <w:t>AGREED</w:t>
      </w:r>
      <w:r w:rsidRPr="00564501">
        <w:rPr>
          <w:rFonts w:ascii="Calibri" w:eastAsia="Calibri" w:hAnsi="Calibri" w:cs="Calibri"/>
        </w:rPr>
        <w:t xml:space="preserve"> that the year of assessment could serve as the reference year in the management advice but </w:t>
      </w:r>
      <w:r w:rsidRPr="00564501">
        <w:rPr>
          <w:rFonts w:ascii="Calibri" w:eastAsia="Calibri" w:hAnsi="Calibri" w:cs="Calibri"/>
          <w:b/>
        </w:rPr>
        <w:t>ACKNOWLEDGED</w:t>
      </w:r>
      <w:r w:rsidRPr="00564501">
        <w:rPr>
          <w:rFonts w:ascii="Calibri" w:eastAsia="Calibri" w:hAnsi="Calibri" w:cs="Calibri"/>
        </w:rPr>
        <w:t xml:space="preserve"> the importance of ensuring this approach is consistent across all assessments conducted by the IOTC for harmonisation purposes.</w:t>
      </w:r>
    </w:p>
    <w:p w14:paraId="199039B2" w14:textId="77777777" w:rsidR="00DF26BC" w:rsidRPr="00564501" w:rsidRDefault="00DF26BC" w:rsidP="00C63C9B">
      <w:pPr>
        <w:numPr>
          <w:ilvl w:val="0"/>
          <w:numId w:val="28"/>
        </w:numPr>
        <w:spacing w:before="120"/>
        <w:ind w:left="900"/>
        <w:jc w:val="both"/>
        <w:rPr>
          <w:rFonts w:ascii="Calibri" w:eastAsia="Calibri" w:hAnsi="Calibri" w:cs="Calibri"/>
        </w:rPr>
      </w:pPr>
      <w:r w:rsidRPr="00564501">
        <w:rPr>
          <w:rFonts w:ascii="Calibri" w:eastAsia="Calibri" w:hAnsi="Calibri" w:cs="Calibri"/>
          <w:b/>
        </w:rPr>
        <w:t>NOTING</w:t>
      </w:r>
      <w:r w:rsidRPr="00564501">
        <w:rPr>
          <w:rFonts w:ascii="Calibri" w:eastAsia="Calibri" w:hAnsi="Calibri" w:cs="Calibri"/>
        </w:rPr>
        <w:t xml:space="preserve"> that information on stock abundance is derived from the longline fisheries of Japan and Taiwan, China, which have caught relatively small amounts of striped marlin in recent years, the SC </w:t>
      </w:r>
      <w:r w:rsidRPr="00564501">
        <w:rPr>
          <w:rFonts w:ascii="Calibri" w:eastAsia="Calibri" w:hAnsi="Calibri" w:cs="Calibri"/>
          <w:b/>
        </w:rPr>
        <w:t>NOTED</w:t>
      </w:r>
      <w:r w:rsidRPr="00564501">
        <w:rPr>
          <w:rFonts w:ascii="Calibri" w:eastAsia="Calibri" w:hAnsi="Calibri" w:cs="Calibri"/>
        </w:rPr>
        <w:t xml:space="preserve"> the importance of better emphasising the major fishing nations targeting striped marlin.</w:t>
      </w:r>
    </w:p>
    <w:p w14:paraId="4D0225B3" w14:textId="77777777" w:rsidR="00DF26BC" w:rsidRPr="00564501" w:rsidRDefault="00DF26BC" w:rsidP="00C63C9B">
      <w:pPr>
        <w:numPr>
          <w:ilvl w:val="0"/>
          <w:numId w:val="28"/>
        </w:numPr>
        <w:spacing w:before="120"/>
        <w:ind w:left="900"/>
        <w:jc w:val="both"/>
        <w:rPr>
          <w:rFonts w:ascii="Calibri" w:eastAsia="Calibri" w:hAnsi="Calibri" w:cs="Calibri"/>
        </w:rPr>
      </w:pPr>
      <w:r w:rsidRPr="00564501">
        <w:rPr>
          <w:rFonts w:ascii="Calibri" w:eastAsia="Calibri" w:hAnsi="Calibri" w:cs="Calibri"/>
        </w:rPr>
        <w:t xml:space="preserve">The SC </w:t>
      </w:r>
      <w:r w:rsidRPr="00564501">
        <w:rPr>
          <w:rFonts w:ascii="Calibri" w:eastAsia="Calibri" w:hAnsi="Calibri" w:cs="Calibri"/>
          <w:b/>
        </w:rPr>
        <w:t>ACKNOWLEDGED</w:t>
      </w:r>
      <w:r w:rsidRPr="00564501">
        <w:rPr>
          <w:rFonts w:ascii="Calibri" w:eastAsia="Calibri" w:hAnsi="Calibri" w:cs="Calibri"/>
        </w:rPr>
        <w:t xml:space="preserve"> that the fishing mortality levels (F</w:t>
      </w:r>
      <w:r w:rsidRPr="00564501">
        <w:rPr>
          <w:rFonts w:ascii="Calibri" w:eastAsia="Calibri" w:hAnsi="Calibri" w:cs="Calibri"/>
          <w:vertAlign w:val="subscript"/>
        </w:rPr>
        <w:t>2022</w:t>
      </w:r>
      <w:r w:rsidRPr="00564501">
        <w:rPr>
          <w:rFonts w:ascii="Calibri" w:eastAsia="Calibri" w:hAnsi="Calibri" w:cs="Calibri"/>
        </w:rPr>
        <w:t>/F</w:t>
      </w:r>
      <w:r w:rsidRPr="00564501">
        <w:rPr>
          <w:rFonts w:ascii="Calibri" w:eastAsia="Calibri" w:hAnsi="Calibri" w:cs="Calibri"/>
          <w:vertAlign w:val="subscript"/>
        </w:rPr>
        <w:t>MSY</w:t>
      </w:r>
      <w:r w:rsidRPr="00564501">
        <w:rPr>
          <w:rFonts w:ascii="Calibri" w:eastAsia="Calibri" w:hAnsi="Calibri" w:cs="Calibri"/>
        </w:rPr>
        <w:t xml:space="preserve">) estimated by the models were exceptionally high, with values of 9.26 and 3.95 according to SS3 and JABBA, respectively. The SC </w:t>
      </w:r>
      <w:r w:rsidRPr="00564501">
        <w:rPr>
          <w:rFonts w:ascii="Calibri" w:eastAsia="Calibri" w:hAnsi="Calibri" w:cs="Calibri"/>
          <w:b/>
        </w:rPr>
        <w:t>NOTED</w:t>
      </w:r>
      <w:r w:rsidRPr="00564501">
        <w:rPr>
          <w:rFonts w:ascii="Calibri" w:eastAsia="Calibri" w:hAnsi="Calibri" w:cs="Calibri"/>
        </w:rPr>
        <w:t xml:space="preserve"> </w:t>
      </w:r>
      <w:r w:rsidRPr="00564501">
        <w:rPr>
          <w:rFonts w:ascii="Calibri" w:eastAsia="Calibri" w:hAnsi="Calibri" w:cs="Calibri"/>
        </w:rPr>
        <w:lastRenderedPageBreak/>
        <w:t>that the intensity of the depletion level has be primarily driven by the Japanese longline CPUE in a specific area historically, while the recent increase in catch contributed to the elevated fishing mortality levels.</w:t>
      </w:r>
    </w:p>
    <w:p w14:paraId="666D1B2B" w14:textId="77777777" w:rsidR="00DF26BC" w:rsidRPr="00564501" w:rsidRDefault="00DF26BC" w:rsidP="00C63C9B">
      <w:pPr>
        <w:numPr>
          <w:ilvl w:val="0"/>
          <w:numId w:val="28"/>
        </w:numPr>
        <w:spacing w:before="120"/>
        <w:ind w:left="900"/>
        <w:jc w:val="both"/>
        <w:rPr>
          <w:rFonts w:ascii="Calibri" w:eastAsia="Calibri" w:hAnsi="Calibri" w:cs="Calibri"/>
        </w:rPr>
      </w:pPr>
      <w:r w:rsidRPr="00564501">
        <w:rPr>
          <w:rFonts w:ascii="Calibri" w:eastAsia="Calibri" w:hAnsi="Calibri" w:cs="Calibri"/>
        </w:rPr>
        <w:t xml:space="preserve">The SC </w:t>
      </w:r>
      <w:r w:rsidRPr="00564501">
        <w:rPr>
          <w:rFonts w:ascii="Calibri" w:eastAsia="Calibri" w:hAnsi="Calibri" w:cs="Calibri"/>
          <w:b/>
        </w:rPr>
        <w:t>AGREED</w:t>
      </w:r>
      <w:r w:rsidRPr="00564501">
        <w:rPr>
          <w:rFonts w:ascii="Calibri" w:eastAsia="Calibri" w:hAnsi="Calibri" w:cs="Calibri"/>
        </w:rPr>
        <w:t xml:space="preserve"> that the abundance indices derived from longline CPUE analyses will be critical for future assessments and </w:t>
      </w:r>
      <w:r w:rsidRPr="00564501">
        <w:rPr>
          <w:rFonts w:ascii="Calibri" w:eastAsia="Calibri" w:hAnsi="Calibri" w:cs="Calibri"/>
          <w:b/>
        </w:rPr>
        <w:t>ENCOURAGED</w:t>
      </w:r>
      <w:r w:rsidRPr="00564501">
        <w:rPr>
          <w:rFonts w:ascii="Calibri" w:eastAsia="Calibri" w:hAnsi="Calibri" w:cs="Calibri"/>
        </w:rPr>
        <w:t xml:space="preserve"> all concerned CPCs to allocate adequate time and resources to support this work.</w:t>
      </w:r>
    </w:p>
    <w:p w14:paraId="02B823FB" w14:textId="2C0EABF0" w:rsidR="00DF26BC" w:rsidRPr="00564501" w:rsidRDefault="00DF26BC" w:rsidP="00564501">
      <w:pPr>
        <w:spacing w:before="120"/>
        <w:ind w:left="540"/>
        <w:jc w:val="both"/>
        <w:rPr>
          <w:rFonts w:ascii="Calibri" w:eastAsia="MS Mincho" w:hAnsi="Calibri" w:cs="Calibri"/>
          <w:b/>
          <w:bCs/>
          <w:i/>
          <w:iCs/>
        </w:rPr>
      </w:pPr>
      <w:r w:rsidRPr="00564501">
        <w:rPr>
          <w:rFonts w:ascii="Calibri" w:eastAsia="MS Mincho" w:hAnsi="Calibri" w:cs="Calibri"/>
          <w:b/>
          <w:bCs/>
          <w:i/>
          <w:iCs/>
          <w:color w:val="000000" w:themeColor="text1"/>
        </w:rPr>
        <w:t>Black marlin stock assessment</w:t>
      </w:r>
    </w:p>
    <w:p w14:paraId="6D49021D" w14:textId="77777777" w:rsidR="00DF26BC" w:rsidRPr="00564501" w:rsidRDefault="00DF26BC" w:rsidP="00C63C9B">
      <w:pPr>
        <w:numPr>
          <w:ilvl w:val="0"/>
          <w:numId w:val="28"/>
        </w:numPr>
        <w:spacing w:before="120"/>
        <w:ind w:left="900"/>
        <w:jc w:val="both"/>
        <w:rPr>
          <w:rFonts w:ascii="Calibri" w:eastAsia="Calibri" w:hAnsi="Calibri" w:cs="Calibri"/>
        </w:rPr>
      </w:pPr>
      <w:r w:rsidRPr="00564501">
        <w:rPr>
          <w:rFonts w:ascii="Calibri" w:eastAsia="Calibri" w:hAnsi="Calibri" w:cs="Calibri"/>
        </w:rPr>
        <w:t xml:space="preserve">The SC </w:t>
      </w:r>
      <w:r w:rsidRPr="00564501">
        <w:rPr>
          <w:rFonts w:ascii="Calibri" w:eastAsia="Calibri" w:hAnsi="Calibri" w:cs="Calibri"/>
          <w:b/>
          <w:bCs/>
        </w:rPr>
        <w:t>ACKNOWLEDGED</w:t>
      </w:r>
      <w:r w:rsidRPr="00564501">
        <w:rPr>
          <w:rFonts w:ascii="Calibri" w:eastAsia="Calibri" w:hAnsi="Calibri" w:cs="Calibri"/>
        </w:rPr>
        <w:t xml:space="preserve"> the progress made on the assessment of black marlin, which could not be determined previously due to substantial uncertainties, primarily arising from conflicting information between CPUE and catch data.</w:t>
      </w:r>
    </w:p>
    <w:p w14:paraId="24E2F9A4" w14:textId="77777777" w:rsidR="00DF26BC" w:rsidRPr="00564501" w:rsidRDefault="00DF26BC" w:rsidP="00C63C9B">
      <w:pPr>
        <w:numPr>
          <w:ilvl w:val="0"/>
          <w:numId w:val="28"/>
        </w:numPr>
        <w:spacing w:before="120"/>
        <w:ind w:left="900"/>
        <w:jc w:val="both"/>
        <w:rPr>
          <w:rFonts w:ascii="Calibri" w:eastAsia="Calibri" w:hAnsi="Calibri" w:cs="Calibri"/>
        </w:rPr>
      </w:pPr>
      <w:r w:rsidRPr="00564501">
        <w:rPr>
          <w:rFonts w:ascii="Calibri" w:eastAsia="Calibri" w:hAnsi="Calibri" w:cs="Calibri"/>
        </w:rPr>
        <w:t xml:space="preserve">The SC </w:t>
      </w:r>
      <w:r w:rsidRPr="00564501">
        <w:rPr>
          <w:rFonts w:ascii="Calibri" w:eastAsia="Calibri" w:hAnsi="Calibri" w:cs="Calibri"/>
          <w:b/>
          <w:bCs/>
        </w:rPr>
        <w:t>NOTED</w:t>
      </w:r>
      <w:r w:rsidRPr="00564501">
        <w:rPr>
          <w:rFonts w:ascii="Calibri" w:eastAsia="Calibri" w:hAnsi="Calibri" w:cs="Calibri"/>
        </w:rPr>
        <w:t xml:space="preserve"> that the assessment model applied to the stock of black marlin indicated that the stock was not overfished but subject to overfishing in 2022 with a probability of 62.2%.</w:t>
      </w:r>
    </w:p>
    <w:p w14:paraId="52479310" w14:textId="285BD117" w:rsidR="00DF26BC" w:rsidRPr="00C941CC" w:rsidRDefault="00DF26BC" w:rsidP="00C63C9B">
      <w:pPr>
        <w:numPr>
          <w:ilvl w:val="0"/>
          <w:numId w:val="28"/>
        </w:numPr>
        <w:spacing w:before="120"/>
        <w:ind w:left="900"/>
        <w:jc w:val="both"/>
        <w:rPr>
          <w:rFonts w:ascii="Calibri" w:eastAsia="Calibri" w:hAnsi="Calibri" w:cs="Calibri"/>
        </w:rPr>
      </w:pPr>
      <w:r w:rsidRPr="00564501">
        <w:rPr>
          <w:rFonts w:ascii="Calibri" w:eastAsia="Calibri" w:hAnsi="Calibri" w:cs="Calibri"/>
          <w:b/>
          <w:bCs/>
        </w:rPr>
        <w:t>NOTING</w:t>
      </w:r>
      <w:r w:rsidRPr="00564501">
        <w:rPr>
          <w:rFonts w:ascii="Calibri" w:eastAsia="Calibri" w:hAnsi="Calibri" w:cs="Calibri"/>
        </w:rPr>
        <w:t xml:space="preserve"> that a joint analysis of fleet specific CPUE based on a consistent statistical framework which accounts for differences in catchability between fleets could be useful for assessing species under the mandate of WPB, the SC </w:t>
      </w:r>
      <w:r w:rsidRPr="00564501">
        <w:rPr>
          <w:rFonts w:ascii="Calibri" w:eastAsia="Calibri" w:hAnsi="Calibri" w:cs="Calibri"/>
          <w:b/>
          <w:bCs/>
        </w:rPr>
        <w:t>RECOMMENDED</w:t>
      </w:r>
      <w:r w:rsidRPr="00564501">
        <w:rPr>
          <w:rFonts w:ascii="Calibri" w:eastAsia="Calibri" w:hAnsi="Calibri" w:cs="Calibri"/>
        </w:rPr>
        <w:t xml:space="preserve"> that the Commission urge the CPCs to dedicate effort to harmonising the standardised methods for different fleets and to develop a joint analysis combining catch effort data from key fleets for major billfish species where feasible.</w:t>
      </w:r>
    </w:p>
    <w:p w14:paraId="1EE1B3B1" w14:textId="4C5BAD6C" w:rsidR="00DF26BC" w:rsidRPr="00564501" w:rsidRDefault="00DF26BC" w:rsidP="00564501">
      <w:pPr>
        <w:pStyle w:val="IOTCReportNormalNumbered"/>
        <w:numPr>
          <w:ilvl w:val="0"/>
          <w:numId w:val="0"/>
        </w:numPr>
        <w:ind w:left="180" w:firstLine="357"/>
        <w:rPr>
          <w:rFonts w:ascii="Calibri" w:hAnsi="Calibri" w:cs="Calibri"/>
          <w:b/>
          <w:bCs/>
          <w:i/>
          <w:iCs/>
          <w:szCs w:val="22"/>
        </w:rPr>
      </w:pPr>
      <w:r w:rsidRPr="00564501">
        <w:rPr>
          <w:rFonts w:ascii="Calibri" w:hAnsi="Calibri" w:cs="Calibri"/>
          <w:b/>
          <w:bCs/>
          <w:i/>
          <w:iCs/>
          <w:szCs w:val="22"/>
        </w:rPr>
        <w:t>Revision of catch levels of marlins under Resolution 18/05</w:t>
      </w:r>
    </w:p>
    <w:p w14:paraId="53B74FD6" w14:textId="77777777" w:rsidR="00DF26BC" w:rsidRPr="00564501" w:rsidRDefault="00DF26BC" w:rsidP="00C63C9B">
      <w:pPr>
        <w:numPr>
          <w:ilvl w:val="0"/>
          <w:numId w:val="28"/>
        </w:numPr>
        <w:spacing w:before="120" w:after="240" w:line="259" w:lineRule="auto"/>
        <w:ind w:left="900"/>
        <w:jc w:val="both"/>
        <w:rPr>
          <w:rFonts w:ascii="Calibri" w:hAnsi="Calibri" w:cs="Calibri"/>
        </w:rPr>
      </w:pPr>
      <w:r w:rsidRPr="00564501">
        <w:rPr>
          <w:rFonts w:ascii="Calibri" w:hAnsi="Calibri" w:cs="Calibri"/>
        </w:rPr>
        <w:t xml:space="preserve">The SC </w:t>
      </w:r>
      <w:r w:rsidRPr="00564501">
        <w:rPr>
          <w:rFonts w:ascii="Calibri" w:hAnsi="Calibri" w:cs="Calibri"/>
          <w:b/>
          <w:bCs/>
        </w:rPr>
        <w:t>NOTED</w:t>
      </w:r>
      <w:r w:rsidRPr="00564501">
        <w:rPr>
          <w:rFonts w:ascii="Calibri" w:hAnsi="Calibri" w:cs="Calibri"/>
        </w:rPr>
        <w:t xml:space="preserve"> that the catch levels of black marlin and Indo-Pacific sailfish have exceeded the catch limits established under Resolution </w:t>
      </w:r>
      <w:hyperlink r:id="rId23">
        <w:r w:rsidRPr="00564501">
          <w:rPr>
            <w:rStyle w:val="Hyperlink"/>
            <w:rFonts w:ascii="Calibri" w:hAnsi="Calibri" w:cs="Calibri"/>
          </w:rPr>
          <w:t>18/05</w:t>
        </w:r>
      </w:hyperlink>
      <w:r w:rsidRPr="00564501">
        <w:rPr>
          <w:rFonts w:ascii="Calibri" w:hAnsi="Calibri" w:cs="Calibri"/>
        </w:rPr>
        <w:t>, while the catches of blue marlin have remained well below the limit in recent years (</w:t>
      </w:r>
      <w:r w:rsidRPr="00564501">
        <w:rPr>
          <w:rFonts w:ascii="Calibri" w:hAnsi="Calibri" w:cs="Calibri"/>
          <w:b/>
          <w:bCs/>
        </w:rPr>
        <w:t>Fig. 1</w:t>
      </w:r>
      <w:r w:rsidRPr="00564501">
        <w:rPr>
          <w:rFonts w:ascii="Calibri" w:hAnsi="Calibri" w:cs="Calibri"/>
        </w:rPr>
        <w:t>).</w:t>
      </w:r>
    </w:p>
    <w:p w14:paraId="3A7EA9F9" w14:textId="77777777" w:rsidR="00DF26BC" w:rsidRPr="00564501" w:rsidRDefault="00DF26BC" w:rsidP="00C63C9B">
      <w:pPr>
        <w:numPr>
          <w:ilvl w:val="0"/>
          <w:numId w:val="28"/>
        </w:numPr>
        <w:spacing w:before="120" w:after="240" w:line="259" w:lineRule="auto"/>
        <w:ind w:left="900"/>
        <w:jc w:val="both"/>
        <w:rPr>
          <w:rFonts w:ascii="Calibri" w:hAnsi="Calibri" w:cs="Calibri"/>
        </w:rPr>
      </w:pPr>
      <w:r w:rsidRPr="00564501">
        <w:rPr>
          <w:rFonts w:ascii="Calibri" w:hAnsi="Calibri" w:cs="Calibri"/>
        </w:rPr>
        <w:t xml:space="preserve">For striped marlin, the SC </w:t>
      </w:r>
      <w:r w:rsidRPr="00564501">
        <w:rPr>
          <w:rFonts w:ascii="Calibri" w:hAnsi="Calibri" w:cs="Calibri"/>
          <w:b/>
        </w:rPr>
        <w:t>ACKNOWLEDGED</w:t>
      </w:r>
      <w:r w:rsidRPr="00564501">
        <w:rPr>
          <w:rFonts w:ascii="Calibri" w:hAnsi="Calibri" w:cs="Calibri"/>
        </w:rPr>
        <w:t xml:space="preserve"> that the stock has remained subject to overfishing and overfished. While reported catches remained below the Resolution </w:t>
      </w:r>
      <w:hyperlink r:id="rId24">
        <w:r w:rsidRPr="00564501">
          <w:rPr>
            <w:rStyle w:val="Hyperlink"/>
            <w:rFonts w:ascii="Calibri" w:hAnsi="Calibri" w:cs="Calibri"/>
          </w:rPr>
          <w:t>18/05</w:t>
        </w:r>
      </w:hyperlink>
      <w:r w:rsidRPr="00564501">
        <w:rPr>
          <w:rStyle w:val="Hyperlink"/>
          <w:rFonts w:ascii="Calibri" w:hAnsi="Calibri" w:cs="Calibri"/>
        </w:rPr>
        <w:t xml:space="preserve"> </w:t>
      </w:r>
      <w:r w:rsidRPr="00564501">
        <w:rPr>
          <w:rFonts w:ascii="Calibri" w:hAnsi="Calibri" w:cs="Calibri"/>
        </w:rPr>
        <w:t>limit of 3,260 t during 2018-2022, they have been above levels required to recover the stock to BMSY, as indicated by the most recent assessment based projections.</w:t>
      </w:r>
    </w:p>
    <w:p w14:paraId="284B7825" w14:textId="77777777" w:rsidR="00DF26BC" w:rsidRPr="00564501" w:rsidRDefault="00DF26BC" w:rsidP="00C63C9B">
      <w:pPr>
        <w:numPr>
          <w:ilvl w:val="0"/>
          <w:numId w:val="28"/>
        </w:numPr>
        <w:spacing w:before="120" w:after="240" w:line="259" w:lineRule="auto"/>
        <w:ind w:left="900"/>
        <w:jc w:val="both"/>
        <w:rPr>
          <w:rFonts w:ascii="Calibri" w:hAnsi="Calibri" w:cs="Calibri"/>
        </w:rPr>
      </w:pPr>
      <w:r w:rsidRPr="00564501">
        <w:rPr>
          <w:rFonts w:ascii="Calibri" w:hAnsi="Calibri" w:cs="Calibri"/>
        </w:rPr>
        <w:t xml:space="preserve">The SC </w:t>
      </w:r>
      <w:r w:rsidRPr="00564501">
        <w:rPr>
          <w:rFonts w:ascii="Calibri" w:hAnsi="Calibri" w:cs="Calibri"/>
          <w:b/>
        </w:rPr>
        <w:t>RECALLED</w:t>
      </w:r>
      <w:r w:rsidRPr="00564501">
        <w:rPr>
          <w:rFonts w:ascii="Calibri" w:hAnsi="Calibri" w:cs="Calibri"/>
        </w:rPr>
        <w:t xml:space="preserve"> that the Resolution </w:t>
      </w:r>
      <w:hyperlink r:id="rId25">
        <w:r w:rsidRPr="00564501">
          <w:rPr>
            <w:rStyle w:val="Hyperlink"/>
            <w:rFonts w:ascii="Calibri" w:hAnsi="Calibri" w:cs="Calibri"/>
          </w:rPr>
          <w:t>18/05</w:t>
        </w:r>
      </w:hyperlink>
      <w:r w:rsidRPr="00564501">
        <w:rPr>
          <w:rStyle w:val="Hyperlink"/>
          <w:rFonts w:ascii="Calibri" w:hAnsi="Calibri" w:cs="Calibri"/>
        </w:rPr>
        <w:t xml:space="preserve"> </w:t>
      </w:r>
      <w:r w:rsidRPr="00564501">
        <w:rPr>
          <w:rFonts w:ascii="Calibri" w:hAnsi="Calibri" w:cs="Calibri"/>
        </w:rPr>
        <w:t>catch limits were based on previous stock assessments and emphasised the need for their revision and update in light of the most recent data and stock status information.</w:t>
      </w:r>
    </w:p>
    <w:p w14:paraId="52625DA6" w14:textId="04E810DA" w:rsidR="00FF716C" w:rsidRPr="008E6005" w:rsidRDefault="00DF26BC" w:rsidP="00C63C9B">
      <w:pPr>
        <w:numPr>
          <w:ilvl w:val="0"/>
          <w:numId w:val="28"/>
        </w:numPr>
        <w:spacing w:before="120" w:after="240" w:line="259" w:lineRule="auto"/>
        <w:ind w:left="900"/>
        <w:jc w:val="both"/>
        <w:rPr>
          <w:rFonts w:ascii="Calibri" w:hAnsi="Calibri" w:cs="Calibri"/>
        </w:rPr>
      </w:pPr>
      <w:r w:rsidRPr="00564501">
        <w:rPr>
          <w:rFonts w:ascii="Calibri" w:hAnsi="Calibri" w:cs="Calibri"/>
        </w:rPr>
        <w:t xml:space="preserve">The SC </w:t>
      </w:r>
      <w:r w:rsidRPr="00564501">
        <w:rPr>
          <w:rFonts w:ascii="Calibri" w:hAnsi="Calibri" w:cs="Calibri"/>
          <w:b/>
        </w:rPr>
        <w:t>RECOMMENDED</w:t>
      </w:r>
      <w:r w:rsidRPr="00564501">
        <w:rPr>
          <w:rFonts w:ascii="Calibri" w:hAnsi="Calibri" w:cs="Calibri"/>
        </w:rPr>
        <w:t xml:space="preserve"> that the Commission reassess the effectiveness of the current measures within this resolution and to revise Resolution 18/05 to update the catch limits based on the latest stock assessments and projections for the billfish species.</w:t>
      </w:r>
    </w:p>
    <w:p w14:paraId="74D2C215" w14:textId="77777777" w:rsidR="008E6005" w:rsidRPr="003226AF" w:rsidRDefault="008E6005" w:rsidP="008E6005">
      <w:pPr>
        <w:spacing w:before="120" w:after="240" w:line="259" w:lineRule="auto"/>
        <w:ind w:left="900"/>
        <w:jc w:val="both"/>
        <w:rPr>
          <w:rFonts w:ascii="Calibri" w:hAnsi="Calibri" w:cs="Calibri"/>
          <w:lang w:val="en-US"/>
        </w:rPr>
      </w:pPr>
    </w:p>
    <w:p w14:paraId="30F6E15F" w14:textId="169CF85D" w:rsidR="00536ADB" w:rsidRPr="005F689A" w:rsidRDefault="00536ADB" w:rsidP="00A21899">
      <w:pPr>
        <w:pStyle w:val="IOTCsubheading2"/>
        <w:spacing w:before="240"/>
        <w:ind w:left="1134" w:hanging="708"/>
        <w:rPr>
          <w:rFonts w:ascii="Calibri" w:hAnsi="Calibri" w:cs="Calibri"/>
          <w:lang w:val="en-GB" w:eastAsia="en-US"/>
        </w:rPr>
      </w:pPr>
      <w:r w:rsidRPr="005F689A">
        <w:rPr>
          <w:rFonts w:ascii="Calibri" w:hAnsi="Calibri" w:cs="Calibri"/>
          <w:lang w:val="en-GB" w:eastAsia="en-US"/>
        </w:rPr>
        <w:t xml:space="preserve">Outcomes of the </w:t>
      </w:r>
      <w:r w:rsidR="007B0126" w:rsidRPr="005F689A">
        <w:rPr>
          <w:rFonts w:ascii="Calibri" w:hAnsi="Calibri" w:cs="Calibri"/>
          <w:lang w:val="en-GB" w:eastAsia="en-US"/>
        </w:rPr>
        <w:t>2</w:t>
      </w:r>
      <w:r w:rsidR="0020433D">
        <w:rPr>
          <w:rFonts w:ascii="Calibri" w:hAnsi="Calibri" w:cs="Calibri"/>
          <w:lang w:val="en-GB" w:eastAsia="en-US"/>
        </w:rPr>
        <w:t>9</w:t>
      </w:r>
      <w:r w:rsidR="00214854" w:rsidRPr="00214854">
        <w:rPr>
          <w:rFonts w:ascii="Calibri" w:hAnsi="Calibri" w:cs="Calibri"/>
          <w:vertAlign w:val="superscript"/>
          <w:lang w:val="en-GB" w:eastAsia="en-US"/>
        </w:rPr>
        <w:t>th</w:t>
      </w:r>
      <w:r w:rsidR="00214854">
        <w:rPr>
          <w:rFonts w:ascii="Calibri" w:hAnsi="Calibri" w:cs="Calibri"/>
          <w:lang w:val="en-GB" w:eastAsia="en-US"/>
        </w:rPr>
        <w:t xml:space="preserve"> </w:t>
      </w:r>
      <w:r w:rsidR="00505436" w:rsidRPr="005F689A">
        <w:rPr>
          <w:rFonts w:ascii="Calibri" w:hAnsi="Calibri" w:cs="Calibri"/>
          <w:lang w:val="en-GB" w:eastAsia="en-US"/>
        </w:rPr>
        <w:t>Session of the Commission</w:t>
      </w:r>
    </w:p>
    <w:p w14:paraId="4DB5A426" w14:textId="46FE7B58" w:rsidR="003E5C27" w:rsidRPr="005F689A" w:rsidRDefault="005F8211" w:rsidP="00702147">
      <w:pPr>
        <w:pStyle w:val="IOTCReportNormalNumbered"/>
        <w:ind w:left="567" w:right="206" w:hanging="540"/>
        <w:jc w:val="left"/>
        <w:rPr>
          <w:rFonts w:ascii="Calibri" w:hAnsi="Calibri" w:cs="Calibri"/>
        </w:rPr>
      </w:pPr>
      <w:r w:rsidRPr="1EA925F2">
        <w:rPr>
          <w:rFonts w:ascii="Calibri" w:hAnsi="Calibri" w:cs="Calibri"/>
        </w:rPr>
        <w:t xml:space="preserve">The WPB </w:t>
      </w:r>
      <w:r w:rsidRPr="1EA925F2">
        <w:rPr>
          <w:rFonts w:ascii="Calibri" w:hAnsi="Calibri" w:cs="Calibri"/>
          <w:b/>
          <w:bCs/>
        </w:rPr>
        <w:t>NOTED</w:t>
      </w:r>
      <w:r w:rsidR="6E8B51BC" w:rsidRPr="1EA925F2">
        <w:rPr>
          <w:rFonts w:ascii="Calibri" w:hAnsi="Calibri" w:cs="Calibri"/>
        </w:rPr>
        <w:t xml:space="preserve"> </w:t>
      </w:r>
      <w:r w:rsidRPr="1EA925F2">
        <w:rPr>
          <w:rFonts w:ascii="Calibri" w:hAnsi="Calibri" w:cs="Calibri"/>
        </w:rPr>
        <w:t xml:space="preserve">paper </w:t>
      </w:r>
      <w:hyperlink r:id="rId26" w:history="1">
        <w:r w:rsidRPr="007911EC">
          <w:rPr>
            <w:rStyle w:val="Hyperlink"/>
            <w:rFonts w:ascii="Calibri" w:hAnsi="Calibri" w:cs="Calibri"/>
          </w:rPr>
          <w:t>IOTC–20</w:t>
        </w:r>
        <w:r w:rsidR="55E9B522" w:rsidRPr="007911EC">
          <w:rPr>
            <w:rStyle w:val="Hyperlink"/>
            <w:rFonts w:ascii="Calibri" w:hAnsi="Calibri" w:cs="Calibri"/>
          </w:rPr>
          <w:t>2</w:t>
        </w:r>
        <w:r w:rsidR="0008070A" w:rsidRPr="007911EC">
          <w:rPr>
            <w:rStyle w:val="Hyperlink"/>
            <w:rFonts w:ascii="Calibri" w:hAnsi="Calibri" w:cs="Calibri"/>
          </w:rPr>
          <w:t>5</w:t>
        </w:r>
        <w:r w:rsidRPr="007911EC">
          <w:rPr>
            <w:rStyle w:val="Hyperlink"/>
            <w:rFonts w:ascii="Calibri" w:hAnsi="Calibri" w:cs="Calibri"/>
          </w:rPr>
          <w:t>–WPB</w:t>
        </w:r>
        <w:r w:rsidR="3192D824" w:rsidRPr="007911EC">
          <w:rPr>
            <w:rStyle w:val="Hyperlink"/>
            <w:rFonts w:ascii="Calibri" w:hAnsi="Calibri" w:cs="Calibri"/>
          </w:rPr>
          <w:t>2</w:t>
        </w:r>
        <w:r w:rsidR="00CD7DE3" w:rsidRPr="007911EC">
          <w:rPr>
            <w:rStyle w:val="Hyperlink"/>
            <w:rFonts w:ascii="Calibri" w:hAnsi="Calibri" w:cs="Calibri"/>
          </w:rPr>
          <w:t>3</w:t>
        </w:r>
        <w:r w:rsidRPr="007911EC">
          <w:rPr>
            <w:rStyle w:val="Hyperlink"/>
            <w:rFonts w:ascii="Calibri" w:hAnsi="Calibri" w:cs="Calibri"/>
          </w:rPr>
          <w:t>–04</w:t>
        </w:r>
      </w:hyperlink>
      <w:r w:rsidRPr="1EA925F2">
        <w:rPr>
          <w:rFonts w:ascii="Calibri" w:hAnsi="Calibri" w:cs="Calibri"/>
        </w:rPr>
        <w:t xml:space="preserve"> which </w:t>
      </w:r>
      <w:r w:rsidR="603179E1" w:rsidRPr="1EA925F2">
        <w:rPr>
          <w:rFonts w:ascii="Calibri" w:hAnsi="Calibri" w:cs="Calibri"/>
        </w:rPr>
        <w:t>provided</w:t>
      </w:r>
      <w:r w:rsidRPr="1EA925F2">
        <w:rPr>
          <w:rFonts w:ascii="Calibri" w:hAnsi="Calibri" w:cs="Calibri"/>
        </w:rPr>
        <w:t xml:space="preserve"> the main outcomes of the </w:t>
      </w:r>
      <w:r w:rsidR="50A8FCC4" w:rsidRPr="1EA925F2">
        <w:rPr>
          <w:rFonts w:ascii="Calibri" w:hAnsi="Calibri" w:cs="Calibri"/>
        </w:rPr>
        <w:t>2</w:t>
      </w:r>
      <w:r w:rsidR="00CD7DE3">
        <w:rPr>
          <w:rFonts w:ascii="Calibri" w:hAnsi="Calibri" w:cs="Calibri"/>
        </w:rPr>
        <w:t>9</w:t>
      </w:r>
      <w:r w:rsidR="7C4E7AE6" w:rsidRPr="1EA925F2">
        <w:rPr>
          <w:rFonts w:ascii="Calibri" w:hAnsi="Calibri" w:cs="Calibri"/>
          <w:vertAlign w:val="superscript"/>
        </w:rPr>
        <w:t>th</w:t>
      </w:r>
      <w:r w:rsidR="7C4E7AE6" w:rsidRPr="1EA925F2">
        <w:rPr>
          <w:rFonts w:ascii="Calibri" w:hAnsi="Calibri" w:cs="Calibri"/>
        </w:rPr>
        <w:t xml:space="preserve"> </w:t>
      </w:r>
      <w:r w:rsidR="603179E1" w:rsidRPr="1EA925F2">
        <w:rPr>
          <w:rFonts w:ascii="Calibri" w:hAnsi="Calibri" w:cs="Calibri"/>
        </w:rPr>
        <w:t>Session of the Commission</w:t>
      </w:r>
      <w:r w:rsidRPr="1EA925F2">
        <w:rPr>
          <w:rFonts w:ascii="Calibri" w:hAnsi="Calibri" w:cs="Calibri"/>
        </w:rPr>
        <w:t xml:space="preserve"> specifically related to the work of the WPB</w:t>
      </w:r>
      <w:r w:rsidR="55E9B522" w:rsidRPr="1EA925F2">
        <w:rPr>
          <w:rFonts w:ascii="Calibri" w:hAnsi="Calibri" w:cs="Calibri"/>
        </w:rPr>
        <w:t>.</w:t>
      </w:r>
    </w:p>
    <w:p w14:paraId="0A30CABD" w14:textId="3C42F45C" w:rsidR="00505436" w:rsidRPr="00D46435" w:rsidRDefault="55E9B522" w:rsidP="003E5C27">
      <w:pPr>
        <w:pStyle w:val="IOTCReportNormalNumbered"/>
        <w:ind w:left="567" w:right="206" w:hanging="540"/>
        <w:rPr>
          <w:rFonts w:ascii="Calibri" w:hAnsi="Calibri" w:cs="Calibri"/>
        </w:rPr>
      </w:pPr>
      <w:r w:rsidRPr="00D46435">
        <w:rPr>
          <w:rFonts w:ascii="Calibri" w:hAnsi="Calibri" w:cs="Calibri"/>
        </w:rPr>
        <w:t>Participants to WPB</w:t>
      </w:r>
      <w:r w:rsidR="3192D824" w:rsidRPr="00D46435">
        <w:rPr>
          <w:rFonts w:ascii="Calibri" w:hAnsi="Calibri" w:cs="Calibri"/>
        </w:rPr>
        <w:t>2</w:t>
      </w:r>
      <w:r w:rsidR="0008070A">
        <w:rPr>
          <w:rFonts w:ascii="Calibri" w:hAnsi="Calibri" w:cs="Calibri"/>
        </w:rPr>
        <w:t>3</w:t>
      </w:r>
      <w:r w:rsidRPr="00D46435">
        <w:rPr>
          <w:rFonts w:ascii="Calibri" w:hAnsi="Calibri" w:cs="Calibri"/>
        </w:rPr>
        <w:t xml:space="preserve"> were </w:t>
      </w:r>
      <w:r w:rsidRPr="00D46435">
        <w:rPr>
          <w:rFonts w:ascii="Calibri" w:hAnsi="Calibri" w:cs="Calibri"/>
          <w:b/>
          <w:bCs/>
        </w:rPr>
        <w:t>ENCOURAGED</w:t>
      </w:r>
      <w:r w:rsidRPr="00D46435">
        <w:rPr>
          <w:rFonts w:ascii="Calibri" w:hAnsi="Calibri" w:cs="Calibri"/>
        </w:rPr>
        <w:t xml:space="preserve"> to familiarise themselves with the previously adopted Resolutions, especially those most relevant to the WPB</w:t>
      </w:r>
      <w:r w:rsidR="005F8211" w:rsidRPr="00D46435">
        <w:rPr>
          <w:rFonts w:ascii="Calibri" w:hAnsi="Calibri" w:cs="Calibri"/>
        </w:rPr>
        <w:t xml:space="preserve"> and </w:t>
      </w:r>
      <w:r w:rsidR="005F8211" w:rsidRPr="00D46435">
        <w:rPr>
          <w:rFonts w:ascii="Calibri" w:hAnsi="Calibri" w:cs="Calibri"/>
          <w:b/>
          <w:bCs/>
        </w:rPr>
        <w:t>AGREED</w:t>
      </w:r>
      <w:r w:rsidR="005F8211" w:rsidRPr="00D46435">
        <w:rPr>
          <w:rFonts w:ascii="Calibri" w:hAnsi="Calibri" w:cs="Calibri"/>
        </w:rPr>
        <w:t xml:space="preserve"> to consider how best to provide the Scientific Committee with the information it needs, in order to satisfy the Commission’s requests, throughout the course of the current WPB meeting.</w:t>
      </w:r>
    </w:p>
    <w:p w14:paraId="61F1B40B" w14:textId="55C7DEFC" w:rsidR="0067594B" w:rsidRPr="00D46435" w:rsidRDefault="42AB6FEA" w:rsidP="003E5C27">
      <w:pPr>
        <w:pStyle w:val="IOTCReportNormalNumbered"/>
        <w:ind w:left="567" w:right="206" w:hanging="540"/>
        <w:rPr>
          <w:rFonts w:ascii="Calibri" w:hAnsi="Calibri" w:cs="Calibri"/>
        </w:rPr>
      </w:pPr>
      <w:r w:rsidRPr="3F1DEBE1">
        <w:rPr>
          <w:rFonts w:ascii="Calibri" w:hAnsi="Calibri" w:cs="Calibri"/>
        </w:rPr>
        <w:t xml:space="preserve">The WPB </w:t>
      </w:r>
      <w:r w:rsidRPr="3F1DEBE1">
        <w:rPr>
          <w:rFonts w:ascii="Calibri" w:hAnsi="Calibri" w:cs="Calibri"/>
          <w:b/>
          <w:bCs/>
        </w:rPr>
        <w:t>NOTED</w:t>
      </w:r>
      <w:r w:rsidRPr="3F1DEBE1">
        <w:rPr>
          <w:rFonts w:ascii="Calibri" w:hAnsi="Calibri" w:cs="Calibri"/>
        </w:rPr>
        <w:t xml:space="preserve"> that there was very little discussion related to the WPB</w:t>
      </w:r>
      <w:r w:rsidR="7565EF51" w:rsidRPr="3F1DEBE1">
        <w:rPr>
          <w:rFonts w:ascii="Calibri" w:hAnsi="Calibri" w:cs="Calibri"/>
        </w:rPr>
        <w:t xml:space="preserve"> </w:t>
      </w:r>
      <w:r w:rsidRPr="3F1DEBE1">
        <w:rPr>
          <w:rFonts w:ascii="Calibri" w:hAnsi="Calibri" w:cs="Calibri"/>
        </w:rPr>
        <w:t>and that the main items were the endorsement by the Commission of the SC information on stock status and Work Plan.</w:t>
      </w:r>
    </w:p>
    <w:p w14:paraId="21F73FFA" w14:textId="7449B6EB" w:rsidR="008D1802" w:rsidRPr="00D46435" w:rsidRDefault="0F438B4D" w:rsidP="009C7CC8">
      <w:pPr>
        <w:pStyle w:val="IOTCReportNormalNumbered"/>
        <w:ind w:left="567" w:right="206" w:hanging="540"/>
        <w:rPr>
          <w:rFonts w:ascii="Calibri" w:hAnsi="Calibri" w:cs="Calibri"/>
        </w:rPr>
      </w:pPr>
      <w:r w:rsidRPr="00D46435">
        <w:rPr>
          <w:rFonts w:ascii="Calibri" w:hAnsi="Calibri" w:cs="Calibri"/>
        </w:rPr>
        <w:t xml:space="preserve">The WPB </w:t>
      </w:r>
      <w:r w:rsidRPr="00D46435">
        <w:rPr>
          <w:rFonts w:ascii="Calibri" w:hAnsi="Calibri" w:cs="Calibri"/>
          <w:b/>
          <w:bCs/>
        </w:rPr>
        <w:t>AGREED</w:t>
      </w:r>
      <w:r w:rsidRPr="00D46435">
        <w:rPr>
          <w:rFonts w:ascii="Calibri" w:hAnsi="Calibri" w:cs="Calibri"/>
        </w:rPr>
        <w:t xml:space="preserve"> that any advice to the Commission would be provided in the Management Advice section of each stock status summary.</w:t>
      </w:r>
    </w:p>
    <w:p w14:paraId="255E183D" w14:textId="77777777" w:rsidR="00536ADB" w:rsidRPr="005F689A" w:rsidRDefault="00536ADB" w:rsidP="00A21899">
      <w:pPr>
        <w:pStyle w:val="IOTCsubheading2"/>
        <w:spacing w:before="240"/>
        <w:ind w:left="1134" w:hanging="708"/>
        <w:rPr>
          <w:rFonts w:ascii="Calibri" w:hAnsi="Calibri" w:cs="Calibri"/>
          <w:lang w:val="en-GB" w:eastAsia="en-US"/>
        </w:rPr>
      </w:pPr>
      <w:r w:rsidRPr="005F689A">
        <w:rPr>
          <w:rFonts w:ascii="Calibri" w:hAnsi="Calibri" w:cs="Calibri"/>
          <w:lang w:val="en-GB" w:eastAsia="en-US"/>
        </w:rPr>
        <w:t>Review of Conservation and Managemen</w:t>
      </w:r>
      <w:r w:rsidR="00FD006E" w:rsidRPr="005F689A">
        <w:rPr>
          <w:rFonts w:ascii="Calibri" w:hAnsi="Calibri" w:cs="Calibri"/>
          <w:lang w:val="en-GB" w:eastAsia="en-US"/>
        </w:rPr>
        <w:t>t Measures relevant to billfish</w:t>
      </w:r>
    </w:p>
    <w:p w14:paraId="25D49B67" w14:textId="13AC21EB" w:rsidR="00FD006E" w:rsidRDefault="38474109" w:rsidP="009C7CC8">
      <w:pPr>
        <w:pStyle w:val="IOTCReportNormalNumbered"/>
        <w:ind w:left="567" w:right="206" w:hanging="540"/>
        <w:rPr>
          <w:rFonts w:ascii="Calibri" w:hAnsi="Calibri" w:cs="Calibri"/>
        </w:rPr>
      </w:pPr>
      <w:r w:rsidRPr="3F1DEBE1">
        <w:rPr>
          <w:rFonts w:ascii="Calibri" w:hAnsi="Calibri" w:cs="Calibri"/>
        </w:rPr>
        <w:t xml:space="preserve">The WPB </w:t>
      </w:r>
      <w:r w:rsidRPr="3F1DEBE1">
        <w:rPr>
          <w:rFonts w:ascii="Calibri" w:hAnsi="Calibri" w:cs="Calibri"/>
          <w:b/>
          <w:bCs/>
        </w:rPr>
        <w:t>NOTED</w:t>
      </w:r>
      <w:r w:rsidRPr="3F1DEBE1">
        <w:rPr>
          <w:rFonts w:ascii="Calibri" w:hAnsi="Calibri" w:cs="Calibri"/>
        </w:rPr>
        <w:t xml:space="preserve"> paper </w:t>
      </w:r>
      <w:hyperlink r:id="rId27" w:history="1">
        <w:r w:rsidRPr="003D0C87">
          <w:rPr>
            <w:rStyle w:val="Hyperlink"/>
            <w:rFonts w:ascii="Calibri" w:hAnsi="Calibri" w:cs="Calibri"/>
          </w:rPr>
          <w:t>IOTC–</w:t>
        </w:r>
        <w:r w:rsidR="20C99D87" w:rsidRPr="003D0C87">
          <w:rPr>
            <w:rStyle w:val="Hyperlink"/>
            <w:rFonts w:ascii="Calibri" w:hAnsi="Calibri" w:cs="Calibri"/>
          </w:rPr>
          <w:t>20</w:t>
        </w:r>
        <w:r w:rsidR="7C4E7AE6" w:rsidRPr="003D0C87">
          <w:rPr>
            <w:rStyle w:val="Hyperlink"/>
            <w:rFonts w:ascii="Calibri" w:hAnsi="Calibri" w:cs="Calibri"/>
          </w:rPr>
          <w:t>2</w:t>
        </w:r>
        <w:r w:rsidR="004C54D7" w:rsidRPr="003D0C87">
          <w:rPr>
            <w:rStyle w:val="Hyperlink"/>
            <w:rFonts w:ascii="Calibri" w:hAnsi="Calibri" w:cs="Calibri"/>
          </w:rPr>
          <w:t>5</w:t>
        </w:r>
        <w:r w:rsidRPr="003D0C87">
          <w:rPr>
            <w:rStyle w:val="Hyperlink"/>
            <w:rFonts w:ascii="Calibri" w:hAnsi="Calibri" w:cs="Calibri"/>
          </w:rPr>
          <w:t>–</w:t>
        </w:r>
        <w:r w:rsidR="20C99D87" w:rsidRPr="003D0C87">
          <w:rPr>
            <w:rStyle w:val="Hyperlink"/>
            <w:rFonts w:ascii="Calibri" w:hAnsi="Calibri" w:cs="Calibri"/>
          </w:rPr>
          <w:t>WPB</w:t>
        </w:r>
        <w:r w:rsidR="3192D824" w:rsidRPr="003D0C87">
          <w:rPr>
            <w:rStyle w:val="Hyperlink"/>
            <w:rFonts w:ascii="Calibri" w:hAnsi="Calibri" w:cs="Calibri"/>
          </w:rPr>
          <w:t>2</w:t>
        </w:r>
        <w:r w:rsidR="004C54D7" w:rsidRPr="003D0C87">
          <w:rPr>
            <w:rStyle w:val="Hyperlink"/>
            <w:rFonts w:ascii="Calibri" w:hAnsi="Calibri" w:cs="Calibri"/>
          </w:rPr>
          <w:t>3</w:t>
        </w:r>
        <w:r w:rsidRPr="003D0C87">
          <w:rPr>
            <w:rStyle w:val="Hyperlink"/>
            <w:rFonts w:ascii="Calibri" w:hAnsi="Calibri" w:cs="Calibri"/>
          </w:rPr>
          <w:t>–05</w:t>
        </w:r>
      </w:hyperlink>
      <w:r w:rsidRPr="3F1DEBE1">
        <w:rPr>
          <w:rFonts w:ascii="Calibri" w:hAnsi="Calibri" w:cs="Calibri"/>
        </w:rPr>
        <w:t xml:space="preserve"> which aimed to encourage participants at the </w:t>
      </w:r>
      <w:r w:rsidR="20C99D87" w:rsidRPr="3F1DEBE1">
        <w:rPr>
          <w:rFonts w:ascii="Calibri" w:hAnsi="Calibri" w:cs="Calibri"/>
        </w:rPr>
        <w:t>WPB</w:t>
      </w:r>
      <w:r w:rsidR="3192D824" w:rsidRPr="3F1DEBE1">
        <w:rPr>
          <w:rFonts w:ascii="Calibri" w:hAnsi="Calibri" w:cs="Calibri"/>
        </w:rPr>
        <w:t>2</w:t>
      </w:r>
      <w:r w:rsidR="004C54D7">
        <w:rPr>
          <w:rFonts w:ascii="Calibri" w:hAnsi="Calibri" w:cs="Calibri"/>
        </w:rPr>
        <w:t>3</w:t>
      </w:r>
      <w:r w:rsidR="1E0D7A98" w:rsidRPr="3F1DEBE1">
        <w:rPr>
          <w:rFonts w:ascii="Calibri" w:hAnsi="Calibri" w:cs="Calibri"/>
        </w:rPr>
        <w:t xml:space="preserve"> </w:t>
      </w:r>
      <w:r w:rsidRPr="3F1DEBE1">
        <w:rPr>
          <w:rFonts w:ascii="Calibri" w:hAnsi="Calibri" w:cs="Calibri"/>
        </w:rPr>
        <w:t xml:space="preserve">to review some of the existing </w:t>
      </w:r>
      <w:r w:rsidR="78A3530B" w:rsidRPr="3F1DEBE1">
        <w:rPr>
          <w:rFonts w:ascii="Calibri" w:hAnsi="Calibri" w:cs="Calibri"/>
        </w:rPr>
        <w:t>CMM</w:t>
      </w:r>
      <w:r w:rsidR="00681C6C" w:rsidRPr="3F1DEBE1">
        <w:rPr>
          <w:rFonts w:ascii="Calibri" w:hAnsi="Calibri" w:cs="Calibri"/>
        </w:rPr>
        <w:t>s</w:t>
      </w:r>
      <w:r w:rsidR="78A3530B" w:rsidRPr="3F1DEBE1">
        <w:rPr>
          <w:rFonts w:ascii="Calibri" w:hAnsi="Calibri" w:cs="Calibri"/>
        </w:rPr>
        <w:t xml:space="preserve"> relevant to billfish</w:t>
      </w:r>
      <w:r w:rsidR="5D7780C9" w:rsidRPr="3F1DEBE1">
        <w:rPr>
          <w:rFonts w:ascii="Calibri" w:hAnsi="Calibri" w:cs="Calibri"/>
        </w:rPr>
        <w:t xml:space="preserve">, </w:t>
      </w:r>
      <w:r w:rsidRPr="3F1DEBE1">
        <w:rPr>
          <w:rFonts w:ascii="Calibri" w:hAnsi="Calibri" w:cs="Calibri"/>
        </w:rPr>
        <w:t>noting the CMMs referred to in document IOTC–</w:t>
      </w:r>
      <w:r w:rsidR="20C99D87" w:rsidRPr="3F1DEBE1">
        <w:rPr>
          <w:rFonts w:ascii="Calibri" w:hAnsi="Calibri" w:cs="Calibri"/>
        </w:rPr>
        <w:t>20</w:t>
      </w:r>
      <w:r w:rsidR="7C4E7AE6" w:rsidRPr="3F1DEBE1">
        <w:rPr>
          <w:rFonts w:ascii="Calibri" w:hAnsi="Calibri" w:cs="Calibri"/>
        </w:rPr>
        <w:t>2</w:t>
      </w:r>
      <w:r w:rsidR="004C54D7">
        <w:rPr>
          <w:rFonts w:ascii="Calibri" w:hAnsi="Calibri" w:cs="Calibri"/>
        </w:rPr>
        <w:t>5</w:t>
      </w:r>
      <w:r w:rsidRPr="3F1DEBE1">
        <w:rPr>
          <w:rFonts w:ascii="Calibri" w:hAnsi="Calibri" w:cs="Calibri"/>
        </w:rPr>
        <w:t>–</w:t>
      </w:r>
      <w:r w:rsidRPr="3F1DEBE1">
        <w:rPr>
          <w:rFonts w:ascii="Calibri" w:hAnsi="Calibri" w:cs="Calibri"/>
        </w:rPr>
        <w:lastRenderedPageBreak/>
        <w:t>WPB</w:t>
      </w:r>
      <w:r w:rsidR="3192D824" w:rsidRPr="3F1DEBE1">
        <w:rPr>
          <w:rFonts w:ascii="Calibri" w:hAnsi="Calibri" w:cs="Calibri"/>
        </w:rPr>
        <w:t>2</w:t>
      </w:r>
      <w:r w:rsidR="004C54D7">
        <w:rPr>
          <w:rFonts w:ascii="Calibri" w:hAnsi="Calibri" w:cs="Calibri"/>
        </w:rPr>
        <w:t>3</w:t>
      </w:r>
      <w:r w:rsidR="481F99A4" w:rsidRPr="3F1DEBE1">
        <w:rPr>
          <w:rFonts w:ascii="Calibri" w:hAnsi="Calibri" w:cs="Calibri"/>
        </w:rPr>
        <w:t>–05</w:t>
      </w:r>
      <w:r w:rsidR="5D7780C9" w:rsidRPr="3F1DEBE1">
        <w:rPr>
          <w:rFonts w:ascii="Calibri" w:hAnsi="Calibri" w:cs="Calibri"/>
        </w:rPr>
        <w:t>,</w:t>
      </w:r>
      <w:r w:rsidR="7248613F" w:rsidRPr="3F1DEBE1">
        <w:rPr>
          <w:rFonts w:ascii="Calibri" w:hAnsi="Calibri" w:cs="Calibri"/>
        </w:rPr>
        <w:t xml:space="preserve"> </w:t>
      </w:r>
      <w:r w:rsidR="5D7780C9" w:rsidRPr="3F1DEBE1">
        <w:rPr>
          <w:rFonts w:ascii="Calibri" w:hAnsi="Calibri" w:cs="Calibri"/>
        </w:rPr>
        <w:t xml:space="preserve">and - </w:t>
      </w:r>
      <w:r w:rsidRPr="3F1DEBE1">
        <w:rPr>
          <w:rFonts w:ascii="Calibri" w:hAnsi="Calibri" w:cs="Calibri"/>
        </w:rPr>
        <w:t>as necessary</w:t>
      </w:r>
      <w:r w:rsidR="5D7780C9" w:rsidRPr="3F1DEBE1">
        <w:rPr>
          <w:rFonts w:ascii="Calibri" w:hAnsi="Calibri" w:cs="Calibri"/>
        </w:rPr>
        <w:t xml:space="preserve"> -</w:t>
      </w:r>
      <w:r w:rsidRPr="3F1DEBE1">
        <w:rPr>
          <w:rFonts w:ascii="Calibri" w:hAnsi="Calibri" w:cs="Calibri"/>
        </w:rPr>
        <w:t xml:space="preserve"> to 1</w:t>
      </w:r>
      <w:r w:rsidR="5D7780C9" w:rsidRPr="3F1DEBE1">
        <w:rPr>
          <w:rFonts w:ascii="Calibri" w:hAnsi="Calibri" w:cs="Calibri"/>
        </w:rPr>
        <w:t xml:space="preserve">) </w:t>
      </w:r>
      <w:r w:rsidRPr="3F1DEBE1">
        <w:rPr>
          <w:rFonts w:ascii="Calibri" w:hAnsi="Calibri" w:cs="Calibri"/>
        </w:rPr>
        <w:t>provide recommendations to the SC on whethe</w:t>
      </w:r>
      <w:r w:rsidR="603179E1" w:rsidRPr="3F1DEBE1">
        <w:rPr>
          <w:rFonts w:ascii="Calibri" w:hAnsi="Calibri" w:cs="Calibri"/>
        </w:rPr>
        <w:t>r modifications may be required</w:t>
      </w:r>
      <w:r w:rsidRPr="3F1DEBE1">
        <w:rPr>
          <w:rFonts w:ascii="Calibri" w:hAnsi="Calibri" w:cs="Calibri"/>
        </w:rPr>
        <w:t xml:space="preserve"> and 2) recommend whether other CMMs may be required.</w:t>
      </w:r>
    </w:p>
    <w:p w14:paraId="4E31BB02" w14:textId="0FC76AD4" w:rsidR="00F026B6" w:rsidRDefault="00F026B6" w:rsidP="009C7CC8">
      <w:pPr>
        <w:pStyle w:val="IOTCReportNormalNumbered"/>
        <w:ind w:left="567" w:right="206" w:hanging="540"/>
        <w:rPr>
          <w:rFonts w:ascii="Calibri" w:hAnsi="Calibri" w:cs="Calibri"/>
        </w:rPr>
      </w:pPr>
      <w:r w:rsidRPr="00F026B6">
        <w:rPr>
          <w:rFonts w:ascii="Calibri" w:hAnsi="Calibri" w:cs="Calibri"/>
        </w:rPr>
        <w:t xml:space="preserve">The WPB </w:t>
      </w:r>
      <w:r w:rsidRPr="3F1DEBE1">
        <w:rPr>
          <w:rFonts w:ascii="Calibri" w:hAnsi="Calibri" w:cs="Calibri"/>
          <w:b/>
          <w:bCs/>
        </w:rPr>
        <w:t>NOTED</w:t>
      </w:r>
      <w:r w:rsidRPr="3F1DEBE1">
        <w:rPr>
          <w:rFonts w:ascii="Calibri" w:hAnsi="Calibri" w:cs="Calibri"/>
        </w:rPr>
        <w:t xml:space="preserve"> </w:t>
      </w:r>
      <w:r w:rsidRPr="00F026B6">
        <w:rPr>
          <w:rFonts w:ascii="Calibri" w:hAnsi="Calibri" w:cs="Calibri"/>
        </w:rPr>
        <w:t>that Resolution 2</w:t>
      </w:r>
      <w:r w:rsidR="00AC1CB3">
        <w:rPr>
          <w:rFonts w:ascii="Calibri" w:hAnsi="Calibri" w:cs="Calibri"/>
        </w:rPr>
        <w:t>5</w:t>
      </w:r>
      <w:r w:rsidRPr="00F026B6">
        <w:rPr>
          <w:rFonts w:ascii="Calibri" w:hAnsi="Calibri" w:cs="Calibri"/>
        </w:rPr>
        <w:t xml:space="preserve">/07 provides a revision to one of the parameters of the swordfish MP, due to an error identified in the MSE. The WPB further </w:t>
      </w:r>
      <w:r w:rsidR="00215307" w:rsidRPr="3F1DEBE1">
        <w:rPr>
          <w:rFonts w:ascii="Calibri" w:hAnsi="Calibri" w:cs="Calibri"/>
          <w:b/>
          <w:bCs/>
        </w:rPr>
        <w:t>NOTED</w:t>
      </w:r>
      <w:r w:rsidR="00215307" w:rsidRPr="3F1DEBE1">
        <w:rPr>
          <w:rFonts w:ascii="Calibri" w:hAnsi="Calibri" w:cs="Calibri"/>
        </w:rPr>
        <w:t xml:space="preserve"> </w:t>
      </w:r>
      <w:r w:rsidRPr="00F026B6">
        <w:rPr>
          <w:rFonts w:ascii="Calibri" w:hAnsi="Calibri" w:cs="Calibri"/>
        </w:rPr>
        <w:t xml:space="preserve">that this revision did not change the catch advice </w:t>
      </w:r>
      <w:r w:rsidR="00400C2A">
        <w:rPr>
          <w:rFonts w:ascii="Calibri" w:hAnsi="Calibri" w:cs="Calibri"/>
        </w:rPr>
        <w:t>from</w:t>
      </w:r>
      <w:r w:rsidRPr="00F026B6">
        <w:rPr>
          <w:rFonts w:ascii="Calibri" w:hAnsi="Calibri" w:cs="Calibri"/>
        </w:rPr>
        <w:t xml:space="preserve"> </w:t>
      </w:r>
      <w:r w:rsidR="005B51CF">
        <w:rPr>
          <w:rFonts w:ascii="Calibri" w:hAnsi="Calibri" w:cs="Calibri"/>
        </w:rPr>
        <w:t xml:space="preserve">running </w:t>
      </w:r>
      <w:r w:rsidRPr="00F026B6">
        <w:rPr>
          <w:rFonts w:ascii="Calibri" w:hAnsi="Calibri" w:cs="Calibri"/>
        </w:rPr>
        <w:t xml:space="preserve">the MP in 2024. It was also </w:t>
      </w:r>
      <w:r w:rsidR="00B66430" w:rsidRPr="3F1DEBE1">
        <w:rPr>
          <w:rFonts w:ascii="Calibri" w:hAnsi="Calibri" w:cs="Calibri"/>
          <w:b/>
          <w:bCs/>
        </w:rPr>
        <w:t>NOTED</w:t>
      </w:r>
      <w:r w:rsidR="00B66430" w:rsidRPr="3F1DEBE1">
        <w:rPr>
          <w:rFonts w:ascii="Calibri" w:hAnsi="Calibri" w:cs="Calibri"/>
        </w:rPr>
        <w:t xml:space="preserve"> </w:t>
      </w:r>
      <w:r w:rsidRPr="00F026B6">
        <w:rPr>
          <w:rFonts w:ascii="Calibri" w:hAnsi="Calibri" w:cs="Calibri"/>
        </w:rPr>
        <w:t>that the assessment and MP schedule are outlined in the resolution, and that following the adoption of the MP, the role of assessment will shift from providing catch advice to monitoring the status of the stock and supporting the examination of exceptional circumstances that may invalidate the conditions of the MP.</w:t>
      </w:r>
    </w:p>
    <w:p w14:paraId="72909BB0" w14:textId="21F178B2" w:rsidR="00536ADB" w:rsidRPr="005F689A" w:rsidRDefault="00536ADB" w:rsidP="00A21899">
      <w:pPr>
        <w:pStyle w:val="IOTCsubheading2"/>
        <w:spacing w:before="240"/>
        <w:ind w:left="1134" w:hanging="708"/>
        <w:rPr>
          <w:rFonts w:ascii="Calibri" w:hAnsi="Calibri" w:cs="Calibri"/>
        </w:rPr>
      </w:pPr>
      <w:r w:rsidRPr="005F689A">
        <w:rPr>
          <w:rFonts w:ascii="Calibri" w:hAnsi="Calibri" w:cs="Calibri"/>
        </w:rPr>
        <w:t xml:space="preserve">Progress </w:t>
      </w:r>
      <w:r w:rsidR="00FD006E" w:rsidRPr="005F689A">
        <w:rPr>
          <w:rFonts w:ascii="Calibri" w:hAnsi="Calibri" w:cs="Calibri"/>
        </w:rPr>
        <w:t>on the recommendations of WPB</w:t>
      </w:r>
      <w:r w:rsidR="00B67C17">
        <w:rPr>
          <w:rFonts w:ascii="Calibri" w:hAnsi="Calibri" w:cs="Calibri"/>
        </w:rPr>
        <w:t>2</w:t>
      </w:r>
      <w:r w:rsidR="000533F3">
        <w:rPr>
          <w:rFonts w:ascii="Calibri" w:hAnsi="Calibri" w:cs="Calibri"/>
        </w:rPr>
        <w:t>2</w:t>
      </w:r>
    </w:p>
    <w:bookmarkEnd w:id="30"/>
    <w:bookmarkEnd w:id="31"/>
    <w:bookmarkEnd w:id="32"/>
    <w:bookmarkEnd w:id="33"/>
    <w:bookmarkEnd w:id="34"/>
    <w:bookmarkEnd w:id="35"/>
    <w:bookmarkEnd w:id="36"/>
    <w:bookmarkEnd w:id="37"/>
    <w:bookmarkEnd w:id="38"/>
    <w:bookmarkEnd w:id="39"/>
    <w:bookmarkEnd w:id="40"/>
    <w:p w14:paraId="30B1919F" w14:textId="0302FC08" w:rsidR="0099128C" w:rsidRPr="00A84A7D" w:rsidRDefault="00AD5C5A" w:rsidP="3F1DEBE1">
      <w:pPr>
        <w:pStyle w:val="IOTCReportNormalNumbered"/>
        <w:ind w:left="540" w:hanging="540"/>
        <w:rPr>
          <w:rFonts w:ascii="Calibri" w:hAnsi="Calibri" w:cs="Calibri"/>
          <w:color w:val="000000" w:themeColor="text1"/>
        </w:rPr>
      </w:pPr>
      <w:r w:rsidRPr="3F1DEBE1">
        <w:rPr>
          <w:rFonts w:ascii="Calibri" w:hAnsi="Calibri" w:cs="Calibri"/>
          <w:color w:val="000000" w:themeColor="text1"/>
        </w:rPr>
        <w:t xml:space="preserve">The WPB </w:t>
      </w:r>
      <w:r w:rsidRPr="3F1DEBE1">
        <w:rPr>
          <w:rFonts w:ascii="Calibri" w:hAnsi="Calibri" w:cs="Calibri"/>
          <w:b/>
          <w:bCs/>
          <w:color w:val="000000" w:themeColor="text1"/>
        </w:rPr>
        <w:t xml:space="preserve">NOTED </w:t>
      </w:r>
      <w:r w:rsidRPr="3F1DEBE1">
        <w:rPr>
          <w:rFonts w:ascii="Calibri" w:hAnsi="Calibri" w:cs="Calibri"/>
          <w:color w:val="000000" w:themeColor="text1"/>
        </w:rPr>
        <w:t xml:space="preserve">paper </w:t>
      </w:r>
      <w:hyperlink r:id="rId28" w:history="1">
        <w:r w:rsidRPr="008671DD">
          <w:rPr>
            <w:rStyle w:val="Hyperlink"/>
            <w:rFonts w:ascii="Calibri" w:hAnsi="Calibri" w:cs="Calibri"/>
          </w:rPr>
          <w:t>IOTC–20</w:t>
        </w:r>
        <w:r w:rsidR="55E9B522" w:rsidRPr="008671DD">
          <w:rPr>
            <w:rStyle w:val="Hyperlink"/>
            <w:rFonts w:ascii="Calibri" w:hAnsi="Calibri" w:cs="Calibri"/>
          </w:rPr>
          <w:t>2</w:t>
        </w:r>
        <w:r w:rsidR="00D37BC7" w:rsidRPr="008671DD">
          <w:rPr>
            <w:rStyle w:val="Hyperlink"/>
            <w:rFonts w:ascii="Calibri" w:hAnsi="Calibri" w:cs="Calibri"/>
          </w:rPr>
          <w:t>5</w:t>
        </w:r>
        <w:r w:rsidRPr="008671DD">
          <w:rPr>
            <w:rStyle w:val="Hyperlink"/>
            <w:rFonts w:ascii="Calibri" w:hAnsi="Calibri" w:cs="Calibri"/>
          </w:rPr>
          <w:t>–WPB</w:t>
        </w:r>
        <w:r w:rsidR="3192D824" w:rsidRPr="008671DD">
          <w:rPr>
            <w:rStyle w:val="Hyperlink"/>
            <w:rFonts w:ascii="Calibri" w:hAnsi="Calibri" w:cs="Calibri"/>
          </w:rPr>
          <w:t>2</w:t>
        </w:r>
        <w:r w:rsidR="00D37BC7" w:rsidRPr="008671DD">
          <w:rPr>
            <w:rStyle w:val="Hyperlink"/>
            <w:rFonts w:ascii="Calibri" w:hAnsi="Calibri" w:cs="Calibri"/>
          </w:rPr>
          <w:t>3</w:t>
        </w:r>
        <w:r w:rsidRPr="008671DD">
          <w:rPr>
            <w:rStyle w:val="Hyperlink"/>
            <w:rFonts w:ascii="Calibri" w:hAnsi="Calibri" w:cs="Calibri"/>
          </w:rPr>
          <w:t>–06</w:t>
        </w:r>
      </w:hyperlink>
      <w:r w:rsidRPr="3F1DEBE1">
        <w:rPr>
          <w:rFonts w:ascii="Calibri" w:hAnsi="Calibri" w:cs="Calibri"/>
          <w:color w:val="000000" w:themeColor="text1"/>
        </w:rPr>
        <w:t xml:space="preserve"> which provided an update on the progress made in implementing the recommendations from the previous WPB meeting which were endorsed by the Scientific Committee and </w:t>
      </w:r>
      <w:r w:rsidRPr="3F1DEBE1">
        <w:rPr>
          <w:rFonts w:ascii="Calibri" w:hAnsi="Calibri" w:cs="Calibri"/>
          <w:b/>
          <w:bCs/>
          <w:color w:val="000000" w:themeColor="text1"/>
        </w:rPr>
        <w:t>AGREED</w:t>
      </w:r>
      <w:r w:rsidRPr="3F1DEBE1">
        <w:rPr>
          <w:rFonts w:ascii="Calibri" w:hAnsi="Calibri" w:cs="Calibri"/>
          <w:color w:val="000000" w:themeColor="text1"/>
        </w:rPr>
        <w:t xml:space="preserve"> to provide alternative recommendations for the consideration and potential endorsement by participants as appropriate given any progress.</w:t>
      </w:r>
    </w:p>
    <w:p w14:paraId="576D06A0" w14:textId="31653CA4" w:rsidR="003E5C27" w:rsidRPr="001368DB" w:rsidRDefault="55E9B522" w:rsidP="003E5C27">
      <w:pPr>
        <w:pStyle w:val="IOTCReportNormalNumbered"/>
        <w:ind w:left="567" w:hanging="567"/>
        <w:rPr>
          <w:rFonts w:ascii="Calibri" w:hAnsi="Calibri" w:cs="Calibri"/>
          <w:color w:val="000000" w:themeColor="text1"/>
          <w:szCs w:val="22"/>
        </w:rPr>
      </w:pPr>
      <w:r w:rsidRPr="00A84A7D">
        <w:rPr>
          <w:rFonts w:ascii="Calibri" w:hAnsi="Calibri" w:cs="Calibri"/>
          <w:color w:val="auto"/>
        </w:rPr>
        <w:t>The WP</w:t>
      </w:r>
      <w:r w:rsidR="529F9EF1" w:rsidRPr="00A84A7D">
        <w:rPr>
          <w:rFonts w:ascii="Calibri" w:hAnsi="Calibri" w:cs="Calibri"/>
          <w:color w:val="auto"/>
        </w:rPr>
        <w:t>B</w:t>
      </w:r>
      <w:r w:rsidRPr="00A84A7D">
        <w:rPr>
          <w:rFonts w:ascii="Calibri" w:hAnsi="Calibri" w:cs="Calibri"/>
          <w:color w:val="auto"/>
        </w:rPr>
        <w:t xml:space="preserve"> </w:t>
      </w:r>
      <w:r w:rsidRPr="00A84A7D">
        <w:rPr>
          <w:rFonts w:ascii="Calibri" w:hAnsi="Calibri" w:cs="Calibri"/>
          <w:b/>
          <w:bCs/>
          <w:color w:val="auto"/>
        </w:rPr>
        <w:t>NOTED</w:t>
      </w:r>
      <w:r w:rsidRPr="00A84A7D">
        <w:rPr>
          <w:rFonts w:ascii="Calibri" w:hAnsi="Calibri" w:cs="Calibri"/>
          <w:color w:val="auto"/>
        </w:rPr>
        <w:t xml:space="preserve"> that good progress had been made on these Recommendations, and that several of these, would be directly addressed by the scientists when presenting the results for 202</w:t>
      </w:r>
      <w:r w:rsidR="00AA4136">
        <w:rPr>
          <w:rFonts w:ascii="Calibri" w:hAnsi="Calibri" w:cs="Calibri"/>
          <w:color w:val="auto"/>
        </w:rPr>
        <w:t>5</w:t>
      </w:r>
      <w:r w:rsidRPr="00A84A7D">
        <w:rPr>
          <w:rFonts w:ascii="Calibri" w:hAnsi="Calibri" w:cs="Calibri"/>
          <w:color w:val="auto"/>
        </w:rPr>
        <w:t>.</w:t>
      </w:r>
    </w:p>
    <w:p w14:paraId="53B19A49" w14:textId="13C00F0F" w:rsidR="001368DB" w:rsidRPr="00A84A7D" w:rsidRDefault="001368DB" w:rsidP="003E5C27">
      <w:pPr>
        <w:pStyle w:val="IOTCReportNormalNumbered"/>
        <w:ind w:left="567" w:hanging="567"/>
        <w:rPr>
          <w:rFonts w:ascii="Calibri" w:hAnsi="Calibri" w:cs="Calibri"/>
          <w:color w:val="000000" w:themeColor="text1"/>
          <w:szCs w:val="22"/>
        </w:rPr>
      </w:pPr>
      <w:r w:rsidRPr="001368DB">
        <w:rPr>
          <w:rFonts w:ascii="Calibri" w:hAnsi="Calibri" w:cs="Calibri"/>
          <w:color w:val="000000" w:themeColor="text1"/>
          <w:szCs w:val="22"/>
        </w:rPr>
        <w:t xml:space="preserve">The WPB </w:t>
      </w:r>
      <w:r w:rsidRPr="00A84A7D">
        <w:rPr>
          <w:rFonts w:ascii="Calibri" w:hAnsi="Calibri" w:cs="Calibri"/>
          <w:b/>
          <w:bCs/>
          <w:color w:val="auto"/>
        </w:rPr>
        <w:t>NOTED</w:t>
      </w:r>
      <w:r w:rsidRPr="00A84A7D">
        <w:rPr>
          <w:rFonts w:ascii="Calibri" w:hAnsi="Calibri" w:cs="Calibri"/>
          <w:color w:val="auto"/>
        </w:rPr>
        <w:t xml:space="preserve"> </w:t>
      </w:r>
      <w:r w:rsidRPr="001368DB">
        <w:rPr>
          <w:rFonts w:ascii="Calibri" w:hAnsi="Calibri" w:cs="Calibri"/>
          <w:color w:val="000000" w:themeColor="text1"/>
          <w:szCs w:val="22"/>
        </w:rPr>
        <w:t xml:space="preserve">its recommendation to the SC in 2024 to dedicate efforts toward harmonizing standardized methods for different fleets and to develop a joint analysis that combines catch and effort data from key fleets for major billfish species. It was also </w:t>
      </w:r>
      <w:r w:rsidR="00F63614" w:rsidRPr="00A84A7D">
        <w:rPr>
          <w:rFonts w:ascii="Calibri" w:hAnsi="Calibri" w:cs="Calibri"/>
          <w:b/>
          <w:bCs/>
          <w:color w:val="auto"/>
        </w:rPr>
        <w:t>NOTED</w:t>
      </w:r>
      <w:r w:rsidR="00F63614" w:rsidRPr="00A84A7D">
        <w:rPr>
          <w:rFonts w:ascii="Calibri" w:hAnsi="Calibri" w:cs="Calibri"/>
          <w:color w:val="auto"/>
        </w:rPr>
        <w:t xml:space="preserve"> </w:t>
      </w:r>
      <w:r w:rsidRPr="001368DB">
        <w:rPr>
          <w:rFonts w:ascii="Calibri" w:hAnsi="Calibri" w:cs="Calibri"/>
          <w:color w:val="000000" w:themeColor="text1"/>
          <w:szCs w:val="22"/>
        </w:rPr>
        <w:t>that other working parties have made similar recommendations, as they are facing very similar issues. The WPB was informed that a joint tRFMO longline CPUE workshop is planned for 2026, focusing on standardization methods for longline data.</w:t>
      </w:r>
    </w:p>
    <w:p w14:paraId="0CA408F0" w14:textId="38B91F38" w:rsidR="003E5C27" w:rsidRPr="00A84A7D" w:rsidRDefault="55E9B522" w:rsidP="622C4CE3">
      <w:pPr>
        <w:pStyle w:val="IOTCReportNormalNumbered"/>
        <w:ind w:left="567" w:hanging="567"/>
        <w:rPr>
          <w:rFonts w:ascii="Calibri" w:hAnsi="Calibri" w:cs="Calibri"/>
          <w:color w:val="auto"/>
        </w:rPr>
      </w:pPr>
      <w:r w:rsidRPr="3F1DEBE1">
        <w:rPr>
          <w:rFonts w:ascii="Calibri" w:hAnsi="Calibri" w:cs="Calibri"/>
          <w:color w:val="auto"/>
        </w:rPr>
        <w:t>The WP</w:t>
      </w:r>
      <w:r w:rsidR="529F9EF1" w:rsidRPr="3F1DEBE1">
        <w:rPr>
          <w:rFonts w:ascii="Calibri" w:hAnsi="Calibri" w:cs="Calibri"/>
          <w:color w:val="auto"/>
        </w:rPr>
        <w:t>B</w:t>
      </w:r>
      <w:r w:rsidRPr="3F1DEBE1">
        <w:rPr>
          <w:rFonts w:ascii="Calibri" w:hAnsi="Calibri" w:cs="Calibri"/>
          <w:color w:val="auto"/>
        </w:rPr>
        <w:t xml:space="preserve"> participants were </w:t>
      </w:r>
      <w:r w:rsidRPr="3F1DEBE1">
        <w:rPr>
          <w:rFonts w:ascii="Calibri" w:hAnsi="Calibri" w:cs="Calibri"/>
          <w:b/>
          <w:bCs/>
          <w:color w:val="auto"/>
        </w:rPr>
        <w:t>ENCOURAGED</w:t>
      </w:r>
      <w:r w:rsidRPr="3F1DEBE1">
        <w:rPr>
          <w:rFonts w:ascii="Calibri" w:hAnsi="Calibri" w:cs="Calibri"/>
          <w:color w:val="auto"/>
        </w:rPr>
        <w:t xml:space="preserve"> to review IOTC-202</w:t>
      </w:r>
      <w:r w:rsidR="00AA4136">
        <w:rPr>
          <w:rFonts w:ascii="Calibri" w:hAnsi="Calibri" w:cs="Calibri"/>
          <w:color w:val="auto"/>
        </w:rPr>
        <w:t>5</w:t>
      </w:r>
      <w:r w:rsidRPr="3F1DEBE1">
        <w:rPr>
          <w:rFonts w:ascii="Calibri" w:hAnsi="Calibri" w:cs="Calibri"/>
          <w:color w:val="auto"/>
        </w:rPr>
        <w:t>-WPB</w:t>
      </w:r>
      <w:r w:rsidR="3192D824" w:rsidRPr="3F1DEBE1">
        <w:rPr>
          <w:rFonts w:ascii="Calibri" w:hAnsi="Calibri" w:cs="Calibri"/>
          <w:color w:val="auto"/>
        </w:rPr>
        <w:t>2</w:t>
      </w:r>
      <w:r w:rsidR="00AA4136">
        <w:rPr>
          <w:rFonts w:ascii="Calibri" w:hAnsi="Calibri" w:cs="Calibri"/>
          <w:color w:val="auto"/>
        </w:rPr>
        <w:t>3</w:t>
      </w:r>
      <w:r w:rsidRPr="3F1DEBE1">
        <w:rPr>
          <w:rFonts w:ascii="Calibri" w:hAnsi="Calibri" w:cs="Calibri"/>
          <w:color w:val="auto"/>
        </w:rPr>
        <w:t>-06 during the meeting and report back on any progress in relation to requests or actions by CPCs that have not been captured by the report, and to note any pending actions for attention before the next meeting (WPB</w:t>
      </w:r>
      <w:r w:rsidR="7C4E7AE6" w:rsidRPr="3F1DEBE1">
        <w:rPr>
          <w:rFonts w:ascii="Calibri" w:hAnsi="Calibri" w:cs="Calibri"/>
          <w:color w:val="auto"/>
        </w:rPr>
        <w:t>2</w:t>
      </w:r>
      <w:r w:rsidR="0041416F">
        <w:rPr>
          <w:rFonts w:ascii="Calibri" w:hAnsi="Calibri" w:cs="Calibri"/>
          <w:color w:val="auto"/>
        </w:rPr>
        <w:t>4</w:t>
      </w:r>
      <w:r w:rsidRPr="3F1DEBE1">
        <w:rPr>
          <w:rFonts w:ascii="Calibri" w:hAnsi="Calibri" w:cs="Calibri"/>
          <w:color w:val="auto"/>
        </w:rPr>
        <w:t>).</w:t>
      </w:r>
    </w:p>
    <w:p w14:paraId="0BF78661" w14:textId="7E7809C8" w:rsidR="003E5C27" w:rsidRPr="00A84A7D" w:rsidRDefault="55E9B522" w:rsidP="003E5C27">
      <w:pPr>
        <w:pStyle w:val="IOTCReportNormalNumbered"/>
        <w:ind w:left="567" w:hanging="567"/>
        <w:rPr>
          <w:rFonts w:ascii="Calibri" w:hAnsi="Calibri" w:cs="Calibri"/>
          <w:color w:val="auto"/>
          <w:szCs w:val="22"/>
        </w:rPr>
      </w:pPr>
      <w:bookmarkStart w:id="41" w:name="_Hlk12782322"/>
      <w:r w:rsidRPr="00A84A7D">
        <w:rPr>
          <w:rFonts w:ascii="Calibri" w:hAnsi="Calibri" w:cs="Calibri"/>
          <w:color w:val="auto"/>
        </w:rPr>
        <w:t>The WP</w:t>
      </w:r>
      <w:r w:rsidR="529F9EF1" w:rsidRPr="00A84A7D">
        <w:rPr>
          <w:rFonts w:ascii="Calibri" w:hAnsi="Calibri" w:cs="Calibri"/>
          <w:color w:val="auto"/>
        </w:rPr>
        <w:t>B</w:t>
      </w:r>
      <w:r w:rsidRPr="00A84A7D">
        <w:rPr>
          <w:rFonts w:ascii="Calibri" w:hAnsi="Calibri" w:cs="Calibri"/>
          <w:color w:val="auto"/>
        </w:rPr>
        <w:t xml:space="preserve"> </w:t>
      </w:r>
      <w:r w:rsidRPr="00A84A7D">
        <w:rPr>
          <w:rFonts w:ascii="Calibri" w:hAnsi="Calibri" w:cs="Calibri"/>
          <w:b/>
          <w:bCs/>
          <w:color w:val="auto"/>
        </w:rPr>
        <w:t>REQUESTED</w:t>
      </w:r>
      <w:r w:rsidRPr="00A84A7D">
        <w:rPr>
          <w:rFonts w:ascii="Calibri" w:hAnsi="Calibri" w:cs="Calibri"/>
          <w:color w:val="auto"/>
        </w:rPr>
        <w:t xml:space="preserve"> that the IOTC Secretariat continue to annually prepare a paper on the progress of the recommendations arising from the previous WPB, incorporating the final recommendations adopted by the Scientific Committee and endorsed by the Commission.</w:t>
      </w:r>
    </w:p>
    <w:p w14:paraId="33833782" w14:textId="77777777" w:rsidR="00E65DF0" w:rsidRPr="004E4345" w:rsidRDefault="00E65DF0" w:rsidP="00006C16">
      <w:pPr>
        <w:pStyle w:val="IOTCAgendaH1"/>
        <w:keepNext w:val="0"/>
        <w:rPr>
          <w:rFonts w:ascii="Calibri" w:hAnsi="Calibri" w:cs="Calibri"/>
        </w:rPr>
      </w:pPr>
      <w:bookmarkStart w:id="42" w:name="_Toc210218009"/>
      <w:bookmarkStart w:id="43" w:name="_Toc336947265"/>
      <w:bookmarkEnd w:id="41"/>
      <w:r w:rsidRPr="004E4345">
        <w:rPr>
          <w:rFonts w:ascii="Calibri" w:hAnsi="Calibri" w:cs="Calibri"/>
        </w:rPr>
        <w:t>New information on fisheries and associated environmental data for billfish</w:t>
      </w:r>
      <w:bookmarkEnd w:id="42"/>
    </w:p>
    <w:p w14:paraId="4BF544FA" w14:textId="481C2D9E" w:rsidR="00E65DF0" w:rsidRPr="004E4345" w:rsidRDefault="00E65DF0" w:rsidP="0099225C">
      <w:pPr>
        <w:numPr>
          <w:ilvl w:val="1"/>
          <w:numId w:val="17"/>
        </w:numPr>
        <w:spacing w:before="120"/>
        <w:ind w:left="1134" w:hanging="708"/>
        <w:contextualSpacing/>
        <w:jc w:val="both"/>
        <w:rPr>
          <w:rFonts w:ascii="Calibri" w:hAnsi="Calibri" w:cs="Calibri"/>
          <w:b/>
          <w:i/>
          <w:lang w:eastAsia="en-US"/>
        </w:rPr>
      </w:pPr>
      <w:r w:rsidRPr="004E4345">
        <w:rPr>
          <w:rFonts w:ascii="Calibri" w:hAnsi="Calibri" w:cs="Calibri"/>
          <w:b/>
          <w:i/>
          <w:lang w:eastAsia="en-US"/>
        </w:rPr>
        <w:t>Review of the statistical data available for billfish</w:t>
      </w:r>
      <w:r w:rsidR="00906464">
        <w:rPr>
          <w:rFonts w:ascii="Calibri" w:hAnsi="Calibri" w:cs="Calibri"/>
          <w:b/>
          <w:i/>
          <w:lang w:eastAsia="en-US"/>
        </w:rPr>
        <w:t xml:space="preserve"> at the Secretariat</w:t>
      </w:r>
    </w:p>
    <w:p w14:paraId="43050EE1" w14:textId="73C336B5" w:rsidR="008740B0" w:rsidRPr="00906464" w:rsidRDefault="5FC14F1B"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 xml:space="preserve">NOTED </w:t>
      </w:r>
      <w:r w:rsidRPr="0666C0EC">
        <w:rPr>
          <w:rFonts w:ascii="Calibri" w:eastAsia="Calibri" w:hAnsi="Calibri" w:cs="Calibri"/>
          <w:color w:val="auto"/>
          <w:lang w:eastAsia="en-GB"/>
        </w:rPr>
        <w:t xml:space="preserve">paper </w:t>
      </w:r>
      <w:hyperlink r:id="rId29">
        <w:r w:rsidRPr="0666C0EC">
          <w:rPr>
            <w:rStyle w:val="Hyperlink"/>
            <w:rFonts w:ascii="Calibri" w:eastAsia="Calibri" w:hAnsi="Calibri" w:cs="Calibri"/>
            <w:lang w:eastAsia="en-GB"/>
          </w:rPr>
          <w:t>IOTC–202</w:t>
        </w:r>
        <w:r w:rsidR="02755F03" w:rsidRPr="0666C0EC">
          <w:rPr>
            <w:rStyle w:val="Hyperlink"/>
            <w:rFonts w:ascii="Calibri" w:eastAsia="Calibri" w:hAnsi="Calibri" w:cs="Calibri"/>
            <w:lang w:eastAsia="en-GB"/>
          </w:rPr>
          <w:t>5</w:t>
        </w:r>
        <w:r w:rsidRPr="0666C0EC">
          <w:rPr>
            <w:rStyle w:val="Hyperlink"/>
            <w:rFonts w:ascii="Calibri" w:eastAsia="Calibri" w:hAnsi="Calibri" w:cs="Calibri"/>
            <w:lang w:eastAsia="en-GB"/>
          </w:rPr>
          <w:t>–WPB</w:t>
        </w:r>
        <w:r w:rsidR="4C5202FA" w:rsidRPr="0666C0EC">
          <w:rPr>
            <w:rStyle w:val="Hyperlink"/>
            <w:rFonts w:ascii="Calibri" w:eastAsia="Calibri" w:hAnsi="Calibri" w:cs="Calibri"/>
            <w:lang w:eastAsia="en-GB"/>
          </w:rPr>
          <w:t>2</w:t>
        </w:r>
        <w:r w:rsidR="02755F03" w:rsidRPr="0666C0EC">
          <w:rPr>
            <w:rStyle w:val="Hyperlink"/>
            <w:rFonts w:ascii="Calibri" w:eastAsia="Calibri" w:hAnsi="Calibri" w:cs="Calibri"/>
            <w:lang w:eastAsia="en-GB"/>
          </w:rPr>
          <w:t>3</w:t>
        </w:r>
        <w:r w:rsidRPr="0666C0EC">
          <w:rPr>
            <w:rStyle w:val="Hyperlink"/>
            <w:rFonts w:ascii="Calibri" w:eastAsia="Calibri" w:hAnsi="Calibri" w:cs="Calibri"/>
            <w:lang w:eastAsia="en-GB"/>
          </w:rPr>
          <w:t>–07</w:t>
        </w:r>
      </w:hyperlink>
      <w:r w:rsidRPr="0666C0EC">
        <w:rPr>
          <w:rFonts w:ascii="Calibri" w:eastAsia="Calibri" w:hAnsi="Calibri" w:cs="Calibri"/>
          <w:color w:val="auto"/>
          <w:lang w:eastAsia="en-GB"/>
        </w:rPr>
        <w:t xml:space="preserve"> </w:t>
      </w:r>
      <w:r w:rsidR="71216BF9" w:rsidRPr="0666C0EC">
        <w:rPr>
          <w:rFonts w:ascii="Calibri" w:eastAsia="Calibri" w:hAnsi="Calibri" w:cs="Calibri"/>
          <w:color w:val="auto"/>
          <w:lang w:eastAsia="en-GB"/>
        </w:rPr>
        <w:t xml:space="preserve">on </w:t>
      </w:r>
      <w:r w:rsidR="53D157DC" w:rsidRPr="0666C0EC">
        <w:rPr>
          <w:rFonts w:ascii="Calibri" w:eastAsia="Calibri" w:hAnsi="Calibri" w:cs="Calibri"/>
          <w:color w:val="auto"/>
          <w:lang w:eastAsia="en-GB"/>
        </w:rPr>
        <w:t>a</w:t>
      </w:r>
      <w:r w:rsidR="71216BF9" w:rsidRPr="0666C0EC">
        <w:rPr>
          <w:rFonts w:ascii="Calibri" w:eastAsia="Calibri" w:hAnsi="Calibri" w:cs="Calibri"/>
          <w:color w:val="auto"/>
          <w:lang w:eastAsia="en-GB"/>
        </w:rPr>
        <w:t xml:space="preserve"> </w:t>
      </w:r>
      <w:r w:rsidR="53D157DC" w:rsidRPr="0666C0EC">
        <w:rPr>
          <w:rFonts w:ascii="Calibri" w:eastAsia="Calibri" w:hAnsi="Calibri" w:cs="Calibri"/>
          <w:color w:val="auto"/>
          <w:lang w:eastAsia="en-GB"/>
        </w:rPr>
        <w:t>review of the statistical data available for Indian Ocean billfish (1951-202</w:t>
      </w:r>
      <w:r w:rsidR="6737C52C" w:rsidRPr="0666C0EC">
        <w:rPr>
          <w:rFonts w:ascii="Calibri" w:eastAsia="Calibri" w:hAnsi="Calibri" w:cs="Calibri"/>
          <w:color w:val="auto"/>
          <w:lang w:eastAsia="en-GB"/>
        </w:rPr>
        <w:t>3</w:t>
      </w:r>
      <w:r w:rsidR="53D157DC" w:rsidRPr="0666C0EC">
        <w:rPr>
          <w:rFonts w:ascii="Calibri" w:eastAsia="Calibri" w:hAnsi="Calibri" w:cs="Calibri"/>
          <w:color w:val="auto"/>
          <w:lang w:eastAsia="en-GB"/>
        </w:rPr>
        <w:t>)</w:t>
      </w:r>
      <w:r w:rsidR="58212898" w:rsidRPr="0666C0EC">
        <w:rPr>
          <w:rFonts w:ascii="Calibri" w:eastAsia="Calibri" w:hAnsi="Calibri" w:cs="Calibri"/>
          <w:color w:val="auto"/>
          <w:lang w:eastAsia="en-GB"/>
        </w:rPr>
        <w:t xml:space="preserve"> and subsequent papers</w:t>
      </w:r>
      <w:r w:rsidR="36719E58" w:rsidRPr="0666C0EC">
        <w:rPr>
          <w:rFonts w:ascii="Calibri" w:eastAsia="Calibri" w:hAnsi="Calibri" w:cs="Calibri"/>
          <w:color w:val="auto"/>
          <w:lang w:eastAsia="en-GB"/>
        </w:rPr>
        <w:t xml:space="preserve"> (</w:t>
      </w:r>
      <w:hyperlink r:id="rId30">
        <w:r w:rsidR="36719E58" w:rsidRPr="0666C0EC">
          <w:rPr>
            <w:rStyle w:val="Hyperlink"/>
            <w:rFonts w:ascii="Calibri" w:eastAsia="Calibri" w:hAnsi="Calibri" w:cs="Calibri"/>
            <w:lang w:eastAsia="en-GB"/>
          </w:rPr>
          <w:t>IOTC-2025-WPB23-07_2,</w:t>
        </w:r>
      </w:hyperlink>
      <w:r w:rsidR="36719E58" w:rsidRPr="0666C0EC">
        <w:rPr>
          <w:rFonts w:ascii="Calibri" w:eastAsia="Calibri" w:hAnsi="Calibri" w:cs="Calibri"/>
          <w:color w:val="auto"/>
          <w:lang w:eastAsia="en-GB"/>
        </w:rPr>
        <w:t xml:space="preserve"> </w:t>
      </w:r>
      <w:hyperlink r:id="rId31">
        <w:r w:rsidR="36719E58" w:rsidRPr="0666C0EC">
          <w:rPr>
            <w:rStyle w:val="Hyperlink"/>
            <w:rFonts w:ascii="Calibri" w:eastAsia="Calibri" w:hAnsi="Calibri" w:cs="Calibri"/>
            <w:lang w:eastAsia="en-GB"/>
          </w:rPr>
          <w:t>IOTC-2025-WPB23-07_3</w:t>
        </w:r>
      </w:hyperlink>
      <w:r w:rsidR="36719E58" w:rsidRPr="0666C0EC">
        <w:rPr>
          <w:rFonts w:ascii="Calibri" w:eastAsia="Calibri" w:hAnsi="Calibri" w:cs="Calibri"/>
          <w:color w:val="auto"/>
          <w:lang w:eastAsia="en-GB"/>
        </w:rPr>
        <w:t>,</w:t>
      </w:r>
      <w:r w:rsidR="68BAEA82" w:rsidRPr="0666C0EC">
        <w:rPr>
          <w:rFonts w:ascii="Calibri" w:eastAsia="Calibri" w:hAnsi="Calibri" w:cs="Calibri"/>
          <w:color w:val="auto"/>
          <w:lang w:eastAsia="en-GB"/>
        </w:rPr>
        <w:t xml:space="preserve"> </w:t>
      </w:r>
      <w:hyperlink r:id="rId32">
        <w:r w:rsidR="68BAEA82" w:rsidRPr="0666C0EC">
          <w:rPr>
            <w:rStyle w:val="Hyperlink"/>
            <w:rFonts w:ascii="Calibri" w:eastAsia="Calibri" w:hAnsi="Calibri" w:cs="Calibri"/>
            <w:lang w:eastAsia="en-GB"/>
          </w:rPr>
          <w:t>IOTC-2025-WPB23-07_4</w:t>
        </w:r>
      </w:hyperlink>
      <w:r w:rsidR="68BAEA82" w:rsidRPr="0666C0EC">
        <w:rPr>
          <w:rFonts w:ascii="Calibri" w:eastAsia="Calibri" w:hAnsi="Calibri" w:cs="Calibri"/>
          <w:color w:val="auto"/>
          <w:lang w:eastAsia="en-GB"/>
        </w:rPr>
        <w:t xml:space="preserve">, </w:t>
      </w:r>
      <w:hyperlink r:id="rId33">
        <w:r w:rsidR="68BAEA82" w:rsidRPr="0666C0EC">
          <w:rPr>
            <w:rStyle w:val="Hyperlink"/>
            <w:rFonts w:ascii="Calibri" w:eastAsia="Calibri" w:hAnsi="Calibri" w:cs="Calibri"/>
            <w:lang w:eastAsia="en-GB"/>
          </w:rPr>
          <w:t>IOTC-2025-WPB23-07_5</w:t>
        </w:r>
      </w:hyperlink>
      <w:r w:rsidR="68BAEA82" w:rsidRPr="0666C0EC">
        <w:rPr>
          <w:rFonts w:ascii="Calibri" w:eastAsia="Calibri" w:hAnsi="Calibri" w:cs="Calibri"/>
          <w:color w:val="auto"/>
          <w:lang w:eastAsia="en-GB"/>
        </w:rPr>
        <w:t xml:space="preserve">, </w:t>
      </w:r>
      <w:hyperlink r:id="rId34">
        <w:r w:rsidR="68BAEA82" w:rsidRPr="0666C0EC">
          <w:rPr>
            <w:rStyle w:val="Hyperlink"/>
            <w:rFonts w:ascii="Calibri" w:eastAsia="Calibri" w:hAnsi="Calibri" w:cs="Calibri"/>
            <w:lang w:eastAsia="en-GB"/>
          </w:rPr>
          <w:t>IOTC-2025-WPB23-07_6</w:t>
        </w:r>
      </w:hyperlink>
      <w:r w:rsidR="4487E634" w:rsidRPr="0666C0EC">
        <w:rPr>
          <w:rFonts w:ascii="Calibri" w:eastAsia="Calibri" w:hAnsi="Calibri" w:cs="Calibri"/>
          <w:color w:val="auto"/>
          <w:lang w:eastAsia="en-GB"/>
        </w:rPr>
        <w:t xml:space="preserve"> ) </w:t>
      </w:r>
      <w:r w:rsidR="58212898" w:rsidRPr="0666C0EC">
        <w:rPr>
          <w:rFonts w:ascii="Calibri" w:eastAsia="Calibri" w:hAnsi="Calibri" w:cs="Calibri"/>
          <w:color w:val="auto"/>
          <w:lang w:eastAsia="en-GB"/>
        </w:rPr>
        <w:t>of detailed review</w:t>
      </w:r>
      <w:r w:rsidR="5B9CC139" w:rsidRPr="0666C0EC">
        <w:rPr>
          <w:rFonts w:ascii="Calibri" w:eastAsia="Calibri" w:hAnsi="Calibri" w:cs="Calibri"/>
          <w:color w:val="auto"/>
          <w:lang w:eastAsia="en-GB"/>
        </w:rPr>
        <w:t>s</w:t>
      </w:r>
      <w:r w:rsidR="58212898" w:rsidRPr="0666C0EC">
        <w:rPr>
          <w:rFonts w:ascii="Calibri" w:eastAsia="Calibri" w:hAnsi="Calibri" w:cs="Calibri"/>
          <w:color w:val="auto"/>
          <w:lang w:eastAsia="en-GB"/>
        </w:rPr>
        <w:t xml:space="preserve"> </w:t>
      </w:r>
      <w:r w:rsidR="23435566" w:rsidRPr="0666C0EC">
        <w:rPr>
          <w:rFonts w:ascii="Calibri" w:eastAsia="Calibri" w:hAnsi="Calibri" w:cs="Calibri"/>
          <w:color w:val="auto"/>
          <w:lang w:eastAsia="en-GB"/>
        </w:rPr>
        <w:t>for</w:t>
      </w:r>
      <w:r w:rsidR="58212898" w:rsidRPr="0666C0EC">
        <w:rPr>
          <w:rFonts w:ascii="Calibri" w:eastAsia="Calibri" w:hAnsi="Calibri" w:cs="Calibri"/>
          <w:color w:val="auto"/>
          <w:lang w:eastAsia="en-GB"/>
        </w:rPr>
        <w:t xml:space="preserve"> individual billfish specie</w:t>
      </w:r>
      <w:r w:rsidR="130CA1AE" w:rsidRPr="0666C0EC">
        <w:rPr>
          <w:rFonts w:ascii="Calibri" w:eastAsia="Calibri" w:hAnsi="Calibri" w:cs="Calibri"/>
          <w:color w:val="auto"/>
          <w:lang w:eastAsia="en-GB"/>
        </w:rPr>
        <w:t xml:space="preserve">s </w:t>
      </w:r>
      <w:r w:rsidR="58212898" w:rsidRPr="0666C0EC">
        <w:rPr>
          <w:rFonts w:ascii="Calibri" w:eastAsia="Calibri" w:hAnsi="Calibri" w:cs="Calibri"/>
          <w:color w:val="auto"/>
          <w:lang w:eastAsia="en-GB"/>
        </w:rPr>
        <w:t>statistical</w:t>
      </w:r>
      <w:r w:rsidR="1F46B1F4" w:rsidRPr="0666C0EC">
        <w:rPr>
          <w:rFonts w:ascii="Calibri" w:eastAsia="Calibri" w:hAnsi="Calibri" w:cs="Calibri"/>
          <w:color w:val="auto"/>
          <w:lang w:eastAsia="en-GB"/>
        </w:rPr>
        <w:t xml:space="preserve"> data available</w:t>
      </w:r>
      <w:r w:rsidR="71216BF9" w:rsidRPr="0666C0EC">
        <w:rPr>
          <w:rFonts w:ascii="Calibri" w:eastAsia="Calibri" w:hAnsi="Calibri" w:cs="Calibri"/>
          <w:color w:val="auto"/>
          <w:lang w:eastAsia="en-GB"/>
        </w:rPr>
        <w:t xml:space="preserve">, with the following abstract provided by the authors: </w:t>
      </w:r>
    </w:p>
    <w:p w14:paraId="2539E60B" w14:textId="625F394C" w:rsidR="008740B0" w:rsidRPr="00023DE6" w:rsidRDefault="385BDF5D" w:rsidP="3F1DEBE1">
      <w:pPr>
        <w:pStyle w:val="IOTCReportNormalNumbered"/>
        <w:numPr>
          <w:ilvl w:val="0"/>
          <w:numId w:val="0"/>
        </w:numPr>
        <w:spacing w:after="120" w:line="259" w:lineRule="auto"/>
        <w:ind w:left="900"/>
        <w:rPr>
          <w:rFonts w:ascii="Calibri" w:eastAsia="Calibri" w:hAnsi="Calibri" w:cs="Calibri"/>
        </w:rPr>
      </w:pPr>
      <w:r w:rsidRPr="0666C0EC">
        <w:rPr>
          <w:rFonts w:ascii="Calibri" w:hAnsi="Calibri" w:cs="Calibri"/>
          <w:i/>
          <w:iCs/>
          <w:color w:val="000000" w:themeColor="text1"/>
          <w:lang w:eastAsia="en-GB"/>
        </w:rPr>
        <w:t>“</w:t>
      </w:r>
      <w:r w:rsidR="0B2DF42A" w:rsidRPr="0666C0EC">
        <w:rPr>
          <w:rFonts w:ascii="Calibri" w:hAnsi="Calibri" w:cs="Calibri"/>
          <w:i/>
          <w:iCs/>
          <w:color w:val="000000" w:themeColor="text1"/>
          <w:lang w:eastAsia="en-GB"/>
        </w:rPr>
        <w:t>Billfish species are among the lease captured pelagic species globally. With only 3% of total tuna and tuna-like species, and most of the catches coming from the Indian Ocean in recent years (40%). Five billfish species remain under the IOTC management mandate, although there are discussion to include other commonly caught billfish species. Swordfish is the main billfish species, and longline (rods and reels) fisheries are the principal fisheries catching billfish species. In recent years however, substantial catches of billfish are coming from gillnet fisheries.</w:t>
      </w:r>
      <w:r w:rsidR="677A2787" w:rsidRPr="0666C0EC">
        <w:rPr>
          <w:rFonts w:ascii="Calibri" w:hAnsi="Calibri" w:cs="Calibri"/>
          <w:i/>
          <w:iCs/>
          <w:color w:val="000000" w:themeColor="text1"/>
          <w:lang w:eastAsia="en-GB"/>
        </w:rPr>
        <w:t>”</w:t>
      </w:r>
    </w:p>
    <w:p w14:paraId="1CB9D005" w14:textId="44CA6DAA" w:rsidR="0D9C20E5" w:rsidRDefault="0D9C20E5" w:rsidP="31EE57D0">
      <w:pPr>
        <w:pStyle w:val="IOTCReportNormalNumbered"/>
        <w:spacing w:after="120"/>
        <w:ind w:left="540" w:hanging="540"/>
        <w:rPr>
          <w:rFonts w:ascii="Calibri" w:eastAsia="Calibri" w:hAnsi="Calibri" w:cs="Calibri"/>
          <w:color w:val="auto"/>
          <w:lang w:eastAsia="en-GB"/>
        </w:rPr>
      </w:pPr>
      <w:r w:rsidRPr="3F1DEBE1">
        <w:rPr>
          <w:rFonts w:ascii="Calibri" w:eastAsia="Calibri" w:hAnsi="Calibri" w:cs="Calibri"/>
          <w:color w:val="auto"/>
          <w:lang w:eastAsia="en-GB"/>
        </w:rPr>
        <w:t xml:space="preserve">The WPB </w:t>
      </w:r>
      <w:r w:rsidRPr="3F1DEBE1">
        <w:rPr>
          <w:rFonts w:ascii="Calibri" w:eastAsia="Calibri" w:hAnsi="Calibri" w:cs="Calibri"/>
          <w:b/>
          <w:bCs/>
          <w:color w:val="auto"/>
          <w:lang w:eastAsia="en-GB"/>
        </w:rPr>
        <w:t>THANKED</w:t>
      </w:r>
      <w:r w:rsidRPr="3F1DEBE1">
        <w:rPr>
          <w:rFonts w:ascii="Calibri" w:eastAsia="Calibri" w:hAnsi="Calibri" w:cs="Calibri"/>
          <w:color w:val="auto"/>
          <w:lang w:eastAsia="en-GB"/>
        </w:rPr>
        <w:t xml:space="preserve"> the Secretariat for the overview of</w:t>
      </w:r>
      <w:r w:rsidR="0F69515C" w:rsidRPr="3F1DEBE1">
        <w:rPr>
          <w:rFonts w:ascii="Calibri" w:eastAsia="Calibri" w:hAnsi="Calibri" w:cs="Calibri"/>
          <w:color w:val="auto"/>
          <w:lang w:eastAsia="en-GB"/>
        </w:rPr>
        <w:t xml:space="preserve"> billfish data available from the 1950 to 202</w:t>
      </w:r>
      <w:r w:rsidR="00D10691">
        <w:rPr>
          <w:rFonts w:ascii="Calibri" w:eastAsia="Calibri" w:hAnsi="Calibri" w:cs="Calibri"/>
          <w:color w:val="auto"/>
          <w:lang w:eastAsia="en-GB"/>
        </w:rPr>
        <w:t>3</w:t>
      </w:r>
      <w:r w:rsidR="0F69515C" w:rsidRPr="3F1DEBE1">
        <w:rPr>
          <w:rFonts w:ascii="Calibri" w:eastAsia="Calibri" w:hAnsi="Calibri" w:cs="Calibri"/>
          <w:color w:val="auto"/>
          <w:lang w:eastAsia="en-GB"/>
        </w:rPr>
        <w:t xml:space="preserve">, </w:t>
      </w:r>
      <w:r w:rsidR="0F69515C" w:rsidRPr="3F1DEBE1">
        <w:rPr>
          <w:rFonts w:ascii="Calibri" w:eastAsia="Calibri" w:hAnsi="Calibri" w:cs="Calibri"/>
          <w:b/>
          <w:bCs/>
          <w:color w:val="auto"/>
          <w:lang w:eastAsia="en-GB"/>
        </w:rPr>
        <w:t>NOTING</w:t>
      </w:r>
      <w:r w:rsidR="0F69515C" w:rsidRPr="3F1DEBE1">
        <w:rPr>
          <w:rFonts w:ascii="Calibri" w:eastAsia="Calibri" w:hAnsi="Calibri" w:cs="Calibri"/>
          <w:color w:val="auto"/>
          <w:lang w:eastAsia="en-GB"/>
        </w:rPr>
        <w:t xml:space="preserve"> the continuous increase in the catch of billfish species, particularly from</w:t>
      </w:r>
      <w:r w:rsidR="4941EDE1" w:rsidRPr="3F1DEBE1">
        <w:rPr>
          <w:rFonts w:ascii="Calibri" w:eastAsia="Calibri" w:hAnsi="Calibri" w:cs="Calibri"/>
          <w:color w:val="auto"/>
          <w:lang w:eastAsia="en-GB"/>
        </w:rPr>
        <w:t xml:space="preserve"> the coastal fisheries</w:t>
      </w:r>
      <w:r w:rsidR="497A9B43" w:rsidRPr="3F1DEBE1">
        <w:rPr>
          <w:rFonts w:ascii="Calibri" w:eastAsia="Calibri" w:hAnsi="Calibri" w:cs="Calibri"/>
          <w:color w:val="auto"/>
          <w:lang w:eastAsia="en-GB"/>
        </w:rPr>
        <w:t>, despite the low quality of some datasets.</w:t>
      </w:r>
    </w:p>
    <w:p w14:paraId="5A211FB2" w14:textId="1532BD45" w:rsidR="24EBBE2D" w:rsidRDefault="61A2847D" w:rsidP="3F1DEBE1">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paper covers the period u</w:t>
      </w:r>
      <w:r w:rsidR="43A09206" w:rsidRPr="0666C0EC">
        <w:rPr>
          <w:rFonts w:ascii="Calibri" w:eastAsia="Calibri" w:hAnsi="Calibri" w:cs="Calibri"/>
          <w:color w:val="auto"/>
          <w:lang w:eastAsia="en-GB"/>
        </w:rPr>
        <w:t>ntil</w:t>
      </w:r>
      <w:r w:rsidRPr="0666C0EC">
        <w:rPr>
          <w:rFonts w:ascii="Calibri" w:eastAsia="Calibri" w:hAnsi="Calibri" w:cs="Calibri"/>
          <w:color w:val="auto"/>
          <w:lang w:eastAsia="en-GB"/>
        </w:rPr>
        <w:t xml:space="preserve"> 202</w:t>
      </w:r>
      <w:r w:rsidR="325A910A" w:rsidRPr="0666C0EC">
        <w:rPr>
          <w:rFonts w:ascii="Calibri" w:eastAsia="Calibri" w:hAnsi="Calibri" w:cs="Calibri"/>
          <w:color w:val="auto"/>
          <w:lang w:eastAsia="en-GB"/>
        </w:rPr>
        <w:t>3</w:t>
      </w:r>
      <w:r w:rsidRPr="0666C0EC">
        <w:rPr>
          <w:rFonts w:ascii="Calibri" w:eastAsia="Calibri" w:hAnsi="Calibri" w:cs="Calibri"/>
          <w:color w:val="auto"/>
          <w:lang w:eastAsia="en-GB"/>
        </w:rPr>
        <w:t xml:space="preserve"> but that preliminary data for 202</w:t>
      </w:r>
      <w:r w:rsidR="1FD58E66" w:rsidRPr="0666C0EC">
        <w:rPr>
          <w:rFonts w:ascii="Calibri" w:eastAsia="Calibri" w:hAnsi="Calibri" w:cs="Calibri"/>
          <w:color w:val="auto"/>
          <w:lang w:eastAsia="en-GB"/>
        </w:rPr>
        <w:t>4</w:t>
      </w:r>
      <w:r w:rsidRPr="0666C0EC">
        <w:rPr>
          <w:rFonts w:ascii="Calibri" w:eastAsia="Calibri" w:hAnsi="Calibri" w:cs="Calibri"/>
          <w:color w:val="auto"/>
          <w:lang w:eastAsia="en-GB"/>
        </w:rPr>
        <w:t xml:space="preserve"> have been used to</w:t>
      </w:r>
      <w:r w:rsidR="5313CC85" w:rsidRPr="0666C0EC">
        <w:rPr>
          <w:rFonts w:ascii="Calibri" w:eastAsia="Calibri" w:hAnsi="Calibri" w:cs="Calibri"/>
          <w:color w:val="auto"/>
          <w:lang w:eastAsia="en-GB"/>
        </w:rPr>
        <w:t xml:space="preserve"> update the time series of catches used in paper </w:t>
      </w:r>
      <w:hyperlink r:id="rId35">
        <w:r w:rsidR="1D5636F5" w:rsidRPr="0666C0EC">
          <w:rPr>
            <w:rStyle w:val="Hyperlink"/>
            <w:rFonts w:ascii="Calibri" w:eastAsia="Calibri" w:hAnsi="Calibri" w:cs="Calibri"/>
            <w:lang w:eastAsia="en-GB"/>
          </w:rPr>
          <w:t>IOTC-202</w:t>
        </w:r>
        <w:r w:rsidR="43320AFA" w:rsidRPr="0666C0EC">
          <w:rPr>
            <w:rStyle w:val="Hyperlink"/>
            <w:rFonts w:ascii="Calibri" w:eastAsia="Calibri" w:hAnsi="Calibri" w:cs="Calibri"/>
            <w:lang w:eastAsia="en-GB"/>
          </w:rPr>
          <w:t>5</w:t>
        </w:r>
        <w:r w:rsidR="1D5636F5" w:rsidRPr="0666C0EC">
          <w:rPr>
            <w:rStyle w:val="Hyperlink"/>
            <w:rFonts w:ascii="Calibri" w:eastAsia="Calibri" w:hAnsi="Calibri" w:cs="Calibri"/>
            <w:lang w:eastAsia="en-GB"/>
          </w:rPr>
          <w:t>-WPB2</w:t>
        </w:r>
        <w:r w:rsidR="43320AFA" w:rsidRPr="0666C0EC">
          <w:rPr>
            <w:rStyle w:val="Hyperlink"/>
            <w:rFonts w:ascii="Calibri" w:eastAsia="Calibri" w:hAnsi="Calibri" w:cs="Calibri"/>
            <w:lang w:eastAsia="en-GB"/>
          </w:rPr>
          <w:t>3</w:t>
        </w:r>
        <w:r w:rsidR="1D5636F5" w:rsidRPr="0666C0EC">
          <w:rPr>
            <w:rStyle w:val="Hyperlink"/>
            <w:rFonts w:ascii="Calibri" w:eastAsia="Calibri" w:hAnsi="Calibri" w:cs="Calibri"/>
            <w:lang w:eastAsia="en-GB"/>
          </w:rPr>
          <w:t>-INF0</w:t>
        </w:r>
        <w:r w:rsidR="3F060C28" w:rsidRPr="0666C0EC">
          <w:rPr>
            <w:rStyle w:val="Hyperlink"/>
            <w:rFonts w:ascii="Calibri" w:eastAsia="Calibri" w:hAnsi="Calibri" w:cs="Calibri"/>
            <w:lang w:eastAsia="en-GB"/>
          </w:rPr>
          <w:t>1</w:t>
        </w:r>
      </w:hyperlink>
      <w:r w:rsidR="4B1B4B61" w:rsidRPr="0666C0EC">
        <w:rPr>
          <w:rFonts w:ascii="Calibri" w:eastAsia="Calibri" w:hAnsi="Calibri" w:cs="Calibri"/>
          <w:color w:val="auto"/>
          <w:lang w:eastAsia="en-GB"/>
        </w:rPr>
        <w:t xml:space="preserve"> focusing on Res. 18/05.</w:t>
      </w:r>
    </w:p>
    <w:p w14:paraId="3CB303A0" w14:textId="507CC4BB" w:rsidR="4E32E924" w:rsidRDefault="4E32E924"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catches of billfish species from the IOTC region have accounted for approximately 40% of global billfish catches in recent years, with a particular increase observed in black marlin catches over the past few years.</w:t>
      </w:r>
    </w:p>
    <w:p w14:paraId="7070EB6B" w14:textId="6C00E7CD" w:rsidR="4E32E924" w:rsidRDefault="4E32E924"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lastRenderedPageBreak/>
        <w:t xml:space="preserve">The WPB also </w:t>
      </w:r>
      <w:r w:rsidRPr="0666C0EC">
        <w:rPr>
          <w:rFonts w:ascii="Calibri" w:eastAsia="Calibri" w:hAnsi="Calibri" w:cs="Calibri"/>
          <w:b/>
          <w:bCs/>
          <w:color w:val="auto"/>
          <w:lang w:eastAsia="en-GB"/>
        </w:rPr>
        <w:t xml:space="preserve">HIGHLIGHTED </w:t>
      </w:r>
      <w:r w:rsidRPr="0666C0EC">
        <w:rPr>
          <w:rFonts w:ascii="Calibri" w:eastAsia="Calibri" w:hAnsi="Calibri" w:cs="Calibri"/>
          <w:color w:val="auto"/>
          <w:lang w:eastAsia="en-GB"/>
        </w:rPr>
        <w:t xml:space="preserve">the lack of size data, especially from the main fleets targeting billfish species. </w:t>
      </w:r>
      <w:r w:rsidRPr="0666C0EC">
        <w:rPr>
          <w:rFonts w:ascii="Calibri" w:eastAsia="Calibri" w:hAnsi="Calibri" w:cs="Calibri"/>
          <w:b/>
          <w:bCs/>
          <w:color w:val="auto"/>
          <w:lang w:eastAsia="en-GB"/>
        </w:rPr>
        <w:t>ACKNOWLEDGING</w:t>
      </w:r>
      <w:r w:rsidRPr="0666C0EC">
        <w:rPr>
          <w:rFonts w:ascii="Calibri" w:eastAsia="Calibri" w:hAnsi="Calibri" w:cs="Calibri"/>
          <w:color w:val="auto"/>
          <w:lang w:eastAsia="en-GB"/>
        </w:rPr>
        <w:t xml:space="preserve"> the challenges in collecting billfish samples and took note of pilot projects initiated by CPCs to enhance sample collection efforts.</w:t>
      </w:r>
    </w:p>
    <w:p w14:paraId="503137AF" w14:textId="7C1348F4" w:rsidR="339C5D71" w:rsidRDefault="339C5D71"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the difficulties in collecting samples of billfish species from Iranian gillnet vessels. These challenges were attributed to the landing of already-processed billfish, which are cut into pieces onboard for storage purposes. </w:t>
      </w:r>
      <w:r w:rsidRPr="0666C0EC">
        <w:rPr>
          <w:rFonts w:ascii="Calibri" w:eastAsia="Calibri" w:hAnsi="Calibri" w:cs="Calibri"/>
          <w:b/>
          <w:bCs/>
          <w:color w:val="auto"/>
          <w:lang w:eastAsia="en-GB"/>
        </w:rPr>
        <w:t>NOTING</w:t>
      </w:r>
      <w:r w:rsidRPr="0666C0EC">
        <w:rPr>
          <w:rFonts w:ascii="Calibri" w:eastAsia="Calibri" w:hAnsi="Calibri" w:cs="Calibri"/>
          <w:color w:val="auto"/>
          <w:lang w:eastAsia="en-GB"/>
        </w:rPr>
        <w:t xml:space="preserve"> that, as billfish are considered bycatch species, they are not prioritized, further complicating data collection. The processing of billfish at sea makes it unfeasible for data collectors at landing sites to accurately record size measurements by species.</w:t>
      </w:r>
    </w:p>
    <w:p w14:paraId="53A7BE8F" w14:textId="5C94760B" w:rsidR="5BF5A9AB" w:rsidRDefault="5BF5A9AB"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also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not all</w:t>
      </w:r>
      <w:r w:rsidR="0002693E">
        <w:rPr>
          <w:rFonts w:ascii="Calibri" w:eastAsia="Calibri" w:hAnsi="Calibri" w:cs="Calibri"/>
          <w:color w:val="auto"/>
          <w:lang w:eastAsia="en-GB"/>
        </w:rPr>
        <w:t xml:space="preserve"> ports where</w:t>
      </w:r>
      <w:r w:rsidRPr="0666C0EC">
        <w:rPr>
          <w:rFonts w:ascii="Calibri" w:eastAsia="Calibri" w:hAnsi="Calibri" w:cs="Calibri"/>
          <w:color w:val="auto"/>
          <w:lang w:eastAsia="en-GB"/>
        </w:rPr>
        <w:t xml:space="preserve"> gillnet vessels</w:t>
      </w:r>
      <w:r w:rsidR="0002693E">
        <w:rPr>
          <w:rFonts w:ascii="Calibri" w:eastAsia="Calibri" w:hAnsi="Calibri" w:cs="Calibri"/>
          <w:color w:val="auto"/>
          <w:lang w:eastAsia="en-GB"/>
        </w:rPr>
        <w:t xml:space="preserve"> offload</w:t>
      </w:r>
      <w:r w:rsidRPr="0666C0EC">
        <w:rPr>
          <w:rFonts w:ascii="Calibri" w:eastAsia="Calibri" w:hAnsi="Calibri" w:cs="Calibri"/>
          <w:color w:val="auto"/>
          <w:lang w:eastAsia="en-GB"/>
        </w:rPr>
        <w:t xml:space="preserve"> are equipped with inspectors, and the conditions onboard make it difficult for observers to be present and collect information.</w:t>
      </w:r>
    </w:p>
    <w:p w14:paraId="667DB40D" w14:textId="1F44EB26" w:rsidR="3D62D9B8" w:rsidRDefault="3D62D9B8"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ACKNOWLEDGED</w:t>
      </w:r>
      <w:r w:rsidRPr="0666C0EC">
        <w:rPr>
          <w:rFonts w:ascii="Calibri" w:eastAsia="Calibri" w:hAnsi="Calibri" w:cs="Calibri"/>
          <w:color w:val="auto"/>
          <w:lang w:eastAsia="en-GB"/>
        </w:rPr>
        <w:t xml:space="preserve"> that the Islamic Republic of Iran is conducting training for fishers in fishing cooperatives to improve species identification and onboard size-frequency data collection.</w:t>
      </w:r>
    </w:p>
    <w:p w14:paraId="23CD87C9" w14:textId="3B187B22" w:rsidR="73E6B5E9" w:rsidRDefault="73E6B5E9"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pilot project launched by Sri Lanka to identify billfish pieces and assign them to species is ongoing and has been successful so far.</w:t>
      </w:r>
    </w:p>
    <w:p w14:paraId="463BA48D" w14:textId="4F0AD140" w:rsidR="6B2B5ACB" w:rsidRDefault="6B2B5ACB"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a decrease in the total catch of billfish species in 2003, which could have implications for catch data used in stock assessments.</w:t>
      </w:r>
    </w:p>
    <w:p w14:paraId="27FDFD58" w14:textId="24F32587" w:rsidR="1BF21EA3" w:rsidRDefault="1BF21EA3"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revision of Indonesia’s historical catch data resulted in a decrease in reported blue marlin catches compared to previous estimates. This revision primarily affected catches from the longline fishery, as updated data for Indonesia’s longline fleet led to lower catch figures for blue marlin.</w:t>
      </w:r>
    </w:p>
    <w:p w14:paraId="19879A7A" w14:textId="2306AD87" w:rsidR="17AEF5BD" w:rsidRDefault="17AEF5BD"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further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an increase in blue marlin catches from industrial purse seine fisheries. </w:t>
      </w:r>
      <w:r w:rsidRPr="0666C0EC">
        <w:rPr>
          <w:rFonts w:ascii="Calibri" w:eastAsia="Calibri" w:hAnsi="Calibri" w:cs="Calibri"/>
          <w:b/>
          <w:bCs/>
          <w:color w:val="auto"/>
          <w:lang w:eastAsia="en-GB"/>
        </w:rPr>
        <w:t>NOTING</w:t>
      </w:r>
      <w:r w:rsidRPr="0666C0EC">
        <w:rPr>
          <w:rFonts w:ascii="Calibri" w:eastAsia="Calibri" w:hAnsi="Calibri" w:cs="Calibri"/>
          <w:color w:val="auto"/>
          <w:lang w:eastAsia="en-GB"/>
        </w:rPr>
        <w:t xml:space="preserve"> that the estimation process used by EU-France for billfish species, was based on the same methodology used for tropical tunas, the primary target species, which led to the high estimated catch of billfish. The WPB </w:t>
      </w:r>
      <w:r w:rsidRPr="0666C0EC">
        <w:rPr>
          <w:rFonts w:ascii="Calibri" w:eastAsia="Calibri" w:hAnsi="Calibri" w:cs="Calibri"/>
          <w:b/>
          <w:bCs/>
          <w:color w:val="auto"/>
          <w:lang w:eastAsia="en-GB"/>
        </w:rPr>
        <w:t>ACKNOWLEDGED</w:t>
      </w:r>
      <w:r w:rsidRPr="0666C0EC">
        <w:rPr>
          <w:rFonts w:ascii="Calibri" w:eastAsia="Calibri" w:hAnsi="Calibri" w:cs="Calibri"/>
          <w:color w:val="auto"/>
          <w:lang w:eastAsia="en-GB"/>
        </w:rPr>
        <w:t xml:space="preserve"> that EU-France is currently revising this methodology.</w:t>
      </w:r>
    </w:p>
    <w:p w14:paraId="5519ED07" w14:textId="63E7374A" w:rsidR="50F8BF9B" w:rsidRDefault="50F8BF9B"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also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historical revision of Indonesia’s catch data led to an increase in reported catches of Indo-Pacific sailfish. </w:t>
      </w:r>
      <w:r w:rsidRPr="0666C0EC">
        <w:rPr>
          <w:rFonts w:ascii="Calibri" w:eastAsia="Calibri" w:hAnsi="Calibri" w:cs="Calibri"/>
          <w:b/>
          <w:bCs/>
          <w:color w:val="auto"/>
          <w:lang w:eastAsia="en-GB"/>
        </w:rPr>
        <w:t>NOTING</w:t>
      </w:r>
      <w:r w:rsidRPr="0666C0EC">
        <w:rPr>
          <w:rFonts w:ascii="Calibri" w:eastAsia="Calibri" w:hAnsi="Calibri" w:cs="Calibri"/>
          <w:color w:val="auto"/>
          <w:lang w:eastAsia="en-GB"/>
        </w:rPr>
        <w:t xml:space="preserve"> that the re-estimation process is described in document </w:t>
      </w:r>
      <w:hyperlink r:id="rId36">
        <w:r w:rsidRPr="0666C0EC">
          <w:rPr>
            <w:rStyle w:val="Hyperlink"/>
            <w:rFonts w:ascii="Calibri" w:eastAsia="Calibri" w:hAnsi="Calibri" w:cs="Calibri"/>
            <w:lang w:eastAsia="en-GB"/>
          </w:rPr>
          <w:t>IOTC-2024-WPDCS20-16_Rev1</w:t>
        </w:r>
      </w:hyperlink>
      <w:r w:rsidRPr="0666C0EC">
        <w:rPr>
          <w:rFonts w:ascii="Calibri" w:eastAsia="Calibri" w:hAnsi="Calibri" w:cs="Calibri"/>
          <w:color w:val="auto"/>
          <w:lang w:eastAsia="en-GB"/>
        </w:rPr>
        <w:t>, and that the methodology used was endorsed by the Scientific Committee.</w:t>
      </w:r>
    </w:p>
    <w:p w14:paraId="25E1D182" w14:textId="05C9F43D" w:rsidR="1F9F5387" w:rsidRDefault="1F9F5387"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SUGGESTED</w:t>
      </w:r>
      <w:r w:rsidRPr="0666C0EC">
        <w:rPr>
          <w:rFonts w:ascii="Calibri" w:eastAsia="Calibri" w:hAnsi="Calibri" w:cs="Calibri"/>
          <w:color w:val="auto"/>
          <w:lang w:eastAsia="en-GB"/>
        </w:rPr>
        <w:t xml:space="preserve"> that presenting percentage changes in catch data could provide a clearer understanding of the differences resulting from data revisions.</w:t>
      </w:r>
    </w:p>
    <w:p w14:paraId="7191FEDF" w14:textId="12E7A554" w:rsidR="2511D1F0" w:rsidRDefault="2511D1F0"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it is complex to combine coastal longline catches with industrial longline data, given the differences between the two fisheries. Specifically, industrial longline catch data refer to operations beyond national jurisdiction, whereas coastal longline data are derived from nearshore fishing activities within national waters.</w:t>
      </w:r>
    </w:p>
    <w:p w14:paraId="2297F464" w14:textId="32B03A15" w:rsidR="557B7005" w:rsidRDefault="557B7005"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the increasing contribution of billfish catches from gillnet fisheries in recent years and highlighted the potential for species misidentification. </w:t>
      </w:r>
    </w:p>
    <w:p w14:paraId="716EA325" w14:textId="28D30D46" w:rsidR="557B7005" w:rsidRDefault="557B7005"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further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Secretariat is conducting regional workshops on species identification, which includes billfish species. </w:t>
      </w:r>
      <w:r w:rsidR="2AB0B58F" w:rsidRPr="0666C0EC">
        <w:rPr>
          <w:rFonts w:ascii="Calibri" w:eastAsia="Calibri" w:hAnsi="Calibri" w:cs="Calibri"/>
          <w:color w:val="auto"/>
          <w:lang w:eastAsia="en-GB"/>
        </w:rPr>
        <w:t>I</w:t>
      </w:r>
      <w:r w:rsidRPr="0666C0EC">
        <w:rPr>
          <w:rFonts w:ascii="Calibri" w:eastAsia="Calibri" w:hAnsi="Calibri" w:cs="Calibri"/>
          <w:color w:val="auto"/>
          <w:lang w:eastAsia="en-GB"/>
        </w:rPr>
        <w:t>n December 2024</w:t>
      </w:r>
      <w:r w:rsidR="278CD769" w:rsidRPr="0666C0EC">
        <w:rPr>
          <w:rFonts w:ascii="Calibri" w:eastAsia="Calibri" w:hAnsi="Calibri" w:cs="Calibri"/>
          <w:color w:val="auto"/>
          <w:lang w:eastAsia="en-GB"/>
        </w:rPr>
        <w:t xml:space="preserve">, the workshop was held in Sri Lanka for western region countries. </w:t>
      </w:r>
      <w:r w:rsidRPr="0666C0EC">
        <w:rPr>
          <w:rFonts w:ascii="Calibri" w:eastAsia="Calibri" w:hAnsi="Calibri" w:cs="Calibri"/>
          <w:color w:val="auto"/>
          <w:lang w:eastAsia="en-GB"/>
        </w:rPr>
        <w:t xml:space="preserve"> </w:t>
      </w:r>
      <w:r w:rsidR="5656D055" w:rsidRPr="0666C0EC">
        <w:rPr>
          <w:rFonts w:ascii="Calibri" w:eastAsia="Calibri" w:hAnsi="Calibri" w:cs="Calibri"/>
          <w:color w:val="auto"/>
          <w:lang w:eastAsia="en-GB"/>
        </w:rPr>
        <w:t>F</w:t>
      </w:r>
      <w:r w:rsidRPr="0666C0EC">
        <w:rPr>
          <w:rFonts w:ascii="Calibri" w:eastAsia="Calibri" w:hAnsi="Calibri" w:cs="Calibri"/>
          <w:color w:val="auto"/>
          <w:lang w:eastAsia="en-GB"/>
        </w:rPr>
        <w:t xml:space="preserve">or eastern region countries, the workshop will be held in India in late September. 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workshop </w:t>
      </w:r>
      <w:r w:rsidR="7642E646" w:rsidRPr="0666C0EC">
        <w:rPr>
          <w:rFonts w:ascii="Calibri" w:eastAsia="Calibri" w:hAnsi="Calibri" w:cs="Calibri"/>
          <w:color w:val="auto"/>
          <w:lang w:eastAsia="en-GB"/>
        </w:rPr>
        <w:t xml:space="preserve">on species identification </w:t>
      </w:r>
      <w:r w:rsidRPr="0666C0EC">
        <w:rPr>
          <w:rFonts w:ascii="Calibri" w:eastAsia="Calibri" w:hAnsi="Calibri" w:cs="Calibri"/>
          <w:color w:val="auto"/>
          <w:lang w:eastAsia="en-GB"/>
        </w:rPr>
        <w:t>could be conducted again in the future</w:t>
      </w:r>
      <w:r w:rsidR="0957D81A" w:rsidRPr="0666C0EC">
        <w:rPr>
          <w:rFonts w:ascii="Calibri" w:eastAsia="Calibri" w:hAnsi="Calibri" w:cs="Calibri"/>
          <w:color w:val="auto"/>
          <w:lang w:eastAsia="en-GB"/>
        </w:rPr>
        <w:t>.</w:t>
      </w:r>
    </w:p>
    <w:p w14:paraId="08280ADC" w14:textId="5794CF25" w:rsidR="004763B1" w:rsidRPr="00906464" w:rsidRDefault="004763B1" w:rsidP="004763B1">
      <w:pPr>
        <w:pStyle w:val="IOTCReportNormalNumbered"/>
        <w:spacing w:after="120"/>
        <w:ind w:left="540" w:hanging="540"/>
        <w:rPr>
          <w:rFonts w:ascii="Calibri" w:eastAsia="Calibri" w:hAnsi="Calibri" w:cs="Calibri"/>
          <w:color w:val="auto"/>
          <w:szCs w:val="22"/>
          <w:lang w:eastAsia="en-GB"/>
        </w:rPr>
      </w:pPr>
      <w:bookmarkStart w:id="44" w:name="_Toc336947263"/>
      <w:bookmarkEnd w:id="43"/>
      <w:r w:rsidRPr="1EA925F2">
        <w:rPr>
          <w:rFonts w:ascii="Calibri" w:eastAsia="Calibri" w:hAnsi="Calibri" w:cs="Calibri"/>
          <w:color w:val="auto"/>
          <w:szCs w:val="22"/>
          <w:lang w:eastAsia="en-GB"/>
        </w:rPr>
        <w:t xml:space="preserve">The WPB </w:t>
      </w:r>
      <w:r w:rsidRPr="1EA925F2">
        <w:rPr>
          <w:rFonts w:ascii="Calibri" w:eastAsia="Calibri" w:hAnsi="Calibri" w:cs="Calibri"/>
          <w:b/>
          <w:bCs/>
          <w:color w:val="auto"/>
          <w:szCs w:val="22"/>
          <w:lang w:eastAsia="en-GB"/>
        </w:rPr>
        <w:t xml:space="preserve">NOTED </w:t>
      </w:r>
      <w:r w:rsidRPr="1EA925F2">
        <w:rPr>
          <w:rFonts w:ascii="Calibri" w:eastAsia="Calibri" w:hAnsi="Calibri" w:cs="Calibri"/>
          <w:color w:val="auto"/>
          <w:szCs w:val="22"/>
          <w:lang w:eastAsia="en-GB"/>
        </w:rPr>
        <w:t xml:space="preserve">paper </w:t>
      </w:r>
      <w:hyperlink r:id="rId37" w:history="1">
        <w:r w:rsidR="00655412" w:rsidRPr="002018D8">
          <w:rPr>
            <w:rStyle w:val="Hyperlink"/>
            <w:rFonts w:ascii="Calibri" w:eastAsia="Calibri" w:hAnsi="Calibri" w:cs="Calibri"/>
            <w:lang w:eastAsia="en-GB"/>
          </w:rPr>
          <w:t>IOTC-2025-WPB23-10</w:t>
        </w:r>
      </w:hyperlink>
      <w:r w:rsidR="000B0691">
        <w:rPr>
          <w:rFonts w:ascii="Calibri" w:eastAsia="Calibri" w:hAnsi="Calibri" w:cs="Calibri"/>
          <w:color w:val="auto"/>
          <w:lang w:eastAsia="en-GB"/>
        </w:rPr>
        <w:t>, which summarises</w:t>
      </w:r>
      <w:r w:rsidR="00655412" w:rsidRPr="00655412">
        <w:rPr>
          <w:rFonts w:ascii="Calibri" w:eastAsia="Calibri" w:hAnsi="Calibri" w:cs="Calibri"/>
          <w:color w:val="auto"/>
          <w:lang w:eastAsia="en-GB"/>
        </w:rPr>
        <w:t xml:space="preserve"> </w:t>
      </w:r>
      <w:r w:rsidR="000B0691">
        <w:rPr>
          <w:rFonts w:ascii="Calibri" w:eastAsia="Calibri" w:hAnsi="Calibri" w:cs="Calibri"/>
          <w:color w:val="auto"/>
          <w:lang w:eastAsia="en-GB"/>
        </w:rPr>
        <w:t>b</w:t>
      </w:r>
      <w:r w:rsidR="00655412" w:rsidRPr="00655412">
        <w:rPr>
          <w:rFonts w:ascii="Calibri" w:eastAsia="Calibri" w:hAnsi="Calibri" w:cs="Calibri"/>
          <w:color w:val="auto"/>
          <w:lang w:eastAsia="en-GB"/>
        </w:rPr>
        <w:t>illfish resources of India with special reference to the fishery and biology of blue marlin  landed caught from the Eastern Arabian Sea</w:t>
      </w:r>
      <w:r w:rsidR="00C90BAC">
        <w:rPr>
          <w:rFonts w:ascii="Calibri" w:eastAsia="Calibri" w:hAnsi="Calibri" w:cs="Calibri"/>
          <w:color w:val="auto"/>
          <w:lang w:eastAsia="en-GB"/>
        </w:rPr>
        <w:t>.</w:t>
      </w:r>
      <w:r>
        <w:rPr>
          <w:rFonts w:ascii="Calibri" w:eastAsia="Calibri" w:hAnsi="Calibri" w:cs="Calibri"/>
          <w:color w:val="auto"/>
          <w:lang w:eastAsia="en-GB"/>
        </w:rPr>
        <w:t xml:space="preserve"> </w:t>
      </w:r>
      <w:r w:rsidR="00C90BAC">
        <w:rPr>
          <w:rFonts w:ascii="Calibri" w:eastAsia="Calibri" w:hAnsi="Calibri" w:cs="Calibri"/>
          <w:color w:val="auto"/>
          <w:szCs w:val="22"/>
          <w:lang w:eastAsia="en-GB"/>
        </w:rPr>
        <w:t>T</w:t>
      </w:r>
      <w:r w:rsidRPr="1EA925F2">
        <w:rPr>
          <w:rFonts w:ascii="Calibri" w:eastAsia="Calibri" w:hAnsi="Calibri" w:cs="Calibri"/>
          <w:color w:val="auto"/>
          <w:szCs w:val="22"/>
          <w:lang w:eastAsia="en-GB"/>
        </w:rPr>
        <w:t xml:space="preserve">he following abstract </w:t>
      </w:r>
      <w:r w:rsidR="00C90BAC">
        <w:rPr>
          <w:rFonts w:ascii="Calibri" w:eastAsia="Calibri" w:hAnsi="Calibri" w:cs="Calibri"/>
          <w:color w:val="auto"/>
          <w:szCs w:val="22"/>
          <w:lang w:eastAsia="en-GB"/>
        </w:rPr>
        <w:t xml:space="preserve">is </w:t>
      </w:r>
      <w:r w:rsidRPr="1EA925F2">
        <w:rPr>
          <w:rFonts w:ascii="Calibri" w:eastAsia="Calibri" w:hAnsi="Calibri" w:cs="Calibri"/>
          <w:color w:val="auto"/>
          <w:szCs w:val="22"/>
          <w:lang w:eastAsia="en-GB"/>
        </w:rPr>
        <w:t xml:space="preserve">provided by the authors: </w:t>
      </w:r>
    </w:p>
    <w:p w14:paraId="0335538C" w14:textId="260075A4" w:rsidR="004763B1" w:rsidRPr="00023DE6" w:rsidRDefault="17000CB9" w:rsidP="004763B1">
      <w:pPr>
        <w:pStyle w:val="IOTCReportNormalNumbered"/>
        <w:numPr>
          <w:ilvl w:val="0"/>
          <w:numId w:val="0"/>
        </w:numPr>
        <w:spacing w:after="120" w:line="259" w:lineRule="auto"/>
        <w:ind w:left="900"/>
        <w:rPr>
          <w:rFonts w:ascii="Calibri" w:eastAsia="Calibri" w:hAnsi="Calibri" w:cs="Calibri"/>
        </w:rPr>
      </w:pPr>
      <w:r w:rsidRPr="0666C0EC">
        <w:rPr>
          <w:rFonts w:ascii="Calibri" w:hAnsi="Calibri" w:cs="Calibri"/>
          <w:i/>
          <w:iCs/>
          <w:color w:val="000000" w:themeColor="text1"/>
          <w:lang w:eastAsia="en-GB"/>
        </w:rPr>
        <w:t>“</w:t>
      </w:r>
      <w:r w:rsidR="7A854AE9" w:rsidRPr="0666C0EC">
        <w:rPr>
          <w:rFonts w:ascii="Calibri" w:hAnsi="Calibri" w:cs="Calibri"/>
          <w:i/>
          <w:iCs/>
          <w:color w:val="000000" w:themeColor="text1"/>
          <w:lang w:eastAsia="en-GB"/>
        </w:rPr>
        <w:t>Billfish, comprising sailfishes, marlins, spearfishes, and swordfishes, are highly migratory and large pelagic predators distributed globally across tropical and subtropical oceans. Along the Indian coast, the estimated landings of billfishes have shown a rising trend, reaching 21,321 tonnes in 2024</w:t>
      </w:r>
      <w:r w:rsidRPr="0666C0EC">
        <w:rPr>
          <w:rFonts w:ascii="Calibri" w:hAnsi="Calibri" w:cs="Calibri"/>
          <w:i/>
          <w:iCs/>
          <w:color w:val="000000" w:themeColor="text1"/>
          <w:lang w:eastAsia="en-GB"/>
        </w:rPr>
        <w:t>”</w:t>
      </w:r>
      <w:r w:rsidR="67D4C31A" w:rsidRPr="0666C0EC">
        <w:rPr>
          <w:rFonts w:ascii="Calibri" w:hAnsi="Calibri" w:cs="Calibri"/>
          <w:i/>
          <w:iCs/>
          <w:color w:val="000000" w:themeColor="text1"/>
          <w:lang w:eastAsia="en-GB"/>
        </w:rPr>
        <w:t>.</w:t>
      </w:r>
      <w:r w:rsidR="7A854AE9" w:rsidRPr="0666C0EC">
        <w:rPr>
          <w:rFonts w:ascii="Calibri" w:hAnsi="Calibri" w:cs="Calibri"/>
          <w:i/>
          <w:iCs/>
          <w:color w:val="000000" w:themeColor="text1"/>
          <w:lang w:eastAsia="en-GB"/>
        </w:rPr>
        <w:t xml:space="preserve"> see the paper for </w:t>
      </w:r>
      <w:r w:rsidR="67D4C31A" w:rsidRPr="0666C0EC">
        <w:rPr>
          <w:rFonts w:ascii="Calibri" w:hAnsi="Calibri" w:cs="Calibri"/>
          <w:i/>
          <w:iCs/>
          <w:color w:val="000000" w:themeColor="text1"/>
          <w:lang w:eastAsia="en-GB"/>
        </w:rPr>
        <w:t>the full abstract.</w:t>
      </w:r>
    </w:p>
    <w:p w14:paraId="686D05CB" w14:textId="03189B39" w:rsidR="00655412" w:rsidRPr="00655412" w:rsidRDefault="236148F9"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ACKNOWLEDGED</w:t>
      </w:r>
      <w:r w:rsidRPr="0666C0EC">
        <w:rPr>
          <w:rFonts w:ascii="Calibri" w:eastAsia="Calibri" w:hAnsi="Calibri" w:cs="Calibri"/>
          <w:color w:val="auto"/>
          <w:lang w:eastAsia="en-GB"/>
        </w:rPr>
        <w:t xml:space="preserve"> the research presented by the authors, outlining the </w:t>
      </w:r>
      <w:r w:rsidR="7F6B04C8" w:rsidRPr="0666C0EC">
        <w:rPr>
          <w:rFonts w:ascii="Calibri" w:eastAsia="Calibri" w:hAnsi="Calibri" w:cs="Calibri"/>
          <w:color w:val="auto"/>
          <w:lang w:eastAsia="en-GB"/>
        </w:rPr>
        <w:t>biology of blue marlin caught in the Eastern Arabian Sea</w:t>
      </w:r>
      <w:r w:rsidR="22A3EB32" w:rsidRPr="0666C0EC">
        <w:rPr>
          <w:rFonts w:ascii="Calibri" w:eastAsia="Calibri" w:hAnsi="Calibri" w:cs="Calibri"/>
          <w:color w:val="auto"/>
          <w:lang w:eastAsia="en-GB"/>
        </w:rPr>
        <w:t xml:space="preserve">, </w:t>
      </w:r>
      <w:r w:rsidR="22A3EB32" w:rsidRPr="0666C0EC">
        <w:rPr>
          <w:rFonts w:ascii="Calibri" w:eastAsia="Calibri" w:hAnsi="Calibri" w:cs="Calibri"/>
          <w:b/>
          <w:bCs/>
          <w:color w:val="auto"/>
          <w:lang w:eastAsia="en-GB"/>
        </w:rPr>
        <w:t>CONSIDERNG</w:t>
      </w:r>
      <w:r w:rsidR="22A3EB32" w:rsidRPr="0666C0EC">
        <w:rPr>
          <w:rFonts w:ascii="Calibri" w:eastAsia="Calibri" w:hAnsi="Calibri" w:cs="Calibri"/>
          <w:color w:val="auto"/>
          <w:lang w:eastAsia="en-GB"/>
        </w:rPr>
        <w:t xml:space="preserve"> </w:t>
      </w:r>
      <w:r w:rsidR="7C432E75" w:rsidRPr="0666C0EC">
        <w:rPr>
          <w:rFonts w:ascii="Calibri" w:eastAsia="Calibri" w:hAnsi="Calibri" w:cs="Calibri"/>
          <w:color w:val="auto"/>
          <w:szCs w:val="22"/>
          <w:lang w:eastAsia="en-GB"/>
        </w:rPr>
        <w:t>the various scientific parameters analysed to better understand the species' distribution.</w:t>
      </w:r>
    </w:p>
    <w:p w14:paraId="39C26624" w14:textId="4F1AB7D4" w:rsidR="00655412" w:rsidRPr="00655412" w:rsidRDefault="19F2D607"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lastRenderedPageBreak/>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the increasing catches of billfish species reported by India, which include five species caught in the Indian and Arabian Seas.</w:t>
      </w:r>
      <w:r w:rsidRPr="0666C0EC">
        <w:rPr>
          <w:rFonts w:ascii="Calibri" w:eastAsia="Calibri" w:hAnsi="Calibri" w:cs="Calibri"/>
          <w:b/>
          <w:bCs/>
          <w:color w:val="auto"/>
          <w:lang w:eastAsia="en-GB"/>
        </w:rPr>
        <w:t xml:space="preserve"> NOTING </w:t>
      </w:r>
      <w:r w:rsidRPr="0666C0EC">
        <w:rPr>
          <w:rFonts w:ascii="Calibri" w:eastAsia="Calibri" w:hAnsi="Calibri" w:cs="Calibri"/>
          <w:color w:val="auto"/>
          <w:lang w:eastAsia="en-GB"/>
        </w:rPr>
        <w:t>that these areas are characterized by high oceanographic productivity and are favourable for billfish spawning activity.</w:t>
      </w:r>
    </w:p>
    <w:p w14:paraId="4EF3ED91" w14:textId="25A73D0A" w:rsidR="00655412" w:rsidRPr="00655412" w:rsidRDefault="19F2D607"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ACKNOWLEDGED</w:t>
      </w:r>
      <w:r w:rsidRPr="0666C0EC">
        <w:rPr>
          <w:rFonts w:ascii="Calibri" w:eastAsia="Calibri" w:hAnsi="Calibri" w:cs="Calibri"/>
          <w:color w:val="auto"/>
          <w:lang w:eastAsia="en-GB"/>
        </w:rPr>
        <w:t xml:space="preserve"> the </w:t>
      </w:r>
      <w:r w:rsidR="3261EBB7" w:rsidRPr="0666C0EC">
        <w:rPr>
          <w:rFonts w:ascii="Calibri" w:eastAsia="Calibri" w:hAnsi="Calibri" w:cs="Calibri"/>
          <w:color w:val="auto"/>
          <w:lang w:eastAsia="en-GB"/>
        </w:rPr>
        <w:t xml:space="preserve">research which also </w:t>
      </w:r>
      <w:r w:rsidRPr="0666C0EC">
        <w:rPr>
          <w:rFonts w:ascii="Calibri" w:eastAsia="Calibri" w:hAnsi="Calibri" w:cs="Calibri"/>
          <w:color w:val="auto"/>
          <w:lang w:eastAsia="en-GB"/>
        </w:rPr>
        <w:t>use of genomic DNA to identify species and classify them using COI and CR-based phylogenetic trees.</w:t>
      </w:r>
    </w:p>
    <w:p w14:paraId="6F70F1A9" w14:textId="547B493F" w:rsidR="00655412" w:rsidRPr="00655412" w:rsidRDefault="68DCCA2B"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study did not identify spatial differences in fecundity, and suggested that future research should consider analysing regional variation in movement patterns</w:t>
      </w:r>
    </w:p>
    <w:p w14:paraId="13918852" w14:textId="407D1F3A" w:rsidR="00655412" w:rsidRPr="00655412" w:rsidRDefault="665CF794"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further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spawning season</w:t>
      </w:r>
      <w:r w:rsidR="00A811E5">
        <w:rPr>
          <w:rFonts w:ascii="Calibri" w:eastAsia="Calibri" w:hAnsi="Calibri" w:cs="Calibri"/>
          <w:color w:val="auto"/>
          <w:lang w:eastAsia="en-GB"/>
        </w:rPr>
        <w:t xml:space="preserve"> for blue marlin</w:t>
      </w:r>
      <w:r w:rsidRPr="0666C0EC">
        <w:rPr>
          <w:rFonts w:ascii="Calibri" w:eastAsia="Calibri" w:hAnsi="Calibri" w:cs="Calibri"/>
          <w:color w:val="auto"/>
          <w:lang w:eastAsia="en-GB"/>
        </w:rPr>
        <w:t>, likely associated with a decline in GSI (gonadosomatic index), is estimated to occur between August and September.</w:t>
      </w:r>
    </w:p>
    <w:p w14:paraId="29A68EBD" w14:textId="0DC1E2A4" w:rsidR="00655412" w:rsidRPr="00655412" w:rsidRDefault="7FC0B00D"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The</w:t>
      </w:r>
      <w:r w:rsidR="665CF794" w:rsidRPr="0666C0EC">
        <w:rPr>
          <w:rFonts w:ascii="Calibri" w:eastAsia="Calibri" w:hAnsi="Calibri" w:cs="Calibri"/>
          <w:color w:val="auto"/>
          <w:lang w:eastAsia="en-GB"/>
        </w:rPr>
        <w:t xml:space="preserve"> </w:t>
      </w:r>
      <w:r w:rsidR="7CE6F5B7" w:rsidRPr="0666C0EC">
        <w:rPr>
          <w:rFonts w:ascii="Calibri" w:eastAsia="Calibri" w:hAnsi="Calibri" w:cs="Calibri"/>
          <w:color w:val="auto"/>
          <w:lang w:eastAsia="en-GB"/>
        </w:rPr>
        <w:t xml:space="preserve">WPB </w:t>
      </w:r>
      <w:r w:rsidR="665CF794" w:rsidRPr="0666C0EC">
        <w:rPr>
          <w:rFonts w:ascii="Calibri" w:eastAsia="Calibri" w:hAnsi="Calibri" w:cs="Calibri"/>
          <w:color w:val="auto"/>
          <w:lang w:eastAsia="en-GB"/>
        </w:rPr>
        <w:t xml:space="preserve">also </w:t>
      </w:r>
      <w:r w:rsidR="665CF794" w:rsidRPr="0666C0EC">
        <w:rPr>
          <w:rFonts w:ascii="Calibri" w:eastAsia="Calibri" w:hAnsi="Calibri" w:cs="Calibri"/>
          <w:b/>
          <w:bCs/>
          <w:color w:val="auto"/>
          <w:lang w:eastAsia="en-GB"/>
        </w:rPr>
        <w:t>NOTED</w:t>
      </w:r>
      <w:r w:rsidR="665CF794" w:rsidRPr="0666C0EC">
        <w:rPr>
          <w:rFonts w:ascii="Calibri" w:eastAsia="Calibri" w:hAnsi="Calibri" w:cs="Calibri"/>
          <w:color w:val="auto"/>
          <w:lang w:eastAsia="en-GB"/>
        </w:rPr>
        <w:t xml:space="preserve"> that the gonad and stomach samples analysed in the study were collected from coastal areas, primarily from longline and gillnet fisheries.</w:t>
      </w:r>
    </w:p>
    <w:p w14:paraId="4ED7CC73" w14:textId="0903A921" w:rsidR="00655412" w:rsidRPr="00655412" w:rsidRDefault="4AA45C08"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results of this analysis are broadly consistent with findings from similar research conducted in the Pacific.</w:t>
      </w:r>
    </w:p>
    <w:p w14:paraId="4A868548" w14:textId="720FFA4E" w:rsidR="004763B1" w:rsidRPr="00906464" w:rsidRDefault="00606A0F" w:rsidP="004763B1">
      <w:pPr>
        <w:pStyle w:val="IOTCReportNormalNumbered"/>
        <w:spacing w:after="120"/>
        <w:ind w:left="540" w:hanging="540"/>
        <w:rPr>
          <w:rFonts w:ascii="Calibri" w:eastAsia="Calibri" w:hAnsi="Calibri" w:cs="Calibri"/>
          <w:color w:val="auto"/>
          <w:szCs w:val="22"/>
          <w:lang w:eastAsia="en-GB"/>
        </w:rPr>
      </w:pPr>
      <w:r w:rsidRPr="1EA925F2">
        <w:rPr>
          <w:rFonts w:ascii="Calibri" w:eastAsia="Calibri" w:hAnsi="Calibri" w:cs="Calibri"/>
          <w:color w:val="auto"/>
          <w:szCs w:val="22"/>
          <w:lang w:eastAsia="en-GB"/>
        </w:rPr>
        <w:t xml:space="preserve">The WPB </w:t>
      </w:r>
      <w:r w:rsidRPr="1EA925F2">
        <w:rPr>
          <w:rFonts w:ascii="Calibri" w:eastAsia="Calibri" w:hAnsi="Calibri" w:cs="Calibri"/>
          <w:b/>
          <w:bCs/>
          <w:color w:val="auto"/>
          <w:szCs w:val="22"/>
          <w:lang w:eastAsia="en-GB"/>
        </w:rPr>
        <w:t xml:space="preserve">NOTED </w:t>
      </w:r>
      <w:r w:rsidRPr="1EA925F2">
        <w:rPr>
          <w:rFonts w:ascii="Calibri" w:eastAsia="Calibri" w:hAnsi="Calibri" w:cs="Calibri"/>
          <w:color w:val="auto"/>
          <w:szCs w:val="22"/>
          <w:lang w:eastAsia="en-GB"/>
        </w:rPr>
        <w:t xml:space="preserve">paper </w:t>
      </w:r>
      <w:hyperlink r:id="rId38" w:history="1">
        <w:r w:rsidR="00655412" w:rsidRPr="009D1A40">
          <w:rPr>
            <w:rStyle w:val="Hyperlink"/>
            <w:rFonts w:ascii="Calibri" w:eastAsia="Calibri" w:hAnsi="Calibri" w:cs="Calibri"/>
            <w:lang w:eastAsia="en-GB"/>
          </w:rPr>
          <w:t>IOTC-2025-WPB23-11</w:t>
        </w:r>
      </w:hyperlink>
      <w:r w:rsidR="00451123">
        <w:rPr>
          <w:rFonts w:ascii="Calibri" w:eastAsia="Calibri" w:hAnsi="Calibri" w:cs="Calibri"/>
          <w:color w:val="auto"/>
          <w:lang w:eastAsia="en-GB"/>
        </w:rPr>
        <w:t>, which summarises</w:t>
      </w:r>
      <w:r w:rsidR="00451123" w:rsidRPr="00655412">
        <w:rPr>
          <w:rFonts w:ascii="Calibri" w:eastAsia="Calibri" w:hAnsi="Calibri" w:cs="Calibri"/>
          <w:color w:val="auto"/>
          <w:lang w:eastAsia="en-GB"/>
        </w:rPr>
        <w:t xml:space="preserve"> </w:t>
      </w:r>
      <w:r w:rsidR="00451123">
        <w:rPr>
          <w:rFonts w:ascii="Calibri" w:eastAsia="Calibri" w:hAnsi="Calibri" w:cs="Calibri"/>
          <w:color w:val="auto"/>
          <w:lang w:eastAsia="en-GB"/>
        </w:rPr>
        <w:t>b</w:t>
      </w:r>
      <w:r w:rsidR="00655412" w:rsidRPr="00655412">
        <w:rPr>
          <w:rFonts w:ascii="Calibri" w:eastAsia="Calibri" w:hAnsi="Calibri" w:cs="Calibri"/>
          <w:color w:val="auto"/>
          <w:lang w:eastAsia="en-GB"/>
        </w:rPr>
        <w:t>illfish landing by foreign IOTC fishing vessels at Thai fishing ports during 2020 – 2024</w:t>
      </w:r>
      <w:r w:rsidR="00451123">
        <w:rPr>
          <w:rFonts w:ascii="Calibri" w:eastAsia="Calibri" w:hAnsi="Calibri" w:cs="Calibri"/>
          <w:color w:val="auto"/>
          <w:lang w:eastAsia="en-GB"/>
        </w:rPr>
        <w:t xml:space="preserve">, </w:t>
      </w:r>
      <w:r w:rsidR="00655412" w:rsidRPr="00655412">
        <w:rPr>
          <w:rFonts w:ascii="Calibri" w:eastAsia="Calibri" w:hAnsi="Calibri" w:cs="Calibri"/>
          <w:color w:val="auto"/>
          <w:lang w:eastAsia="en-GB"/>
        </w:rPr>
        <w:t xml:space="preserve"> </w:t>
      </w:r>
      <w:r w:rsidR="004763B1" w:rsidRPr="1EA925F2">
        <w:rPr>
          <w:rFonts w:ascii="Calibri" w:eastAsia="Calibri" w:hAnsi="Calibri" w:cs="Calibri"/>
          <w:color w:val="auto"/>
          <w:szCs w:val="22"/>
          <w:lang w:eastAsia="en-GB"/>
        </w:rPr>
        <w:t xml:space="preserve">with the following abstract provided by the authors: </w:t>
      </w:r>
    </w:p>
    <w:p w14:paraId="25B3EA6F" w14:textId="75EFC59D" w:rsidR="004763B1" w:rsidRPr="00023DE6" w:rsidRDefault="17000CB9" w:rsidP="004763B1">
      <w:pPr>
        <w:pStyle w:val="IOTCReportNormalNumbered"/>
        <w:numPr>
          <w:ilvl w:val="0"/>
          <w:numId w:val="0"/>
        </w:numPr>
        <w:spacing w:after="120" w:line="259" w:lineRule="auto"/>
        <w:ind w:left="900"/>
        <w:rPr>
          <w:rFonts w:ascii="Calibri" w:eastAsia="Calibri" w:hAnsi="Calibri" w:cs="Calibri"/>
        </w:rPr>
      </w:pPr>
      <w:r w:rsidRPr="0666C0EC">
        <w:rPr>
          <w:rFonts w:ascii="Calibri" w:hAnsi="Calibri" w:cs="Calibri"/>
          <w:i/>
          <w:iCs/>
          <w:color w:val="000000" w:themeColor="text1"/>
          <w:lang w:eastAsia="en-GB"/>
        </w:rPr>
        <w:t>“</w:t>
      </w:r>
      <w:r w:rsidR="4CBA732B" w:rsidRPr="0666C0EC">
        <w:rPr>
          <w:rFonts w:ascii="Calibri" w:hAnsi="Calibri" w:cs="Calibri"/>
          <w:i/>
          <w:iCs/>
          <w:color w:val="000000" w:themeColor="text1"/>
          <w:lang w:eastAsia="en-GB"/>
        </w:rPr>
        <w:t>This study analyzed billfish landing data from foreign fishing vessels at the Thai designated fishing ports in 2020 - 2024. The total of 62,118 tons of fish catching in the IOTC area were landed in Thailand. Most of the catch was skipjack tuna, yellowfin tuna, and bigeye tuna, which made up 99% of all landings. Billfish were accounted for 0.63% of the total landing and only reported in three years: 2020, 2021, and 2023. The highest landing was in 2020 with 244 tons, then it decreased each year. Six billfish species were found: swordfish, Indo-Pacific sailfish, blue marlin, black marlin, striped marlin, and white marlin. Swordfish was the most common in billfish landing, followed by Indo-Pacific sailfish and blue marlin. Most billfish landing in 2020-2021 were whole fish, but they were mostly processed with gills and guts removed in 2023. The results show that billfish landings from foreign vessels have been declining over time</w:t>
      </w:r>
      <w:r w:rsidRPr="0666C0EC">
        <w:rPr>
          <w:rFonts w:ascii="Calibri" w:hAnsi="Calibri" w:cs="Calibri"/>
          <w:i/>
          <w:iCs/>
          <w:color w:val="000000" w:themeColor="text1"/>
          <w:lang w:eastAsia="en-GB"/>
        </w:rPr>
        <w:t>”</w:t>
      </w:r>
    </w:p>
    <w:p w14:paraId="47CB3C55" w14:textId="622B8EDE" w:rsidR="00655412" w:rsidRPr="00655412" w:rsidRDefault="02564CA0"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The WPB</w:t>
      </w:r>
      <w:r w:rsidR="442CD226" w:rsidRPr="0666C0EC">
        <w:rPr>
          <w:rFonts w:ascii="Calibri" w:eastAsia="Calibri" w:hAnsi="Calibri" w:cs="Calibri"/>
          <w:color w:val="auto"/>
          <w:lang w:eastAsia="en-GB"/>
        </w:rPr>
        <w:t xml:space="preserve"> </w:t>
      </w:r>
      <w:r w:rsidR="442CD226" w:rsidRPr="0666C0EC">
        <w:rPr>
          <w:rFonts w:ascii="Calibri" w:eastAsia="Calibri" w:hAnsi="Calibri" w:cs="Calibri"/>
          <w:b/>
          <w:bCs/>
          <w:color w:val="auto"/>
          <w:lang w:eastAsia="en-GB"/>
        </w:rPr>
        <w:t>THANKED</w:t>
      </w:r>
      <w:r w:rsidR="442CD226" w:rsidRPr="0666C0EC">
        <w:rPr>
          <w:rFonts w:ascii="Calibri" w:eastAsia="Calibri" w:hAnsi="Calibri" w:cs="Calibri"/>
          <w:color w:val="auto"/>
          <w:lang w:eastAsia="en-GB"/>
        </w:rPr>
        <w:t xml:space="preserve"> the author for the analysis presented, which outline the tren</w:t>
      </w:r>
      <w:r w:rsidR="036B6441" w:rsidRPr="0666C0EC">
        <w:rPr>
          <w:rFonts w:ascii="Calibri" w:eastAsia="Calibri" w:hAnsi="Calibri" w:cs="Calibri"/>
          <w:color w:val="auto"/>
          <w:lang w:eastAsia="en-GB"/>
        </w:rPr>
        <w:t>d of billfish catch data from foreign vessels landing in Thailand.</w:t>
      </w:r>
    </w:p>
    <w:p w14:paraId="07B4CC90" w14:textId="73FFB956" w:rsidR="7E5EA114" w:rsidRDefault="7E5EA114"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it is not currently possible to determine the exact fisheries of origin for these catches, as such information is not recorded, although catch data are documented during inspections.</w:t>
      </w:r>
    </w:p>
    <w:p w14:paraId="72DDF963" w14:textId="60F261E4" w:rsidR="62FDF816" w:rsidRDefault="62FDF816"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SUGGESTED</w:t>
      </w:r>
      <w:r w:rsidRPr="0666C0EC">
        <w:rPr>
          <w:rFonts w:ascii="Calibri" w:eastAsia="Calibri" w:hAnsi="Calibri" w:cs="Calibri"/>
          <w:color w:val="auto"/>
          <w:lang w:eastAsia="en-GB"/>
        </w:rPr>
        <w:t xml:space="preserve"> that incorporating size measurements could be considered in future studies to enhance knowledge on the fish lan</w:t>
      </w:r>
      <w:r w:rsidR="2B4148F5" w:rsidRPr="0666C0EC">
        <w:rPr>
          <w:rFonts w:ascii="Calibri" w:eastAsia="Calibri" w:hAnsi="Calibri" w:cs="Calibri"/>
          <w:color w:val="auto"/>
          <w:lang w:eastAsia="en-GB"/>
        </w:rPr>
        <w:t>ded</w:t>
      </w:r>
      <w:r w:rsidRPr="0666C0EC">
        <w:rPr>
          <w:rFonts w:ascii="Calibri" w:eastAsia="Calibri" w:hAnsi="Calibri" w:cs="Calibri"/>
          <w:color w:val="auto"/>
          <w:lang w:eastAsia="en-GB"/>
        </w:rPr>
        <w:t>.</w:t>
      </w:r>
    </w:p>
    <w:p w14:paraId="13DA5B3F" w14:textId="5F02C9E6" w:rsidR="62FDF816" w:rsidRDefault="62FDF816"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also </w:t>
      </w:r>
      <w:r w:rsidR="6131F72B"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observed decrease in billfish catches from vessels landing in Thailand may be related to changes in the demand and supply dynamics of fish for Thai canneries.</w:t>
      </w:r>
    </w:p>
    <w:p w14:paraId="01F34BCF" w14:textId="295F2C02" w:rsidR="004763B1" w:rsidRPr="00906464" w:rsidRDefault="00606A0F" w:rsidP="004763B1">
      <w:pPr>
        <w:pStyle w:val="IOTCReportNormalNumbered"/>
        <w:spacing w:after="120"/>
        <w:ind w:left="540" w:hanging="540"/>
        <w:rPr>
          <w:rFonts w:ascii="Calibri" w:eastAsia="Calibri" w:hAnsi="Calibri" w:cs="Calibri"/>
          <w:color w:val="auto"/>
          <w:szCs w:val="22"/>
          <w:lang w:eastAsia="en-GB"/>
        </w:rPr>
      </w:pPr>
      <w:r w:rsidRPr="1EA925F2">
        <w:rPr>
          <w:rFonts w:ascii="Calibri" w:eastAsia="Calibri" w:hAnsi="Calibri" w:cs="Calibri"/>
          <w:color w:val="auto"/>
          <w:szCs w:val="22"/>
          <w:lang w:eastAsia="en-GB"/>
        </w:rPr>
        <w:t xml:space="preserve">The WPB </w:t>
      </w:r>
      <w:r w:rsidRPr="1EA925F2">
        <w:rPr>
          <w:rFonts w:ascii="Calibri" w:eastAsia="Calibri" w:hAnsi="Calibri" w:cs="Calibri"/>
          <w:b/>
          <w:bCs/>
          <w:color w:val="auto"/>
          <w:szCs w:val="22"/>
          <w:lang w:eastAsia="en-GB"/>
        </w:rPr>
        <w:t xml:space="preserve">NOTED </w:t>
      </w:r>
      <w:r w:rsidRPr="1EA925F2">
        <w:rPr>
          <w:rFonts w:ascii="Calibri" w:eastAsia="Calibri" w:hAnsi="Calibri" w:cs="Calibri"/>
          <w:color w:val="auto"/>
          <w:szCs w:val="22"/>
          <w:lang w:eastAsia="en-GB"/>
        </w:rPr>
        <w:t xml:space="preserve">paper </w:t>
      </w:r>
      <w:hyperlink r:id="rId39" w:history="1">
        <w:r w:rsidR="00655412" w:rsidRPr="00C6521C">
          <w:rPr>
            <w:rStyle w:val="Hyperlink"/>
            <w:rFonts w:ascii="Calibri" w:eastAsia="Calibri" w:hAnsi="Calibri" w:cs="Calibri"/>
            <w:lang w:eastAsia="en-GB"/>
          </w:rPr>
          <w:t>IOTC-2025-WPB23-12</w:t>
        </w:r>
      </w:hyperlink>
      <w:r w:rsidR="00C6521C">
        <w:rPr>
          <w:rFonts w:ascii="Calibri" w:eastAsia="Calibri" w:hAnsi="Calibri" w:cs="Calibri"/>
          <w:color w:val="auto"/>
          <w:lang w:eastAsia="en-GB"/>
        </w:rPr>
        <w:t>, which</w:t>
      </w:r>
      <w:r w:rsidR="00923689">
        <w:rPr>
          <w:rFonts w:ascii="Calibri" w:eastAsia="Calibri" w:hAnsi="Calibri" w:cs="Calibri"/>
          <w:color w:val="auto"/>
          <w:lang w:eastAsia="en-GB"/>
        </w:rPr>
        <w:t xml:space="preserve"> summarises</w:t>
      </w:r>
      <w:r w:rsidR="00923689" w:rsidRPr="00655412">
        <w:rPr>
          <w:rFonts w:ascii="Calibri" w:eastAsia="Calibri" w:hAnsi="Calibri" w:cs="Calibri"/>
          <w:color w:val="auto"/>
          <w:lang w:eastAsia="en-GB"/>
        </w:rPr>
        <w:t xml:space="preserve"> </w:t>
      </w:r>
      <w:r w:rsidR="00923689">
        <w:rPr>
          <w:rFonts w:ascii="Calibri" w:eastAsia="Calibri" w:hAnsi="Calibri" w:cs="Calibri"/>
          <w:color w:val="auto"/>
          <w:lang w:eastAsia="en-GB"/>
        </w:rPr>
        <w:t>s</w:t>
      </w:r>
      <w:r w:rsidR="00655412" w:rsidRPr="00655412">
        <w:rPr>
          <w:rFonts w:ascii="Calibri" w:eastAsia="Calibri" w:hAnsi="Calibri" w:cs="Calibri"/>
          <w:color w:val="auto"/>
          <w:lang w:eastAsia="en-GB"/>
        </w:rPr>
        <w:t xml:space="preserve">patial temporal distribution of </w:t>
      </w:r>
      <w:r w:rsidR="00A43B17">
        <w:rPr>
          <w:rFonts w:ascii="Calibri" w:eastAsia="Calibri" w:hAnsi="Calibri" w:cs="Calibri"/>
          <w:color w:val="auto"/>
          <w:lang w:eastAsia="en-GB"/>
        </w:rPr>
        <w:t>s</w:t>
      </w:r>
      <w:r w:rsidR="00655412" w:rsidRPr="00655412">
        <w:rPr>
          <w:rFonts w:ascii="Calibri" w:eastAsia="Calibri" w:hAnsi="Calibri" w:cs="Calibri"/>
          <w:color w:val="auto"/>
          <w:lang w:eastAsia="en-GB"/>
        </w:rPr>
        <w:t>wordfish</w:t>
      </w:r>
      <w:r w:rsidR="00A43B17">
        <w:rPr>
          <w:rFonts w:ascii="Calibri" w:eastAsia="Calibri" w:hAnsi="Calibri" w:cs="Calibri"/>
          <w:color w:val="auto"/>
          <w:lang w:eastAsia="en-GB"/>
        </w:rPr>
        <w:t xml:space="preserve"> </w:t>
      </w:r>
      <w:r w:rsidR="00655412" w:rsidRPr="00655412">
        <w:rPr>
          <w:rFonts w:ascii="Calibri" w:eastAsia="Calibri" w:hAnsi="Calibri" w:cs="Calibri"/>
          <w:color w:val="auto"/>
          <w:lang w:eastAsia="en-GB"/>
        </w:rPr>
        <w:t>catches and catch rates from the Kenyan industrial longline fishery</w:t>
      </w:r>
      <w:r w:rsidR="00A43B17">
        <w:rPr>
          <w:rFonts w:ascii="Calibri" w:eastAsia="Calibri" w:hAnsi="Calibri" w:cs="Calibri"/>
          <w:color w:val="auto"/>
          <w:lang w:eastAsia="en-GB"/>
        </w:rPr>
        <w:t>,</w:t>
      </w:r>
      <w:r w:rsidR="00655412" w:rsidRPr="00655412">
        <w:rPr>
          <w:rFonts w:ascii="Calibri" w:eastAsia="Calibri" w:hAnsi="Calibri" w:cs="Calibri"/>
          <w:color w:val="auto"/>
          <w:lang w:eastAsia="en-GB"/>
        </w:rPr>
        <w:t xml:space="preserve"> </w:t>
      </w:r>
      <w:r w:rsidR="004763B1" w:rsidRPr="1EA925F2">
        <w:rPr>
          <w:rFonts w:ascii="Calibri" w:eastAsia="Calibri" w:hAnsi="Calibri" w:cs="Calibri"/>
          <w:color w:val="auto"/>
          <w:szCs w:val="22"/>
          <w:lang w:eastAsia="en-GB"/>
        </w:rPr>
        <w:t xml:space="preserve">with the following abstract provided by the authors: </w:t>
      </w:r>
    </w:p>
    <w:p w14:paraId="5AD65993" w14:textId="1943E386" w:rsidR="00655412" w:rsidRPr="008D27AE" w:rsidRDefault="004763B1" w:rsidP="008D27AE">
      <w:pPr>
        <w:pStyle w:val="IOTCReportNormalNumbered"/>
        <w:numPr>
          <w:ilvl w:val="0"/>
          <w:numId w:val="0"/>
        </w:numPr>
        <w:spacing w:after="120" w:line="259" w:lineRule="auto"/>
        <w:ind w:left="900"/>
        <w:rPr>
          <w:rFonts w:ascii="Calibri" w:hAnsi="Calibri" w:cs="Calibri"/>
          <w:i/>
          <w:iCs/>
          <w:color w:val="000000" w:themeColor="text1"/>
          <w:lang w:eastAsia="en-GB"/>
        </w:rPr>
      </w:pPr>
      <w:r w:rsidRPr="3F1DEBE1">
        <w:rPr>
          <w:rFonts w:ascii="Calibri" w:hAnsi="Calibri" w:cs="Calibri"/>
          <w:i/>
          <w:iCs/>
          <w:color w:val="000000" w:themeColor="text1"/>
          <w:lang w:eastAsia="en-GB"/>
        </w:rPr>
        <w:t>“</w:t>
      </w:r>
      <w:r w:rsidR="00B32736" w:rsidRPr="00B32736">
        <w:rPr>
          <w:rFonts w:ascii="Calibri" w:hAnsi="Calibri" w:cs="Calibri"/>
          <w:i/>
          <w:iCs/>
          <w:color w:val="000000" w:themeColor="text1"/>
          <w:lang w:eastAsia="en-GB"/>
        </w:rPr>
        <w:t>This study aimed to assess their catches in a spatio-temporal distribution perspective by employing combined approach for longline industrial fishing catch logbooks, fishery-independent data from the national observer scheme between 2022 and December 2024. The annual swordfish landed by Kenyan industrial longliners were 16MT, 261MT, 217MT and 131.5 MT in 2021, 2022, 2023 and 2024 respectively. There was a typical annual cycle in the catch quantities landed, with high values from May to December, and displacement of the fishing operation Southward 39° E to 45° E and 2° S to 5°S. The pattern of the spatial-temporal distribution of fishing and catch rates of swordfish (Xiphias gladius) from the Kenyan industrial longline fleet to be assessed using comparative analysis. The generalized analysis to include variables such as latitude, longitude, date, depth, number of hooks and catches to depict spatial and temporal distribution of catches and catch rates of swordfish</w:t>
      </w:r>
      <w:r w:rsidRPr="3F1DEBE1">
        <w:rPr>
          <w:rFonts w:ascii="Calibri" w:hAnsi="Calibri" w:cs="Calibri"/>
          <w:i/>
          <w:iCs/>
          <w:color w:val="000000" w:themeColor="text1"/>
          <w:lang w:eastAsia="en-GB"/>
        </w:rPr>
        <w:t>”</w:t>
      </w:r>
    </w:p>
    <w:p w14:paraId="54C99941" w14:textId="40825D3D" w:rsidR="301374BD" w:rsidRDefault="301374BD"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THANKED</w:t>
      </w:r>
      <w:r w:rsidRPr="0666C0EC">
        <w:rPr>
          <w:rFonts w:ascii="Calibri" w:eastAsia="Calibri" w:hAnsi="Calibri" w:cs="Calibri"/>
          <w:color w:val="auto"/>
          <w:lang w:eastAsia="en-GB"/>
        </w:rPr>
        <w:t xml:space="preserve"> the authors for the paper analysing the spatial-temporal </w:t>
      </w:r>
      <w:r w:rsidR="4DD19641" w:rsidRPr="0666C0EC">
        <w:rPr>
          <w:rFonts w:ascii="Calibri" w:eastAsia="Calibri" w:hAnsi="Calibri" w:cs="Calibri"/>
          <w:color w:val="auto"/>
          <w:lang w:eastAsia="en-GB"/>
        </w:rPr>
        <w:t xml:space="preserve">distribution of </w:t>
      </w:r>
      <w:r w:rsidR="415D367F" w:rsidRPr="0666C0EC">
        <w:rPr>
          <w:rFonts w:ascii="Calibri" w:eastAsia="Calibri" w:hAnsi="Calibri" w:cs="Calibri"/>
          <w:color w:val="auto"/>
          <w:lang w:eastAsia="en-GB"/>
        </w:rPr>
        <w:t>swordfish</w:t>
      </w:r>
      <w:r w:rsidR="4DD19641" w:rsidRPr="0666C0EC">
        <w:rPr>
          <w:rFonts w:ascii="Calibri" w:eastAsia="Calibri" w:hAnsi="Calibri" w:cs="Calibri"/>
          <w:color w:val="auto"/>
          <w:lang w:eastAsia="en-GB"/>
        </w:rPr>
        <w:t xml:space="preserve"> catch from Kenya longline fishery, </w:t>
      </w:r>
      <w:r w:rsidR="4DD19641" w:rsidRPr="0666C0EC">
        <w:rPr>
          <w:rFonts w:ascii="Calibri" w:eastAsia="Calibri" w:hAnsi="Calibri" w:cs="Calibri"/>
          <w:b/>
          <w:bCs/>
          <w:color w:val="auto"/>
          <w:lang w:eastAsia="en-GB"/>
        </w:rPr>
        <w:t>NOTING</w:t>
      </w:r>
      <w:r w:rsidR="4AB77696" w:rsidRPr="0666C0EC">
        <w:rPr>
          <w:rFonts w:ascii="Calibri" w:eastAsia="Calibri" w:hAnsi="Calibri" w:cs="Calibri"/>
          <w:color w:val="auto"/>
          <w:lang w:eastAsia="en-GB"/>
        </w:rPr>
        <w:t xml:space="preserve"> the combined data approach of the logbook </w:t>
      </w:r>
      <w:r w:rsidR="6BC82158" w:rsidRPr="0666C0EC">
        <w:rPr>
          <w:rFonts w:ascii="Calibri" w:eastAsia="Calibri" w:hAnsi="Calibri" w:cs="Calibri"/>
          <w:color w:val="auto"/>
          <w:lang w:eastAsia="en-GB"/>
        </w:rPr>
        <w:t xml:space="preserve">data </w:t>
      </w:r>
      <w:r w:rsidR="4AB77696" w:rsidRPr="0666C0EC">
        <w:rPr>
          <w:rFonts w:ascii="Calibri" w:eastAsia="Calibri" w:hAnsi="Calibri" w:cs="Calibri"/>
          <w:color w:val="auto"/>
          <w:lang w:eastAsia="en-GB"/>
        </w:rPr>
        <w:t>and observer data of the longline vessels</w:t>
      </w:r>
      <w:r w:rsidR="376C05F7" w:rsidRPr="0666C0EC">
        <w:rPr>
          <w:rFonts w:ascii="Calibri" w:eastAsia="Calibri" w:hAnsi="Calibri" w:cs="Calibri"/>
          <w:color w:val="auto"/>
          <w:lang w:eastAsia="en-GB"/>
        </w:rPr>
        <w:t>.</w:t>
      </w:r>
    </w:p>
    <w:p w14:paraId="773B6BBF" w14:textId="336D04DD" w:rsidR="05B2D375" w:rsidRDefault="05B2D375"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lastRenderedPageBreak/>
        <w:t xml:space="preserve">The WPB </w:t>
      </w:r>
      <w:r w:rsidRPr="0666C0EC">
        <w:rPr>
          <w:rFonts w:ascii="Calibri" w:eastAsia="Calibri" w:hAnsi="Calibri" w:cs="Calibri"/>
          <w:b/>
          <w:bCs/>
          <w:color w:val="auto"/>
          <w:lang w:eastAsia="en-GB"/>
        </w:rPr>
        <w:t xml:space="preserve">NOTED </w:t>
      </w:r>
      <w:r w:rsidRPr="0666C0EC">
        <w:rPr>
          <w:rFonts w:ascii="Calibri" w:eastAsia="Calibri" w:hAnsi="Calibri" w:cs="Calibri"/>
          <w:color w:val="auto"/>
          <w:lang w:eastAsia="en-GB"/>
        </w:rPr>
        <w:t>that the study should also consider changes in target species, in addition to environmental factors, that may be influencing swordfish catches by longline vessels.</w:t>
      </w:r>
    </w:p>
    <w:p w14:paraId="4CAC4356" w14:textId="4CA75794" w:rsidR="05B2D375" w:rsidRDefault="05B2D375"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further </w:t>
      </w:r>
      <w:r w:rsidRPr="0666C0EC">
        <w:rPr>
          <w:rFonts w:ascii="Calibri" w:eastAsia="Calibri" w:hAnsi="Calibri" w:cs="Calibri"/>
          <w:b/>
          <w:bCs/>
          <w:color w:val="auto"/>
          <w:lang w:eastAsia="en-GB"/>
        </w:rPr>
        <w:t xml:space="preserve">NOTED </w:t>
      </w:r>
      <w:r w:rsidRPr="0666C0EC">
        <w:rPr>
          <w:rFonts w:ascii="Calibri" w:eastAsia="Calibri" w:hAnsi="Calibri" w:cs="Calibri"/>
          <w:color w:val="auto"/>
          <w:lang w:eastAsia="en-GB"/>
        </w:rPr>
        <w:t>that the sex of the fish was not considered in the analysis, which limits understanding of the size distribution between males and females.</w:t>
      </w:r>
    </w:p>
    <w:p w14:paraId="54B2B20A" w14:textId="2A17D550" w:rsidR="44CF076E" w:rsidRDefault="44CF076E"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there were certain seasons during which vessels did not </w:t>
      </w:r>
      <w:r w:rsidR="2493969C" w:rsidRPr="0666C0EC">
        <w:rPr>
          <w:rFonts w:ascii="Calibri" w:eastAsia="Calibri" w:hAnsi="Calibri" w:cs="Calibri"/>
          <w:color w:val="auto"/>
          <w:lang w:eastAsia="en-GB"/>
        </w:rPr>
        <w:t>operate, and</w:t>
      </w:r>
      <w:r w:rsidR="115DFDC7" w:rsidRPr="0666C0EC">
        <w:rPr>
          <w:rFonts w:ascii="Calibri" w:eastAsia="Calibri" w:hAnsi="Calibri" w:cs="Calibri"/>
          <w:color w:val="auto"/>
          <w:lang w:eastAsia="en-GB"/>
        </w:rPr>
        <w:t xml:space="preserve"> further</w:t>
      </w:r>
      <w:r w:rsidRPr="0666C0EC">
        <w:rPr>
          <w:rFonts w:ascii="Calibri" w:eastAsia="Calibri" w:hAnsi="Calibri" w:cs="Calibri"/>
          <w:color w:val="auto"/>
          <w:lang w:eastAsia="en-GB"/>
        </w:rPr>
        <w:t xml:space="preserve"> </w:t>
      </w:r>
      <w:r w:rsidR="0A4921F4" w:rsidRPr="0666C0EC">
        <w:rPr>
          <w:rFonts w:ascii="Calibri" w:eastAsia="Calibri" w:hAnsi="Calibri" w:cs="Calibri"/>
          <w:b/>
          <w:bCs/>
          <w:color w:val="auto"/>
          <w:lang w:eastAsia="en-GB"/>
        </w:rPr>
        <w:t>NOT</w:t>
      </w:r>
      <w:r w:rsidR="226DD2B3" w:rsidRPr="0666C0EC">
        <w:rPr>
          <w:rFonts w:ascii="Calibri" w:eastAsia="Calibri" w:hAnsi="Calibri" w:cs="Calibri"/>
          <w:b/>
          <w:bCs/>
          <w:color w:val="auto"/>
          <w:lang w:eastAsia="en-GB"/>
        </w:rPr>
        <w:t>ED</w:t>
      </w:r>
      <w:r w:rsidR="0A4921F4" w:rsidRPr="0666C0EC">
        <w:rPr>
          <w:rFonts w:ascii="Calibri" w:eastAsia="Calibri" w:hAnsi="Calibri" w:cs="Calibri"/>
          <w:color w:val="auto"/>
          <w:lang w:eastAsia="en-GB"/>
        </w:rPr>
        <w:t xml:space="preserve"> that</w:t>
      </w:r>
      <w:r w:rsidRPr="0666C0EC">
        <w:rPr>
          <w:rFonts w:ascii="Calibri" w:eastAsia="Calibri" w:hAnsi="Calibri" w:cs="Calibri"/>
          <w:color w:val="auto"/>
          <w:lang w:eastAsia="en-GB"/>
        </w:rPr>
        <w:t xml:space="preserve"> swordfish hotspots</w:t>
      </w:r>
      <w:r w:rsidR="37DDF539" w:rsidRPr="0666C0EC">
        <w:rPr>
          <w:rFonts w:ascii="Calibri" w:eastAsia="Calibri" w:hAnsi="Calibri" w:cs="Calibri"/>
          <w:color w:val="auto"/>
          <w:lang w:eastAsia="en-GB"/>
        </w:rPr>
        <w:t xml:space="preserve"> were identified into some </w:t>
      </w:r>
      <w:r w:rsidR="181D79B0" w:rsidRPr="0666C0EC">
        <w:rPr>
          <w:rFonts w:ascii="Calibri" w:eastAsia="Calibri" w:hAnsi="Calibri" w:cs="Calibri"/>
          <w:color w:val="auto"/>
          <w:lang w:eastAsia="en-GB"/>
        </w:rPr>
        <w:t>specific seasons</w:t>
      </w:r>
      <w:r w:rsidRPr="0666C0EC">
        <w:rPr>
          <w:rFonts w:ascii="Calibri" w:eastAsia="Calibri" w:hAnsi="Calibri" w:cs="Calibri"/>
          <w:color w:val="auto"/>
          <w:lang w:eastAsia="en-GB"/>
        </w:rPr>
        <w:t>.</w:t>
      </w:r>
    </w:p>
    <w:p w14:paraId="1E0217C3" w14:textId="0245492F" w:rsidR="4FD9D8BB" w:rsidRDefault="4FD9D8BB"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ACKNOWLEDGED</w:t>
      </w:r>
      <w:r w:rsidRPr="0666C0EC">
        <w:rPr>
          <w:rFonts w:ascii="Calibri" w:eastAsia="Calibri" w:hAnsi="Calibri" w:cs="Calibri"/>
          <w:color w:val="auto"/>
          <w:lang w:eastAsia="en-GB"/>
        </w:rPr>
        <w:t xml:space="preserve"> that the study has the potential to provide useful information to fishers, including: optimal fishing seasons; identified hotspots for swordfish; and guidance on vessel deployment to minimize environmental impact.</w:t>
      </w:r>
    </w:p>
    <w:p w14:paraId="7B84FF2F" w14:textId="0F3914BD" w:rsidR="644994E4" w:rsidRDefault="644994E4"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Additionally, the WPB </w:t>
      </w:r>
      <w:r w:rsidRPr="0666C0EC">
        <w:rPr>
          <w:rFonts w:ascii="Calibri" w:eastAsia="Calibri" w:hAnsi="Calibri" w:cs="Calibri"/>
          <w:b/>
          <w:bCs/>
          <w:color w:val="auto"/>
          <w:lang w:eastAsia="en-GB"/>
        </w:rPr>
        <w:t xml:space="preserve">NOTED </w:t>
      </w:r>
      <w:r w:rsidRPr="0666C0EC">
        <w:rPr>
          <w:rFonts w:ascii="Calibri" w:eastAsia="Calibri" w:hAnsi="Calibri" w:cs="Calibri"/>
          <w:color w:val="auto"/>
          <w:lang w:eastAsia="en-GB"/>
        </w:rPr>
        <w:t>that targeting fishing activities based on knowledge of fishing grounds could help reduce search time and improve operational efficiency, with less enviro</w:t>
      </w:r>
      <w:r w:rsidR="7064F038" w:rsidRPr="0666C0EC">
        <w:rPr>
          <w:rFonts w:ascii="Calibri" w:eastAsia="Calibri" w:hAnsi="Calibri" w:cs="Calibri"/>
          <w:color w:val="auto"/>
          <w:lang w:eastAsia="en-GB"/>
        </w:rPr>
        <w:t>n</w:t>
      </w:r>
      <w:r w:rsidRPr="0666C0EC">
        <w:rPr>
          <w:rFonts w:ascii="Calibri" w:eastAsia="Calibri" w:hAnsi="Calibri" w:cs="Calibri"/>
          <w:color w:val="auto"/>
          <w:lang w:eastAsia="en-GB"/>
        </w:rPr>
        <w:t>mental impact.</w:t>
      </w:r>
    </w:p>
    <w:p w14:paraId="7D92C3CA" w14:textId="60BDC652" w:rsidR="004763B1" w:rsidRPr="00906464" w:rsidRDefault="00606A0F" w:rsidP="004763B1">
      <w:pPr>
        <w:pStyle w:val="IOTCReportNormalNumbered"/>
        <w:spacing w:after="120"/>
        <w:ind w:left="540" w:hanging="540"/>
        <w:rPr>
          <w:rFonts w:ascii="Calibri" w:eastAsia="Calibri" w:hAnsi="Calibri" w:cs="Calibri"/>
          <w:color w:val="auto"/>
          <w:szCs w:val="22"/>
          <w:lang w:eastAsia="en-GB"/>
        </w:rPr>
      </w:pPr>
      <w:r w:rsidRPr="1EA925F2">
        <w:rPr>
          <w:rFonts w:ascii="Calibri" w:eastAsia="Calibri" w:hAnsi="Calibri" w:cs="Calibri"/>
          <w:color w:val="auto"/>
          <w:szCs w:val="22"/>
          <w:lang w:eastAsia="en-GB"/>
        </w:rPr>
        <w:t xml:space="preserve">The WPB </w:t>
      </w:r>
      <w:r w:rsidRPr="1EA925F2">
        <w:rPr>
          <w:rFonts w:ascii="Calibri" w:eastAsia="Calibri" w:hAnsi="Calibri" w:cs="Calibri"/>
          <w:b/>
          <w:bCs/>
          <w:color w:val="auto"/>
          <w:szCs w:val="22"/>
          <w:lang w:eastAsia="en-GB"/>
        </w:rPr>
        <w:t xml:space="preserve">NOTED </w:t>
      </w:r>
      <w:r w:rsidRPr="1EA925F2">
        <w:rPr>
          <w:rFonts w:ascii="Calibri" w:eastAsia="Calibri" w:hAnsi="Calibri" w:cs="Calibri"/>
          <w:color w:val="auto"/>
          <w:szCs w:val="22"/>
          <w:lang w:eastAsia="en-GB"/>
        </w:rPr>
        <w:t xml:space="preserve">paper </w:t>
      </w:r>
      <w:hyperlink r:id="rId40" w:history="1">
        <w:r w:rsidR="00655412" w:rsidRPr="000A6A0B">
          <w:rPr>
            <w:rStyle w:val="Hyperlink"/>
            <w:rFonts w:ascii="Calibri" w:eastAsia="Calibri" w:hAnsi="Calibri" w:cs="Calibri"/>
            <w:lang w:eastAsia="en-GB"/>
          </w:rPr>
          <w:t>IOTC-2025-WPB23-13</w:t>
        </w:r>
      </w:hyperlink>
      <w:r w:rsidR="000A6A0B">
        <w:rPr>
          <w:rFonts w:ascii="Calibri" w:eastAsia="Calibri" w:hAnsi="Calibri" w:cs="Calibri"/>
          <w:color w:val="auto"/>
          <w:lang w:eastAsia="en-GB"/>
        </w:rPr>
        <w:t>, which summarises</w:t>
      </w:r>
      <w:r w:rsidR="00655412" w:rsidRPr="00655412">
        <w:rPr>
          <w:rFonts w:ascii="Calibri" w:eastAsia="Calibri" w:hAnsi="Calibri" w:cs="Calibri"/>
          <w:color w:val="auto"/>
          <w:lang w:eastAsia="en-GB"/>
        </w:rPr>
        <w:t xml:space="preserve"> </w:t>
      </w:r>
      <w:r w:rsidR="000A6A0B">
        <w:rPr>
          <w:rFonts w:ascii="Calibri" w:eastAsia="Calibri" w:hAnsi="Calibri" w:cs="Calibri"/>
          <w:color w:val="auto"/>
          <w:lang w:eastAsia="en-GB"/>
        </w:rPr>
        <w:t>s</w:t>
      </w:r>
      <w:r w:rsidR="00655412" w:rsidRPr="00655412">
        <w:rPr>
          <w:rFonts w:ascii="Calibri" w:eastAsia="Calibri" w:hAnsi="Calibri" w:cs="Calibri"/>
          <w:color w:val="auto"/>
          <w:lang w:eastAsia="en-GB"/>
        </w:rPr>
        <w:t>patial-temporal Trends of Sailfish catch Rates in the Sri Lankan Tuna Longline Fishery</w:t>
      </w:r>
      <w:r w:rsidR="000A6A0B">
        <w:rPr>
          <w:rFonts w:ascii="Calibri" w:eastAsia="Calibri" w:hAnsi="Calibri" w:cs="Calibri"/>
          <w:color w:val="auto"/>
          <w:lang w:eastAsia="en-GB"/>
        </w:rPr>
        <w:t>,</w:t>
      </w:r>
      <w:r w:rsidR="004763B1" w:rsidRPr="004763B1">
        <w:rPr>
          <w:rFonts w:ascii="Calibri" w:eastAsia="Calibri" w:hAnsi="Calibri" w:cs="Calibri"/>
          <w:color w:val="auto"/>
          <w:szCs w:val="22"/>
          <w:lang w:eastAsia="en-GB"/>
        </w:rPr>
        <w:t xml:space="preserve"> </w:t>
      </w:r>
      <w:r w:rsidR="004763B1" w:rsidRPr="1EA925F2">
        <w:rPr>
          <w:rFonts w:ascii="Calibri" w:eastAsia="Calibri" w:hAnsi="Calibri" w:cs="Calibri"/>
          <w:color w:val="auto"/>
          <w:szCs w:val="22"/>
          <w:lang w:eastAsia="en-GB"/>
        </w:rPr>
        <w:t xml:space="preserve">with the following abstract provided by the authors: </w:t>
      </w:r>
    </w:p>
    <w:p w14:paraId="3110068B" w14:textId="0D887961" w:rsidR="00655412" w:rsidRPr="003F6A29" w:rsidRDefault="17000CB9" w:rsidP="003F6A29">
      <w:pPr>
        <w:pStyle w:val="IOTCReportNormalNumbered"/>
        <w:numPr>
          <w:ilvl w:val="0"/>
          <w:numId w:val="0"/>
        </w:numPr>
        <w:spacing w:after="120" w:line="259" w:lineRule="auto"/>
        <w:ind w:left="900"/>
        <w:rPr>
          <w:rFonts w:ascii="Calibri" w:eastAsia="Calibri" w:hAnsi="Calibri" w:cs="Calibri"/>
        </w:rPr>
      </w:pPr>
      <w:r w:rsidRPr="0666C0EC">
        <w:rPr>
          <w:rFonts w:ascii="Calibri" w:hAnsi="Calibri" w:cs="Calibri"/>
          <w:i/>
          <w:iCs/>
          <w:color w:val="000000" w:themeColor="text1"/>
          <w:lang w:eastAsia="en-GB"/>
        </w:rPr>
        <w:t>“</w:t>
      </w:r>
      <w:r w:rsidR="3E36FD74" w:rsidRPr="0666C0EC">
        <w:rPr>
          <w:rFonts w:ascii="Calibri" w:hAnsi="Calibri" w:cs="Calibri"/>
          <w:i/>
          <w:iCs/>
          <w:color w:val="000000" w:themeColor="text1"/>
          <w:lang w:eastAsia="en-GB"/>
        </w:rPr>
        <w:t>Sailfish (Istiophorus platypterus) is an apex predator inhabiting pelagic waters above thermocline are often caught as by-catch in tuna longline fisheries. Spatial and temporal trends of sailfish catch rates of tuna longline fishery of Sri Lanka in relation to environmental variables were investigated using general linear models (GLM), generalized additive models (GAM) and machine learning algorithms such as Random Forest (RF) and Gradient Boosted Trees (GRF). This analysis utilise logbook data consists of 17625 non-zero catch fishing operations from January 2016 to December 2019 in the northern and central Indian ocean</w:t>
      </w:r>
      <w:r w:rsidRPr="0666C0EC">
        <w:rPr>
          <w:rFonts w:ascii="Calibri" w:hAnsi="Calibri" w:cs="Calibri"/>
          <w:i/>
          <w:iCs/>
          <w:color w:val="000000" w:themeColor="text1"/>
          <w:lang w:eastAsia="en-GB"/>
        </w:rPr>
        <w:t>”</w:t>
      </w:r>
      <w:r w:rsidR="3E36FD74" w:rsidRPr="0666C0EC">
        <w:rPr>
          <w:rFonts w:ascii="Calibri" w:hAnsi="Calibri" w:cs="Calibri"/>
          <w:i/>
          <w:iCs/>
          <w:color w:val="000000" w:themeColor="text1"/>
          <w:lang w:eastAsia="en-GB"/>
        </w:rPr>
        <w:t>.</w:t>
      </w:r>
      <w:r w:rsidR="2BA10459" w:rsidRPr="0666C0EC">
        <w:rPr>
          <w:rFonts w:ascii="Calibri" w:hAnsi="Calibri" w:cs="Calibri"/>
          <w:i/>
          <w:iCs/>
          <w:color w:val="000000" w:themeColor="text1"/>
          <w:lang w:eastAsia="en-GB"/>
        </w:rPr>
        <w:t xml:space="preserve"> </w:t>
      </w:r>
      <w:r w:rsidR="3E36FD74" w:rsidRPr="0666C0EC">
        <w:rPr>
          <w:rFonts w:ascii="Calibri" w:hAnsi="Calibri" w:cs="Calibri"/>
          <w:i/>
          <w:iCs/>
          <w:color w:val="000000" w:themeColor="text1"/>
          <w:lang w:eastAsia="en-GB"/>
        </w:rPr>
        <w:t>see the paper for the full abstract.</w:t>
      </w:r>
    </w:p>
    <w:bookmarkEnd w:id="44"/>
    <w:p w14:paraId="0A986821" w14:textId="0B477CA5" w:rsidR="00720999" w:rsidRPr="00702E45" w:rsidRDefault="1F9A8A93"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185F9B34" w:rsidRPr="0666C0EC">
        <w:rPr>
          <w:rFonts w:ascii="Calibri" w:eastAsia="Calibri" w:hAnsi="Calibri" w:cs="Calibri"/>
          <w:b/>
          <w:bCs/>
          <w:color w:val="auto"/>
          <w:lang w:eastAsia="en-GB"/>
        </w:rPr>
        <w:t xml:space="preserve">THANKED </w:t>
      </w:r>
      <w:r w:rsidR="185F9B34" w:rsidRPr="0666C0EC">
        <w:rPr>
          <w:rFonts w:ascii="Calibri" w:eastAsia="Calibri" w:hAnsi="Calibri" w:cs="Calibri"/>
          <w:color w:val="auto"/>
          <w:lang w:eastAsia="en-GB"/>
        </w:rPr>
        <w:t>the authors for the paper highlighting</w:t>
      </w:r>
      <w:r w:rsidR="47BF7570" w:rsidRPr="0666C0EC">
        <w:rPr>
          <w:rFonts w:ascii="Calibri" w:eastAsia="Calibri" w:hAnsi="Calibri" w:cs="Calibri"/>
          <w:color w:val="auto"/>
          <w:lang w:eastAsia="en-GB"/>
        </w:rPr>
        <w:t xml:space="preserve"> </w:t>
      </w:r>
      <w:r w:rsidR="47BF7570" w:rsidRPr="0666C0EC">
        <w:rPr>
          <w:rFonts w:ascii="Calibri" w:eastAsia="Calibri" w:hAnsi="Calibri" w:cs="Calibri"/>
          <w:color w:val="auto"/>
          <w:szCs w:val="22"/>
          <w:lang w:eastAsia="en-GB"/>
        </w:rPr>
        <w:t>how</w:t>
      </w:r>
      <w:r w:rsidR="185F9B34" w:rsidRPr="0666C0EC">
        <w:rPr>
          <w:rFonts w:ascii="Calibri" w:eastAsia="Calibri" w:hAnsi="Calibri" w:cs="Calibri"/>
          <w:color w:val="auto"/>
          <w:szCs w:val="22"/>
          <w:lang w:eastAsia="en-GB"/>
        </w:rPr>
        <w:t xml:space="preserve"> the spatio-temporal and environmental factors are essential drivers of sailfish catch rates, </w:t>
      </w:r>
      <w:r w:rsidR="6FB18B96" w:rsidRPr="0666C0EC">
        <w:rPr>
          <w:rFonts w:ascii="Calibri" w:eastAsia="Calibri" w:hAnsi="Calibri" w:cs="Calibri"/>
          <w:color w:val="auto"/>
          <w:szCs w:val="22"/>
          <w:lang w:eastAsia="en-GB"/>
        </w:rPr>
        <w:t xml:space="preserve">providing </w:t>
      </w:r>
      <w:r w:rsidR="185F9B34" w:rsidRPr="0666C0EC">
        <w:rPr>
          <w:rFonts w:ascii="Calibri" w:eastAsia="Calibri" w:hAnsi="Calibri" w:cs="Calibri"/>
          <w:color w:val="auto"/>
          <w:szCs w:val="22"/>
          <w:lang w:eastAsia="en-GB"/>
        </w:rPr>
        <w:t>vital information for the sustainable management of the incidental sailfish fishery.</w:t>
      </w:r>
    </w:p>
    <w:p w14:paraId="42D5693D" w14:textId="6F40F095" w:rsidR="00720999" w:rsidRPr="00702E45" w:rsidRDefault="7E0236F8"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several models were compared in the study, incorporating environmental variables and multiple parameters to identify the best-fitting model. </w:t>
      </w:r>
      <w:r w:rsidRPr="0666C0EC">
        <w:rPr>
          <w:rFonts w:ascii="Calibri" w:eastAsia="Calibri" w:hAnsi="Calibri" w:cs="Calibri"/>
          <w:b/>
          <w:bCs/>
          <w:color w:val="auto"/>
          <w:lang w:eastAsia="en-GB"/>
        </w:rPr>
        <w:t>NOTING</w:t>
      </w:r>
      <w:r w:rsidRPr="0666C0EC">
        <w:rPr>
          <w:rFonts w:ascii="Calibri" w:eastAsia="Calibri" w:hAnsi="Calibri" w:cs="Calibri"/>
          <w:color w:val="auto"/>
          <w:lang w:eastAsia="en-GB"/>
        </w:rPr>
        <w:t xml:space="preserve"> however, that SSD (Size Structure Data) were not considered in the analysis.</w:t>
      </w:r>
    </w:p>
    <w:p w14:paraId="3B58366E" w14:textId="1B767D3F" w:rsidR="00720999" w:rsidRPr="00702E45" w:rsidRDefault="7E0236F8"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each model produced different outputs, with the Generalized Additive Model (GAM) providing the best explanatory power.</w:t>
      </w:r>
    </w:p>
    <w:p w14:paraId="195870FB" w14:textId="2863E385" w:rsidR="00720999" w:rsidRPr="00702E45" w:rsidRDefault="7E0236F8"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pre-filtered dataset contained a large number of zero-catch observations, which was attributed to Indo-Pacific sailfish being a bycatch species in tuna fisheries.</w:t>
      </w:r>
    </w:p>
    <w:p w14:paraId="06A42A85" w14:textId="17CF0246" w:rsidR="00720999" w:rsidRPr="00702E45" w:rsidRDefault="1780EF23"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the spatial-temporal distribution patterns of sailfish, highlighting a peak in CPUE between June and July, followed by a decline in catch rates between August and September, coinciding with the end of the southwest monsoon.</w:t>
      </w:r>
    </w:p>
    <w:p w14:paraId="4C82FFA7" w14:textId="378933B4" w:rsidR="00720999" w:rsidRPr="00702E45" w:rsidRDefault="1780EF23"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w:t>
      </w:r>
      <w:r w:rsidRPr="0666C0EC">
        <w:rPr>
          <w:rFonts w:ascii="Calibri" w:eastAsia="Calibri" w:hAnsi="Calibri" w:cs="Calibri"/>
          <w:b/>
          <w:bCs/>
          <w:color w:val="auto"/>
          <w:lang w:eastAsia="en-GB"/>
        </w:rPr>
        <w:t>ACKNOWLEDGED</w:t>
      </w:r>
      <w:r w:rsidRPr="0666C0EC">
        <w:rPr>
          <w:rFonts w:ascii="Calibri" w:eastAsia="Calibri" w:hAnsi="Calibri" w:cs="Calibri"/>
          <w:color w:val="auto"/>
          <w:lang w:eastAsia="en-GB"/>
        </w:rPr>
        <w:t xml:space="preserve"> the need to improve standardized methodologies for CPUE estimation.</w:t>
      </w:r>
    </w:p>
    <w:p w14:paraId="2A185301" w14:textId="3582D0C3" w:rsidR="00720999" w:rsidRPr="00702E45" w:rsidRDefault="33761C7E"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The WPB further </w:t>
      </w:r>
      <w:r w:rsidRPr="0666C0EC">
        <w:rPr>
          <w:rFonts w:ascii="Calibri" w:eastAsia="Calibri" w:hAnsi="Calibri" w:cs="Calibri"/>
          <w:b/>
          <w:bCs/>
          <w:color w:val="auto"/>
          <w:lang w:eastAsia="en-GB"/>
        </w:rPr>
        <w:t>NOTED</w:t>
      </w:r>
      <w:r w:rsidRPr="0666C0EC">
        <w:rPr>
          <w:rFonts w:ascii="Calibri" w:eastAsia="Calibri" w:hAnsi="Calibri" w:cs="Calibri"/>
          <w:color w:val="auto"/>
          <w:lang w:eastAsia="en-GB"/>
        </w:rPr>
        <w:t xml:space="preserve"> that the joint indices data presented were highly informative and </w:t>
      </w:r>
      <w:r w:rsidRPr="0666C0EC">
        <w:rPr>
          <w:rFonts w:ascii="Calibri" w:eastAsia="Calibri" w:hAnsi="Calibri" w:cs="Calibri"/>
          <w:b/>
          <w:bCs/>
          <w:color w:val="auto"/>
          <w:lang w:eastAsia="en-GB"/>
        </w:rPr>
        <w:t>SUGGESTED</w:t>
      </w:r>
      <w:r w:rsidRPr="0666C0EC">
        <w:rPr>
          <w:rFonts w:ascii="Calibri" w:eastAsia="Calibri" w:hAnsi="Calibri" w:cs="Calibri"/>
          <w:color w:val="auto"/>
          <w:lang w:eastAsia="en-GB"/>
        </w:rPr>
        <w:t xml:space="preserve"> that similar data might be available from other countries.</w:t>
      </w:r>
    </w:p>
    <w:p w14:paraId="2F51EB97" w14:textId="29B832F8" w:rsidR="00720999" w:rsidRPr="00702E45" w:rsidRDefault="33761C7E" w:rsidP="0666C0EC">
      <w:pPr>
        <w:pStyle w:val="IOTCReportNormalNumbered"/>
        <w:spacing w:after="120"/>
        <w:ind w:left="540" w:hanging="540"/>
        <w:rPr>
          <w:rFonts w:ascii="Calibri" w:eastAsia="Calibri" w:hAnsi="Calibri" w:cs="Calibri"/>
          <w:color w:val="auto"/>
          <w:lang w:eastAsia="en-GB"/>
        </w:rPr>
      </w:pPr>
      <w:r w:rsidRPr="0666C0EC">
        <w:rPr>
          <w:rFonts w:ascii="Calibri" w:eastAsia="Calibri" w:hAnsi="Calibri" w:cs="Calibri"/>
          <w:color w:val="auto"/>
          <w:lang w:eastAsia="en-GB"/>
        </w:rPr>
        <w:t xml:space="preserve">Finally, the WPB </w:t>
      </w:r>
      <w:r w:rsidRPr="0666C0EC">
        <w:rPr>
          <w:rFonts w:ascii="Calibri" w:eastAsia="Calibri" w:hAnsi="Calibri" w:cs="Calibri"/>
          <w:b/>
          <w:bCs/>
          <w:color w:val="auto"/>
          <w:lang w:eastAsia="en-GB"/>
        </w:rPr>
        <w:t>ACKNOWLEDGED</w:t>
      </w:r>
      <w:r w:rsidRPr="0666C0EC">
        <w:rPr>
          <w:rFonts w:ascii="Calibri" w:eastAsia="Calibri" w:hAnsi="Calibri" w:cs="Calibri"/>
          <w:color w:val="auto"/>
          <w:lang w:eastAsia="en-GB"/>
        </w:rPr>
        <w:t xml:space="preserve"> that multiple parameters are needed to detect fish abandon, </w:t>
      </w:r>
      <w:r w:rsidRPr="0666C0EC">
        <w:rPr>
          <w:rFonts w:ascii="Calibri" w:eastAsia="Calibri" w:hAnsi="Calibri" w:cs="Calibri"/>
          <w:b/>
          <w:bCs/>
          <w:color w:val="auto"/>
          <w:lang w:eastAsia="en-GB"/>
        </w:rPr>
        <w:t>CONSIDERING</w:t>
      </w:r>
      <w:r w:rsidRPr="0666C0EC">
        <w:rPr>
          <w:rFonts w:ascii="Calibri" w:eastAsia="Calibri" w:hAnsi="Calibri" w:cs="Calibri"/>
          <w:color w:val="auto"/>
          <w:lang w:eastAsia="en-GB"/>
        </w:rPr>
        <w:t xml:space="preserve"> the importance of incorporating fishing strategies into such analyses.</w:t>
      </w:r>
    </w:p>
    <w:p w14:paraId="7750B91E" w14:textId="324E4A77" w:rsidR="00800F2D" w:rsidRPr="00800F2D" w:rsidRDefault="006538D6" w:rsidP="00800F2D">
      <w:pPr>
        <w:pStyle w:val="IOTCAgendaH1"/>
        <w:keepNext w:val="0"/>
        <w:rPr>
          <w:rFonts w:ascii="Calibri" w:hAnsi="Calibri" w:cs="Calibri"/>
        </w:rPr>
      </w:pPr>
      <w:bookmarkStart w:id="45" w:name="_Toc84598492"/>
      <w:bookmarkStart w:id="46" w:name="_Toc210218010"/>
      <w:r>
        <w:rPr>
          <w:rFonts w:ascii="Calibri" w:hAnsi="Calibri" w:cs="Calibri"/>
        </w:rPr>
        <w:t>Marlins (</w:t>
      </w:r>
      <w:r w:rsidRPr="00E42F0F">
        <w:rPr>
          <w:rFonts w:ascii="Calibri" w:hAnsi="Calibri" w:cs="Calibri"/>
        </w:rPr>
        <w:t>Priority species for 202</w:t>
      </w:r>
      <w:r w:rsidR="00BB48D2">
        <w:rPr>
          <w:rFonts w:ascii="Calibri" w:hAnsi="Calibri" w:cs="Calibri"/>
        </w:rPr>
        <w:t>5</w:t>
      </w:r>
      <w:r w:rsidRPr="00E42F0F">
        <w:rPr>
          <w:rFonts w:ascii="Calibri" w:hAnsi="Calibri" w:cs="Calibri"/>
        </w:rPr>
        <w:t xml:space="preserve">: </w:t>
      </w:r>
      <w:r w:rsidR="00FC53DF">
        <w:rPr>
          <w:rFonts w:ascii="Calibri" w:hAnsi="Calibri" w:cs="Calibri"/>
        </w:rPr>
        <w:t>Blue</w:t>
      </w:r>
      <w:r w:rsidRPr="00E42F0F">
        <w:rPr>
          <w:rFonts w:ascii="Calibri" w:hAnsi="Calibri" w:cs="Calibri"/>
        </w:rPr>
        <w:t xml:space="preserve"> marlin and </w:t>
      </w:r>
      <w:r w:rsidR="00FC53DF">
        <w:rPr>
          <w:rFonts w:ascii="Calibri" w:hAnsi="Calibri" w:cs="Calibri"/>
        </w:rPr>
        <w:t>Indo Pacific sailfish</w:t>
      </w:r>
      <w:r w:rsidRPr="00E42F0F">
        <w:rPr>
          <w:rFonts w:ascii="Calibri" w:hAnsi="Calibri" w:cs="Calibri"/>
        </w:rPr>
        <w:t>)</w:t>
      </w:r>
      <w:bookmarkEnd w:id="45"/>
      <w:bookmarkEnd w:id="46"/>
    </w:p>
    <w:p w14:paraId="60EE89F9" w14:textId="01CD996C" w:rsidR="00343A3D" w:rsidRPr="00157DA1" w:rsidRDefault="006538D6" w:rsidP="00157DA1">
      <w:pPr>
        <w:pStyle w:val="IOTCsubheading2"/>
        <w:rPr>
          <w:rFonts w:ascii="Calibri" w:hAnsi="Calibri" w:cs="Calibri"/>
        </w:rPr>
      </w:pPr>
      <w:bookmarkStart w:id="47" w:name="_Toc401976326"/>
      <w:bookmarkStart w:id="48" w:name="_Toc402877876"/>
      <w:bookmarkStart w:id="49" w:name="_Toc402883408"/>
      <w:r w:rsidRPr="00C76ACB">
        <w:rPr>
          <w:rFonts w:ascii="Calibri" w:hAnsi="Calibri" w:cs="Calibri"/>
        </w:rPr>
        <w:t xml:space="preserve">Review </w:t>
      </w:r>
      <w:bookmarkEnd w:id="47"/>
      <w:bookmarkEnd w:id="48"/>
      <w:bookmarkEnd w:id="49"/>
      <w:r w:rsidR="009C0C6A" w:rsidRPr="009C0C6A">
        <w:rPr>
          <w:rFonts w:ascii="Calibri" w:hAnsi="Calibri" w:cs="Calibri"/>
        </w:rPr>
        <w:t>new information on marlin biology, stock structure, fisheries and associated environmental data (all)</w:t>
      </w:r>
    </w:p>
    <w:p w14:paraId="3ECEA555" w14:textId="5955029B" w:rsidR="00343A3D" w:rsidRPr="00906464" w:rsidRDefault="00825F86" w:rsidP="00343A3D">
      <w:pPr>
        <w:pStyle w:val="IOTCReportNormalNumbered"/>
        <w:spacing w:after="120"/>
        <w:ind w:left="540" w:hanging="540"/>
        <w:rPr>
          <w:rFonts w:ascii="Calibri" w:eastAsia="Calibri" w:hAnsi="Calibri" w:cs="Calibri"/>
          <w:color w:val="auto"/>
          <w:szCs w:val="22"/>
          <w:lang w:eastAsia="en-GB"/>
        </w:rPr>
      </w:pPr>
      <w:r w:rsidRPr="1EA925F2">
        <w:rPr>
          <w:rFonts w:ascii="Calibri" w:eastAsia="Calibri" w:hAnsi="Calibri" w:cs="Calibri"/>
          <w:color w:val="auto"/>
          <w:szCs w:val="22"/>
          <w:lang w:eastAsia="en-GB"/>
        </w:rPr>
        <w:t xml:space="preserve">The WPB </w:t>
      </w:r>
      <w:r w:rsidRPr="1EA925F2">
        <w:rPr>
          <w:rFonts w:ascii="Calibri" w:eastAsia="Calibri" w:hAnsi="Calibri" w:cs="Calibri"/>
          <w:b/>
          <w:bCs/>
          <w:color w:val="auto"/>
          <w:szCs w:val="22"/>
          <w:lang w:eastAsia="en-GB"/>
        </w:rPr>
        <w:t xml:space="preserve">NOTED </w:t>
      </w:r>
      <w:r w:rsidRPr="1EA925F2">
        <w:rPr>
          <w:rFonts w:ascii="Calibri" w:eastAsia="Calibri" w:hAnsi="Calibri" w:cs="Calibri"/>
          <w:color w:val="auto"/>
          <w:szCs w:val="22"/>
          <w:lang w:eastAsia="en-GB"/>
        </w:rPr>
        <w:t xml:space="preserve">paper </w:t>
      </w:r>
      <w:hyperlink r:id="rId41" w:history="1">
        <w:r w:rsidR="00343A3D" w:rsidRPr="00CA04A6">
          <w:rPr>
            <w:rStyle w:val="Hyperlink"/>
            <w:rFonts w:ascii="Calibri" w:eastAsia="Calibri" w:hAnsi="Calibri" w:cs="Calibri"/>
            <w:szCs w:val="22"/>
            <w:lang w:eastAsia="en-GB"/>
          </w:rPr>
          <w:t>IOTC-2025-WPB23-24</w:t>
        </w:r>
      </w:hyperlink>
      <w:r w:rsidR="00CA04A6">
        <w:rPr>
          <w:rFonts w:ascii="Calibri" w:eastAsia="Calibri" w:hAnsi="Calibri" w:cs="Calibri"/>
          <w:color w:val="auto"/>
          <w:szCs w:val="22"/>
          <w:lang w:eastAsia="en-GB"/>
        </w:rPr>
        <w:t>, which analysed the o</w:t>
      </w:r>
      <w:r w:rsidR="00343A3D" w:rsidRPr="00343A3D">
        <w:rPr>
          <w:rFonts w:ascii="Calibri" w:eastAsia="Calibri" w:hAnsi="Calibri" w:cs="Calibri"/>
          <w:color w:val="auto"/>
          <w:szCs w:val="22"/>
          <w:lang w:eastAsia="en-GB"/>
        </w:rPr>
        <w:t>n-deck condition and mortality of Indo-Pacific Sailfish</w:t>
      </w:r>
      <w:r w:rsidR="00CA04A6">
        <w:rPr>
          <w:rFonts w:ascii="Calibri" w:eastAsia="Calibri" w:hAnsi="Calibri" w:cs="Calibri"/>
          <w:color w:val="auto"/>
          <w:szCs w:val="22"/>
          <w:lang w:eastAsia="en-GB"/>
        </w:rPr>
        <w:t>,</w:t>
      </w:r>
      <w:r w:rsidR="00343A3D" w:rsidRPr="00343A3D">
        <w:rPr>
          <w:rFonts w:ascii="Calibri" w:eastAsia="Calibri" w:hAnsi="Calibri" w:cs="Calibri"/>
          <w:color w:val="auto"/>
          <w:szCs w:val="22"/>
          <w:lang w:eastAsia="en-GB"/>
        </w:rPr>
        <w:t xml:space="preserve"> in Indian Ocean tuna longline fisheries</w:t>
      </w:r>
      <w:r w:rsidR="00CA04A6">
        <w:rPr>
          <w:rFonts w:ascii="Calibri" w:eastAsia="Calibri" w:hAnsi="Calibri" w:cs="Calibri"/>
          <w:color w:val="auto"/>
          <w:szCs w:val="22"/>
          <w:lang w:eastAsia="en-GB"/>
        </w:rPr>
        <w:t xml:space="preserve">, </w:t>
      </w:r>
      <w:r w:rsidR="00343A3D" w:rsidRPr="1EA925F2">
        <w:rPr>
          <w:rFonts w:ascii="Calibri" w:eastAsia="Calibri" w:hAnsi="Calibri" w:cs="Calibri"/>
          <w:color w:val="auto"/>
          <w:szCs w:val="22"/>
          <w:lang w:eastAsia="en-GB"/>
        </w:rPr>
        <w:t xml:space="preserve">with the following abstract provided by the authors: </w:t>
      </w:r>
    </w:p>
    <w:p w14:paraId="06E82580" w14:textId="354A3609" w:rsidR="0000005C" w:rsidRDefault="00343A3D" w:rsidP="0000005C">
      <w:pPr>
        <w:pStyle w:val="IOTCReportNormalNumbered"/>
        <w:numPr>
          <w:ilvl w:val="0"/>
          <w:numId w:val="0"/>
        </w:numPr>
        <w:spacing w:after="120" w:line="259" w:lineRule="auto"/>
        <w:ind w:left="900"/>
        <w:rPr>
          <w:rFonts w:ascii="Calibri" w:hAnsi="Calibri" w:cs="Calibri"/>
          <w:i/>
          <w:iCs/>
          <w:color w:val="000000" w:themeColor="text1"/>
          <w:lang w:eastAsia="en-GB"/>
        </w:rPr>
      </w:pPr>
      <w:r w:rsidRPr="00863D74">
        <w:rPr>
          <w:rFonts w:ascii="Calibri" w:hAnsi="Calibri" w:cs="Calibri"/>
          <w:i/>
          <w:iCs/>
          <w:color w:val="000000" w:themeColor="text1"/>
          <w:lang w:eastAsia="en-GB"/>
        </w:rPr>
        <w:t>“</w:t>
      </w:r>
      <w:r w:rsidR="00863D74" w:rsidRPr="00863D74">
        <w:rPr>
          <w:rFonts w:ascii="Calibri" w:hAnsi="Calibri" w:cs="Calibri"/>
          <w:i/>
          <w:iCs/>
          <w:color w:val="000000" w:themeColor="text1"/>
          <w:lang w:eastAsia="en-GB"/>
        </w:rPr>
        <w:t xml:space="preserve">The Indo-Pacific sailfish (Istiophorus platypterus), an oceanic pelagic migratory fish species, has been increasingly at risk of overfishing in recent years due to rising fishing pressure. In the Indian Ocean, mandatory release for billfish below specific body lengths has become one of the key conservation management strategies. Nevertheless, current research paradigms largely overlook the physiological </w:t>
      </w:r>
      <w:r w:rsidR="00863D74" w:rsidRPr="00863D74">
        <w:rPr>
          <w:rFonts w:ascii="Calibri" w:hAnsi="Calibri" w:cs="Calibri"/>
          <w:i/>
          <w:iCs/>
          <w:color w:val="000000" w:themeColor="text1"/>
          <w:lang w:eastAsia="en-GB"/>
        </w:rPr>
        <w:lastRenderedPageBreak/>
        <w:t>condition of individuals upon deck retrieval—a critical factor influencing post-release survival. This study analyzes observer data from the Chinese tuna longline fishery collected between 2012 and 2019. A total of 516 Indo-Pacific sailfish captured in the Indian Ocean were assessed for on-deck condition (A1: healthy; A2: lightly injured; A3: severely injured; D: dead), alongside associated environmental factors and operational parameters. Statistical modeling was applied to identify key drivers of individual condition and mortality</w:t>
      </w:r>
      <w:r w:rsidRPr="00863D74">
        <w:rPr>
          <w:rFonts w:ascii="Calibri" w:hAnsi="Calibri" w:cs="Calibri"/>
          <w:i/>
          <w:iCs/>
          <w:color w:val="000000" w:themeColor="text1"/>
          <w:lang w:eastAsia="en-GB"/>
        </w:rPr>
        <w:t>”</w:t>
      </w:r>
      <w:r w:rsidR="00507281">
        <w:rPr>
          <w:rFonts w:ascii="Calibri" w:hAnsi="Calibri" w:cs="Calibri"/>
          <w:i/>
          <w:iCs/>
          <w:color w:val="000000" w:themeColor="text1"/>
          <w:lang w:eastAsia="en-GB"/>
        </w:rPr>
        <w:t>. see the paper for the full abstract.</w:t>
      </w:r>
    </w:p>
    <w:p w14:paraId="7FC2C6F2" w14:textId="734DA977" w:rsidR="0000005C" w:rsidRPr="0000005C" w:rsidRDefault="0000005C" w:rsidP="0000005C">
      <w:pPr>
        <w:pStyle w:val="IOTCReportNormalNumbered"/>
        <w:spacing w:after="120"/>
        <w:ind w:left="540" w:hanging="540"/>
        <w:rPr>
          <w:rFonts w:ascii="Calibri" w:eastAsia="Calibri" w:hAnsi="Calibri" w:cs="Calibri"/>
          <w:color w:val="auto"/>
          <w:szCs w:val="22"/>
          <w:lang w:eastAsia="en-GB"/>
        </w:rPr>
      </w:pPr>
      <w:r w:rsidRPr="0000005C">
        <w:rPr>
          <w:rFonts w:ascii="Calibri" w:eastAsia="Calibri" w:hAnsi="Calibri" w:cs="Calibri"/>
          <w:color w:val="auto"/>
          <w:szCs w:val="22"/>
          <w:lang w:eastAsia="en-GB"/>
        </w:rPr>
        <w:t xml:space="preserve">The WPB </w:t>
      </w:r>
      <w:r w:rsidRPr="1EA925F2">
        <w:rPr>
          <w:rFonts w:ascii="Calibri" w:eastAsia="Calibri" w:hAnsi="Calibri" w:cs="Calibri"/>
          <w:b/>
          <w:bCs/>
          <w:color w:val="auto"/>
          <w:szCs w:val="22"/>
          <w:lang w:eastAsia="en-GB"/>
        </w:rPr>
        <w:t xml:space="preserve">NOTED </w:t>
      </w:r>
      <w:r w:rsidRPr="0000005C">
        <w:rPr>
          <w:rFonts w:ascii="Calibri" w:eastAsia="Calibri" w:hAnsi="Calibri" w:cs="Calibri"/>
          <w:color w:val="auto"/>
          <w:szCs w:val="22"/>
          <w:lang w:eastAsia="en-GB"/>
        </w:rPr>
        <w:t xml:space="preserve">that the study found mortality was higher when mackerel and other bait types were used, while the likelihood of fish being landed in good condition was much greater with sardine bait, likely due to gentler biting behavior. The WPB also </w:t>
      </w:r>
      <w:r w:rsidRPr="0000005C">
        <w:rPr>
          <w:rFonts w:ascii="Calibri" w:eastAsia="Calibri" w:hAnsi="Calibri" w:cs="Calibri"/>
          <w:b/>
          <w:bCs/>
          <w:color w:val="auto"/>
          <w:szCs w:val="22"/>
          <w:lang w:eastAsia="en-GB"/>
        </w:rPr>
        <w:t>NOTED</w:t>
      </w:r>
      <w:r w:rsidRPr="0000005C">
        <w:rPr>
          <w:rFonts w:ascii="Calibri" w:eastAsia="Calibri" w:hAnsi="Calibri" w:cs="Calibri"/>
          <w:color w:val="auto"/>
          <w:szCs w:val="22"/>
          <w:lang w:eastAsia="en-GB"/>
        </w:rPr>
        <w:t xml:space="preserve"> that results indicated circle hooks were associated with slightly lower mortality rates compared to other hook </w:t>
      </w:r>
      <w:r w:rsidR="00B5042A" w:rsidRPr="0000005C">
        <w:rPr>
          <w:rFonts w:ascii="Calibri" w:eastAsia="Calibri" w:hAnsi="Calibri" w:cs="Calibri"/>
          <w:color w:val="auto"/>
          <w:szCs w:val="22"/>
          <w:lang w:eastAsia="en-GB"/>
        </w:rPr>
        <w:t xml:space="preserve">types, </w:t>
      </w:r>
      <w:r w:rsidR="00B5042A">
        <w:rPr>
          <w:rFonts w:ascii="Calibri" w:eastAsia="Calibri" w:hAnsi="Calibri" w:cs="Calibri"/>
          <w:color w:val="auto"/>
          <w:szCs w:val="22"/>
          <w:lang w:eastAsia="en-GB"/>
        </w:rPr>
        <w:t>and</w:t>
      </w:r>
      <w:r w:rsidRPr="0000005C">
        <w:rPr>
          <w:rFonts w:ascii="Calibri" w:eastAsia="Calibri" w:hAnsi="Calibri" w:cs="Calibri"/>
          <w:color w:val="auto"/>
          <w:szCs w:val="22"/>
          <w:lang w:eastAsia="en-GB"/>
        </w:rPr>
        <w:t xml:space="preserve"> further </w:t>
      </w:r>
      <w:r w:rsidRPr="0000005C">
        <w:rPr>
          <w:rFonts w:ascii="Calibri" w:eastAsia="Calibri" w:hAnsi="Calibri" w:cs="Calibri"/>
          <w:b/>
          <w:bCs/>
          <w:color w:val="auto"/>
          <w:szCs w:val="22"/>
          <w:lang w:eastAsia="en-GB"/>
        </w:rPr>
        <w:t>NOTED</w:t>
      </w:r>
      <w:r w:rsidRPr="0000005C">
        <w:rPr>
          <w:rFonts w:ascii="Calibri" w:eastAsia="Calibri" w:hAnsi="Calibri" w:cs="Calibri"/>
          <w:color w:val="auto"/>
          <w:szCs w:val="22"/>
          <w:lang w:eastAsia="en-GB"/>
        </w:rPr>
        <w:t xml:space="preserve"> that condition analysis provided a more informative indicator of post-release survival potential.</w:t>
      </w:r>
    </w:p>
    <w:p w14:paraId="20223221" w14:textId="118285F1" w:rsidR="0000005C" w:rsidRPr="0000005C" w:rsidRDefault="0000005C" w:rsidP="0000005C">
      <w:pPr>
        <w:pStyle w:val="IOTCReportNormalNumbered"/>
        <w:spacing w:after="120"/>
        <w:ind w:left="540" w:hanging="540"/>
        <w:rPr>
          <w:rFonts w:ascii="Calibri" w:eastAsia="Calibri" w:hAnsi="Calibri" w:cs="Calibri"/>
          <w:color w:val="auto"/>
          <w:szCs w:val="22"/>
          <w:lang w:eastAsia="en-GB"/>
        </w:rPr>
      </w:pPr>
      <w:r w:rsidRPr="0000005C">
        <w:rPr>
          <w:rFonts w:ascii="Calibri" w:eastAsia="Calibri" w:hAnsi="Calibri" w:cs="Calibri"/>
          <w:color w:val="auto"/>
          <w:szCs w:val="22"/>
          <w:lang w:eastAsia="en-GB"/>
        </w:rPr>
        <w:t xml:space="preserve">The WPB </w:t>
      </w:r>
      <w:r w:rsidRPr="0000005C">
        <w:rPr>
          <w:rFonts w:ascii="Calibri" w:eastAsia="Calibri" w:hAnsi="Calibri" w:cs="Calibri"/>
          <w:b/>
          <w:bCs/>
          <w:color w:val="auto"/>
          <w:szCs w:val="22"/>
          <w:lang w:eastAsia="en-GB"/>
        </w:rPr>
        <w:t>SUGGESTED</w:t>
      </w:r>
      <w:r w:rsidRPr="0000005C">
        <w:rPr>
          <w:rFonts w:ascii="Calibri" w:eastAsia="Calibri" w:hAnsi="Calibri" w:cs="Calibri"/>
          <w:color w:val="auto"/>
          <w:szCs w:val="22"/>
          <w:lang w:eastAsia="en-GB"/>
        </w:rPr>
        <w:t xml:space="preserve"> that, given the focus on longline fisheries and the bycatch nature of Indo-Pacific sailfish, soak time should be incorporated in future analyses. However, The WPB </w:t>
      </w:r>
      <w:r w:rsidRPr="0000005C">
        <w:rPr>
          <w:rFonts w:ascii="Calibri" w:eastAsia="Calibri" w:hAnsi="Calibri" w:cs="Calibri"/>
          <w:b/>
          <w:bCs/>
          <w:color w:val="auto"/>
          <w:szCs w:val="22"/>
          <w:lang w:eastAsia="en-GB"/>
        </w:rPr>
        <w:t>NOTED</w:t>
      </w:r>
      <w:r w:rsidRPr="0000005C">
        <w:rPr>
          <w:rFonts w:ascii="Calibri" w:eastAsia="Calibri" w:hAnsi="Calibri" w:cs="Calibri"/>
          <w:color w:val="auto"/>
          <w:szCs w:val="22"/>
          <w:lang w:eastAsia="en-GB"/>
        </w:rPr>
        <w:t xml:space="preserve"> that soak time is not necessarily indicative of how long an animal has remained on the line.</w:t>
      </w:r>
    </w:p>
    <w:p w14:paraId="5B5DA523" w14:textId="05276DCD" w:rsidR="0000005C" w:rsidRPr="0000005C" w:rsidRDefault="0000005C" w:rsidP="0000005C">
      <w:pPr>
        <w:pStyle w:val="IOTCReportNormalNumbered"/>
        <w:spacing w:after="120"/>
        <w:ind w:left="540" w:hanging="540"/>
        <w:rPr>
          <w:rFonts w:ascii="Calibri" w:eastAsia="Calibri" w:hAnsi="Calibri" w:cs="Calibri"/>
          <w:color w:val="auto"/>
          <w:szCs w:val="22"/>
          <w:lang w:eastAsia="en-GB"/>
        </w:rPr>
      </w:pPr>
      <w:r w:rsidRPr="0000005C">
        <w:rPr>
          <w:rFonts w:ascii="Calibri" w:eastAsia="Calibri" w:hAnsi="Calibri" w:cs="Calibri"/>
          <w:color w:val="auto"/>
          <w:szCs w:val="22"/>
          <w:lang w:eastAsia="en-GB"/>
        </w:rPr>
        <w:t xml:space="preserve">The WPB </w:t>
      </w:r>
      <w:r w:rsidRPr="0000005C">
        <w:rPr>
          <w:rFonts w:ascii="Calibri" w:eastAsia="Calibri" w:hAnsi="Calibri" w:cs="Calibri"/>
          <w:b/>
          <w:bCs/>
          <w:color w:val="auto"/>
          <w:szCs w:val="22"/>
          <w:lang w:eastAsia="en-GB"/>
        </w:rPr>
        <w:t>QUERIED</w:t>
      </w:r>
      <w:r w:rsidRPr="0000005C">
        <w:rPr>
          <w:rFonts w:ascii="Calibri" w:eastAsia="Calibri" w:hAnsi="Calibri" w:cs="Calibri"/>
          <w:color w:val="auto"/>
          <w:szCs w:val="22"/>
          <w:lang w:eastAsia="en-GB"/>
        </w:rPr>
        <w:t xml:space="preserve"> why temperature had not been included as an explanatory variable. The authors explained that latitude had been used instead since these are highly correlated, and that latitude provided a better fit. The WPB considered it may be useful to test temperature directly to examine its potential effects. </w:t>
      </w:r>
    </w:p>
    <w:p w14:paraId="1B8813A8" w14:textId="5B6BE7D7" w:rsidR="0000005C" w:rsidRPr="0000005C" w:rsidRDefault="0000005C" w:rsidP="0000005C">
      <w:pPr>
        <w:pStyle w:val="IOTCReportNormalNumbered"/>
        <w:spacing w:after="120"/>
        <w:ind w:left="540" w:hanging="540"/>
        <w:rPr>
          <w:rFonts w:ascii="Calibri" w:eastAsia="Calibri" w:hAnsi="Calibri" w:cs="Calibri"/>
          <w:color w:val="auto"/>
          <w:szCs w:val="22"/>
          <w:lang w:eastAsia="en-GB"/>
        </w:rPr>
      </w:pPr>
      <w:r w:rsidRPr="0000005C">
        <w:rPr>
          <w:rFonts w:ascii="Calibri" w:eastAsia="Calibri" w:hAnsi="Calibri" w:cs="Calibri"/>
          <w:color w:val="auto"/>
          <w:szCs w:val="22"/>
          <w:lang w:eastAsia="en-GB"/>
        </w:rPr>
        <w:t xml:space="preserve">The WPB also </w:t>
      </w:r>
      <w:r w:rsidRPr="0000005C">
        <w:rPr>
          <w:rFonts w:ascii="Calibri" w:eastAsia="Calibri" w:hAnsi="Calibri" w:cs="Calibri"/>
          <w:b/>
          <w:bCs/>
          <w:color w:val="auto"/>
          <w:szCs w:val="22"/>
          <w:lang w:eastAsia="en-GB"/>
        </w:rPr>
        <w:t>SUGGESTED</w:t>
      </w:r>
      <w:r w:rsidRPr="0000005C">
        <w:rPr>
          <w:rFonts w:ascii="Calibri" w:eastAsia="Calibri" w:hAnsi="Calibri" w:cs="Calibri"/>
          <w:color w:val="auto"/>
          <w:szCs w:val="22"/>
          <w:lang w:eastAsia="en-GB"/>
        </w:rPr>
        <w:t xml:space="preserve"> that the analysis should test the effect of including the number of hooks per basket in the model.</w:t>
      </w:r>
    </w:p>
    <w:p w14:paraId="1A8CA076" w14:textId="3900D9A3" w:rsidR="0000005C" w:rsidRDefault="0000005C" w:rsidP="0000005C">
      <w:pPr>
        <w:pStyle w:val="IOTCReportNormalNumbered"/>
        <w:spacing w:after="120"/>
        <w:ind w:left="540" w:hanging="540"/>
        <w:rPr>
          <w:rFonts w:ascii="Calibri" w:eastAsia="Calibri" w:hAnsi="Calibri" w:cs="Calibri"/>
          <w:color w:val="auto"/>
          <w:szCs w:val="22"/>
          <w:lang w:eastAsia="en-GB"/>
        </w:rPr>
      </w:pPr>
      <w:r w:rsidRPr="0000005C">
        <w:rPr>
          <w:rFonts w:ascii="Calibri" w:eastAsia="Calibri" w:hAnsi="Calibri" w:cs="Calibri"/>
          <w:color w:val="auto"/>
          <w:szCs w:val="22"/>
          <w:lang w:eastAsia="en-GB"/>
        </w:rPr>
        <w:t xml:space="preserve">The WPB </w:t>
      </w:r>
      <w:r w:rsidRPr="0000005C">
        <w:rPr>
          <w:rFonts w:ascii="Calibri" w:eastAsia="Calibri" w:hAnsi="Calibri" w:cs="Calibri"/>
          <w:b/>
          <w:bCs/>
          <w:color w:val="auto"/>
          <w:szCs w:val="22"/>
          <w:lang w:eastAsia="en-GB"/>
        </w:rPr>
        <w:t>AGREED</w:t>
      </w:r>
      <w:r w:rsidRPr="0000005C">
        <w:rPr>
          <w:rFonts w:ascii="Calibri" w:eastAsia="Calibri" w:hAnsi="Calibri" w:cs="Calibri"/>
          <w:color w:val="auto"/>
          <w:szCs w:val="22"/>
          <w:lang w:eastAsia="en-GB"/>
        </w:rPr>
        <w:t xml:space="preserve"> that this type of study is important for highlighting the influence of bait type, which is often excluded from similar analyses, and welcomed the inclusion of both hook type and bait type in the assessment. The WPB also </w:t>
      </w:r>
      <w:r w:rsidRPr="0000005C">
        <w:rPr>
          <w:rFonts w:ascii="Calibri" w:eastAsia="Calibri" w:hAnsi="Calibri" w:cs="Calibri"/>
          <w:b/>
          <w:bCs/>
          <w:color w:val="auto"/>
          <w:szCs w:val="22"/>
          <w:lang w:eastAsia="en-GB"/>
        </w:rPr>
        <w:t>ENCOURAGED</w:t>
      </w:r>
      <w:r w:rsidRPr="0000005C">
        <w:rPr>
          <w:rFonts w:ascii="Calibri" w:eastAsia="Calibri" w:hAnsi="Calibri" w:cs="Calibri"/>
          <w:color w:val="auto"/>
          <w:szCs w:val="22"/>
          <w:lang w:eastAsia="en-GB"/>
        </w:rPr>
        <w:t xml:space="preserve"> the authors to conduct similar analyses on </w:t>
      </w:r>
      <w:r w:rsidR="00C3677B">
        <w:rPr>
          <w:rFonts w:ascii="Calibri" w:eastAsia="Calibri" w:hAnsi="Calibri" w:cs="Calibri"/>
          <w:color w:val="auto"/>
          <w:szCs w:val="22"/>
          <w:lang w:eastAsia="en-GB"/>
        </w:rPr>
        <w:t>billfish</w:t>
      </w:r>
      <w:r w:rsidRPr="0000005C">
        <w:rPr>
          <w:rFonts w:ascii="Calibri" w:eastAsia="Calibri" w:hAnsi="Calibri" w:cs="Calibri"/>
          <w:color w:val="auto"/>
          <w:szCs w:val="22"/>
          <w:lang w:eastAsia="en-GB"/>
        </w:rPr>
        <w:t xml:space="preserve"> species, </w:t>
      </w:r>
      <w:r w:rsidR="00C3677B">
        <w:rPr>
          <w:rFonts w:ascii="Calibri" w:eastAsia="Calibri" w:hAnsi="Calibri" w:cs="Calibri"/>
          <w:color w:val="auto"/>
          <w:szCs w:val="22"/>
          <w:lang w:eastAsia="en-GB"/>
        </w:rPr>
        <w:t>including</w:t>
      </w:r>
      <w:r w:rsidRPr="0000005C">
        <w:rPr>
          <w:rFonts w:ascii="Calibri" w:eastAsia="Calibri" w:hAnsi="Calibri" w:cs="Calibri"/>
          <w:color w:val="auto"/>
          <w:szCs w:val="22"/>
          <w:lang w:eastAsia="en-GB"/>
        </w:rPr>
        <w:t xml:space="preserve"> blue marlin</w:t>
      </w:r>
      <w:r>
        <w:rPr>
          <w:rFonts w:ascii="Calibri" w:eastAsia="Calibri" w:hAnsi="Calibri" w:cs="Calibri"/>
          <w:color w:val="auto"/>
          <w:szCs w:val="22"/>
          <w:lang w:eastAsia="en-GB"/>
        </w:rPr>
        <w:t>.</w:t>
      </w:r>
    </w:p>
    <w:p w14:paraId="49BEDF63" w14:textId="77777777" w:rsidR="00D63CC9" w:rsidRPr="0000005C" w:rsidRDefault="00D63CC9" w:rsidP="00D63CC9">
      <w:pPr>
        <w:pStyle w:val="IOTCReportNormalNumbered"/>
        <w:numPr>
          <w:ilvl w:val="0"/>
          <w:numId w:val="0"/>
        </w:numPr>
        <w:spacing w:after="120"/>
        <w:ind w:left="540"/>
        <w:rPr>
          <w:rFonts w:ascii="Calibri" w:eastAsia="Calibri" w:hAnsi="Calibri" w:cs="Calibri"/>
          <w:color w:val="auto"/>
          <w:szCs w:val="22"/>
          <w:lang w:eastAsia="en-GB"/>
        </w:rPr>
      </w:pPr>
    </w:p>
    <w:p w14:paraId="5D9435EA" w14:textId="140DEB86" w:rsidR="00343A3D" w:rsidRPr="00800F2D" w:rsidRDefault="00800F2D" w:rsidP="00800F2D">
      <w:pPr>
        <w:pStyle w:val="IOTCsubheading2"/>
        <w:rPr>
          <w:rFonts w:ascii="Calibri" w:hAnsi="Calibri" w:cs="Calibri"/>
        </w:rPr>
      </w:pPr>
      <w:r w:rsidRPr="00800F2D">
        <w:rPr>
          <w:rFonts w:ascii="Calibri" w:hAnsi="Calibri" w:cs="Calibri"/>
        </w:rPr>
        <w:t>Review of new information on the status of blue marlin and Indo Pacific sailfish</w:t>
      </w:r>
    </w:p>
    <w:p w14:paraId="41AC71DB" w14:textId="77777777" w:rsidR="006538D6" w:rsidRDefault="006538D6" w:rsidP="006538D6">
      <w:pPr>
        <w:pStyle w:val="TOC2"/>
      </w:pPr>
    </w:p>
    <w:p w14:paraId="0F98BCBF" w14:textId="6D8D8F92" w:rsidR="006538D6" w:rsidRPr="00E42F0F" w:rsidRDefault="00FC53DF" w:rsidP="006538D6">
      <w:pPr>
        <w:pStyle w:val="TOC2"/>
      </w:pPr>
      <w:r>
        <w:t>Blue</w:t>
      </w:r>
      <w:r w:rsidR="006538D6" w:rsidRPr="00E42F0F">
        <w:t xml:space="preserve"> Marlin</w:t>
      </w:r>
    </w:p>
    <w:p w14:paraId="718DAB39" w14:textId="77777777" w:rsidR="006538D6" w:rsidRPr="00F72F20" w:rsidRDefault="006538D6" w:rsidP="006538D6">
      <w:pPr>
        <w:pStyle w:val="IOTCReportNormalNumbered"/>
        <w:numPr>
          <w:ilvl w:val="0"/>
          <w:numId w:val="25"/>
        </w:numPr>
        <w:rPr>
          <w:rFonts w:ascii="Calibri" w:hAnsi="Calibri" w:cs="Calibri"/>
          <w:b/>
          <w:bCs/>
          <w:i/>
          <w:snapToGrid/>
          <w:color w:val="000000" w:themeColor="text1"/>
          <w:szCs w:val="22"/>
          <w:lang w:val="en-US" w:eastAsia="fr-FR"/>
        </w:rPr>
      </w:pPr>
      <w:r w:rsidRPr="00F72F20">
        <w:rPr>
          <w:rFonts w:ascii="Calibri" w:hAnsi="Calibri" w:cs="Calibri"/>
          <w:b/>
          <w:bCs/>
          <w:szCs w:val="22"/>
        </w:rPr>
        <w:t>Nominal and standardised CPUE indices</w:t>
      </w:r>
    </w:p>
    <w:p w14:paraId="62EEA09E" w14:textId="62ED41F2" w:rsidR="006538D6" w:rsidRDefault="006538D6" w:rsidP="00507281">
      <w:pPr>
        <w:pStyle w:val="IOTCReportNormalNumbered"/>
        <w:spacing w:after="120"/>
        <w:ind w:left="540" w:hanging="540"/>
        <w:rPr>
          <w:rFonts w:ascii="Calibri" w:eastAsia="Calibri" w:hAnsi="Calibri" w:cs="Calibri"/>
          <w:color w:val="auto"/>
          <w:szCs w:val="22"/>
          <w:lang w:eastAsia="en-GB"/>
        </w:rPr>
      </w:pPr>
      <w:r w:rsidRPr="24FF6681">
        <w:rPr>
          <w:rFonts w:ascii="Calibri" w:hAnsi="Calibri" w:cs="Calibri"/>
          <w:lang w:eastAsia="en-GB"/>
        </w:rPr>
        <w:t xml:space="preserve">The WPB </w:t>
      </w:r>
      <w:r w:rsidRPr="24FF6681">
        <w:rPr>
          <w:rFonts w:ascii="Calibri" w:hAnsi="Calibri" w:cs="Calibri"/>
          <w:b/>
          <w:bCs/>
          <w:lang w:eastAsia="en-GB"/>
        </w:rPr>
        <w:t>NOTED</w:t>
      </w:r>
      <w:r w:rsidRPr="24FF6681">
        <w:rPr>
          <w:rFonts w:ascii="Calibri" w:hAnsi="Calibri" w:cs="Calibri"/>
          <w:lang w:eastAsia="en-GB"/>
        </w:rPr>
        <w:t xml:space="preserve"> paper </w:t>
      </w:r>
      <w:hyperlink r:id="rId42" w:history="1">
        <w:r w:rsidR="00507281" w:rsidRPr="00E04011">
          <w:rPr>
            <w:rStyle w:val="Hyperlink"/>
            <w:rFonts w:ascii="Calibri" w:hAnsi="Calibri" w:cs="Calibri"/>
            <w:lang w:eastAsia="en-GB"/>
          </w:rPr>
          <w:t>IOTC-2025-WPB23-15</w:t>
        </w:r>
      </w:hyperlink>
      <w:r w:rsidR="00507281" w:rsidRPr="00F70E1C">
        <w:rPr>
          <w:rFonts w:ascii="Calibri" w:hAnsi="Calibri" w:cs="Calibri"/>
          <w:lang w:eastAsia="en-GB"/>
        </w:rPr>
        <w:t>: Update on CPUE Standardization of Blue Marlin (Makaira nigricans) from Indonesian Tuna Longline Fleets 2006-2023</w:t>
      </w:r>
      <w:r w:rsidR="00507281">
        <w:rPr>
          <w:rFonts w:ascii="Calibri" w:hAnsi="Calibri" w:cs="Calibri"/>
          <w:lang w:eastAsia="en-GB"/>
        </w:rPr>
        <w:t xml:space="preserve">, </w:t>
      </w:r>
      <w:r w:rsidR="00507281" w:rsidRPr="1EA925F2">
        <w:rPr>
          <w:rFonts w:ascii="Calibri" w:eastAsia="Calibri" w:hAnsi="Calibri" w:cs="Calibri"/>
          <w:color w:val="auto"/>
          <w:szCs w:val="22"/>
          <w:lang w:eastAsia="en-GB"/>
        </w:rPr>
        <w:t>with the following abstract provided by the authors</w:t>
      </w:r>
      <w:r w:rsidR="00CF7B4E">
        <w:rPr>
          <w:rFonts w:ascii="Calibri" w:eastAsia="Calibri" w:hAnsi="Calibri" w:cs="Calibri"/>
          <w:color w:val="auto"/>
          <w:szCs w:val="22"/>
          <w:lang w:eastAsia="en-GB"/>
        </w:rPr>
        <w:t>:</w:t>
      </w:r>
    </w:p>
    <w:p w14:paraId="7A0F32F4" w14:textId="3B83ED87" w:rsidR="00E04011" w:rsidRPr="00CF7B4E" w:rsidRDefault="00E04011" w:rsidP="00BE684C">
      <w:pPr>
        <w:pStyle w:val="IOTCReportNormalNumbered"/>
        <w:numPr>
          <w:ilvl w:val="0"/>
          <w:numId w:val="0"/>
        </w:numPr>
        <w:spacing w:after="120" w:line="259" w:lineRule="auto"/>
        <w:ind w:left="900"/>
        <w:rPr>
          <w:rFonts w:ascii="Calibri" w:hAnsi="Calibri" w:cs="Calibri"/>
          <w:i/>
          <w:iCs/>
          <w:color w:val="000000" w:themeColor="text1"/>
          <w:lang w:eastAsia="en-GB"/>
        </w:rPr>
      </w:pPr>
      <w:r w:rsidRPr="00CF7B4E">
        <w:rPr>
          <w:rFonts w:ascii="Calibri" w:hAnsi="Calibri" w:cs="Calibri"/>
          <w:i/>
          <w:iCs/>
          <w:color w:val="000000" w:themeColor="text1"/>
          <w:lang w:eastAsia="en-GB"/>
        </w:rPr>
        <w:t>“</w:t>
      </w:r>
      <w:r w:rsidR="00CF7B4E" w:rsidRPr="00CF7B4E">
        <w:rPr>
          <w:rFonts w:ascii="Calibri" w:hAnsi="Calibri" w:cs="Calibri"/>
          <w:i/>
          <w:iCs/>
          <w:color w:val="000000" w:themeColor="text1"/>
          <w:lang w:eastAsia="en-GB"/>
        </w:rPr>
        <w:t>Blue marlin (Makaira nigricans) is commonly caught as bycatch by Indonesian tuna longline fleets targeting</w:t>
      </w:r>
      <w:r w:rsidR="00CF7B4E">
        <w:rPr>
          <w:rFonts w:ascii="Calibri" w:hAnsi="Calibri" w:cs="Calibri"/>
          <w:i/>
          <w:iCs/>
          <w:color w:val="000000" w:themeColor="text1"/>
          <w:lang w:eastAsia="en-GB"/>
        </w:rPr>
        <w:t xml:space="preserve"> </w:t>
      </w:r>
      <w:r w:rsidR="00CF7B4E" w:rsidRPr="00CF7B4E">
        <w:rPr>
          <w:rFonts w:ascii="Calibri" w:hAnsi="Calibri" w:cs="Calibri"/>
          <w:i/>
          <w:iCs/>
          <w:color w:val="000000" w:themeColor="text1"/>
          <w:lang w:eastAsia="en-GB"/>
        </w:rPr>
        <w:t>albacore, yellowfin, and bigeye tunas, contributing approximately 600 tons annually. Indices of relative</w:t>
      </w:r>
      <w:r w:rsidR="00BE684C">
        <w:rPr>
          <w:rFonts w:ascii="Calibri" w:hAnsi="Calibri" w:cs="Calibri"/>
          <w:i/>
          <w:iCs/>
          <w:color w:val="000000" w:themeColor="text1"/>
          <w:lang w:eastAsia="en-GB"/>
        </w:rPr>
        <w:t xml:space="preserve"> </w:t>
      </w:r>
      <w:r w:rsidR="00BE684C" w:rsidRPr="00CF7B4E">
        <w:rPr>
          <w:rFonts w:ascii="Calibri" w:hAnsi="Calibri" w:cs="Calibri"/>
          <w:i/>
          <w:iCs/>
          <w:color w:val="000000" w:themeColor="text1"/>
          <w:lang w:eastAsia="en-GB"/>
        </w:rPr>
        <w:t>abundance, derived from commercial catch data, are essential inputs for stock assessment models that inform</w:t>
      </w:r>
      <w:r w:rsidR="00BE684C">
        <w:rPr>
          <w:rFonts w:ascii="Calibri" w:hAnsi="Calibri" w:cs="Calibri"/>
          <w:i/>
          <w:iCs/>
          <w:color w:val="000000" w:themeColor="text1"/>
          <w:lang w:eastAsia="en-GB"/>
        </w:rPr>
        <w:t xml:space="preserve"> </w:t>
      </w:r>
      <w:r w:rsidR="00BE684C" w:rsidRPr="00CF7B4E">
        <w:rPr>
          <w:rFonts w:ascii="Calibri" w:hAnsi="Calibri" w:cs="Calibri"/>
          <w:i/>
          <w:iCs/>
          <w:color w:val="000000" w:themeColor="text1"/>
          <w:lang w:eastAsia="en-GB"/>
        </w:rPr>
        <w:t>fisheries management and decision-making processes. In this study, a delta-lognormal generalized linear</w:t>
      </w:r>
      <w:r w:rsidR="00BE684C">
        <w:rPr>
          <w:rFonts w:ascii="Calibri" w:hAnsi="Calibri" w:cs="Calibri"/>
          <w:i/>
          <w:iCs/>
          <w:color w:val="000000" w:themeColor="text1"/>
          <w:lang w:eastAsia="en-GB"/>
        </w:rPr>
        <w:t xml:space="preserve"> </w:t>
      </w:r>
      <w:r w:rsidR="00BE684C" w:rsidRPr="00CF7B4E">
        <w:rPr>
          <w:rFonts w:ascii="Calibri" w:hAnsi="Calibri" w:cs="Calibri"/>
          <w:i/>
          <w:iCs/>
          <w:color w:val="000000" w:themeColor="text1"/>
          <w:lang w:eastAsia="en-GB"/>
        </w:rPr>
        <w:t>model (GLM) was used to standardize catch per unit effort (CPUE) and estimate relative abundance indices</w:t>
      </w:r>
      <w:r w:rsidR="00BE684C">
        <w:rPr>
          <w:rFonts w:ascii="Calibri" w:hAnsi="Calibri" w:cs="Calibri"/>
          <w:i/>
          <w:iCs/>
          <w:color w:val="000000" w:themeColor="text1"/>
          <w:lang w:eastAsia="en-GB"/>
        </w:rPr>
        <w:t xml:space="preserve"> </w:t>
      </w:r>
      <w:r w:rsidR="00BE684C" w:rsidRPr="00CF7B4E">
        <w:rPr>
          <w:rFonts w:ascii="Calibri" w:hAnsi="Calibri" w:cs="Calibri"/>
          <w:i/>
          <w:iCs/>
          <w:color w:val="000000" w:themeColor="text1"/>
          <w:lang w:eastAsia="en-GB"/>
        </w:rPr>
        <w:t>for blue marlin, based on data collected by the Indonesian scientific observer program from August 2005 to</w:t>
      </w:r>
      <w:r w:rsidR="00BE684C">
        <w:rPr>
          <w:rFonts w:ascii="Calibri" w:hAnsi="Calibri" w:cs="Calibri"/>
          <w:i/>
          <w:iCs/>
          <w:color w:val="000000" w:themeColor="text1"/>
          <w:lang w:eastAsia="en-GB"/>
        </w:rPr>
        <w:t xml:space="preserve"> </w:t>
      </w:r>
      <w:r w:rsidR="00BE684C" w:rsidRPr="00CF7B4E">
        <w:rPr>
          <w:rFonts w:ascii="Calibri" w:hAnsi="Calibri" w:cs="Calibri"/>
          <w:i/>
          <w:iCs/>
          <w:color w:val="000000" w:themeColor="text1"/>
          <w:lang w:eastAsia="en-GB"/>
        </w:rPr>
        <w:t>September 2023. Most observed vessels operated out of Benoa Port, Bali.</w:t>
      </w:r>
      <w:r w:rsidR="00BE684C">
        <w:rPr>
          <w:rFonts w:ascii="Calibri" w:hAnsi="Calibri" w:cs="Calibri"/>
          <w:i/>
          <w:iCs/>
          <w:color w:val="000000" w:themeColor="text1"/>
          <w:lang w:eastAsia="en-GB"/>
        </w:rPr>
        <w:t xml:space="preserve"> </w:t>
      </w:r>
      <w:r w:rsidR="00CF7B4E" w:rsidRPr="00CF7B4E">
        <w:rPr>
          <w:rFonts w:ascii="Calibri" w:hAnsi="Calibri" w:cs="Calibri"/>
          <w:i/>
          <w:iCs/>
          <w:color w:val="000000" w:themeColor="text1"/>
          <w:lang w:eastAsia="en-GB"/>
        </w:rPr>
        <w:t>The results indicated that year, quarter, latitude, and longitude were statistically significant predictors an</w:t>
      </w:r>
      <w:r w:rsidR="00BE684C">
        <w:rPr>
          <w:rFonts w:ascii="Calibri" w:hAnsi="Calibri" w:cs="Calibri"/>
          <w:i/>
          <w:iCs/>
          <w:color w:val="000000" w:themeColor="text1"/>
          <w:lang w:eastAsia="en-GB"/>
        </w:rPr>
        <w:t xml:space="preserve">d </w:t>
      </w:r>
      <w:r w:rsidR="00CF7B4E" w:rsidRPr="00CF7B4E">
        <w:rPr>
          <w:rFonts w:ascii="Calibri" w:hAnsi="Calibri" w:cs="Calibri"/>
          <w:i/>
          <w:iCs/>
          <w:color w:val="000000" w:themeColor="text1"/>
          <w:lang w:eastAsia="en-GB"/>
        </w:rPr>
        <w:t>were retained in the lognormal component of the model, while moon phase and fishing cluster were excluded.</w:t>
      </w:r>
      <w:r w:rsidR="00BE684C">
        <w:rPr>
          <w:rFonts w:ascii="Calibri" w:hAnsi="Calibri" w:cs="Calibri"/>
          <w:i/>
          <w:iCs/>
          <w:color w:val="000000" w:themeColor="text1"/>
          <w:lang w:eastAsia="en-GB"/>
        </w:rPr>
        <w:t xml:space="preserve"> </w:t>
      </w:r>
      <w:r w:rsidR="00CF7B4E" w:rsidRPr="00CF7B4E">
        <w:rPr>
          <w:rFonts w:ascii="Calibri" w:hAnsi="Calibri" w:cs="Calibri"/>
          <w:i/>
          <w:iCs/>
          <w:color w:val="000000" w:themeColor="text1"/>
          <w:lang w:eastAsia="en-GB"/>
        </w:rPr>
        <w:t>Notably, fishing cluster (representing targeting practices) and longitude had no significant effect on the</w:t>
      </w:r>
      <w:r w:rsidR="00BE684C">
        <w:rPr>
          <w:rFonts w:ascii="Calibri" w:hAnsi="Calibri" w:cs="Calibri"/>
          <w:i/>
          <w:iCs/>
          <w:color w:val="000000" w:themeColor="text1"/>
          <w:lang w:eastAsia="en-GB"/>
        </w:rPr>
        <w:t xml:space="preserve"> </w:t>
      </w:r>
      <w:r w:rsidR="00CF7B4E" w:rsidRPr="00CF7B4E">
        <w:rPr>
          <w:rFonts w:ascii="Calibri" w:hAnsi="Calibri" w:cs="Calibri"/>
          <w:i/>
          <w:iCs/>
          <w:color w:val="000000" w:themeColor="text1"/>
          <w:lang w:eastAsia="en-GB"/>
        </w:rPr>
        <w:t>probability of blue marlin catch occurrence. In contrast, year, quarter, longitude, and moon phase appeared</w:t>
      </w:r>
      <w:r w:rsidR="00BE684C">
        <w:rPr>
          <w:rFonts w:ascii="Calibri" w:hAnsi="Calibri" w:cs="Calibri"/>
          <w:i/>
          <w:iCs/>
          <w:color w:val="000000" w:themeColor="text1"/>
          <w:lang w:eastAsia="en-GB"/>
        </w:rPr>
        <w:t xml:space="preserve"> </w:t>
      </w:r>
      <w:r w:rsidR="00CF7B4E" w:rsidRPr="00CF7B4E">
        <w:rPr>
          <w:rFonts w:ascii="Calibri" w:hAnsi="Calibri" w:cs="Calibri"/>
          <w:i/>
          <w:iCs/>
          <w:color w:val="000000" w:themeColor="text1"/>
          <w:lang w:eastAsia="en-GB"/>
        </w:rPr>
        <w:t>to influence catch rates. Overall, the standardized CPUE trend remained relatively stable during the first</w:t>
      </w:r>
      <w:r w:rsidR="00BE684C">
        <w:rPr>
          <w:rFonts w:ascii="Calibri" w:hAnsi="Calibri" w:cs="Calibri"/>
          <w:i/>
          <w:iCs/>
          <w:color w:val="000000" w:themeColor="text1"/>
          <w:lang w:eastAsia="en-GB"/>
        </w:rPr>
        <w:t xml:space="preserve"> </w:t>
      </w:r>
      <w:r w:rsidR="00CF7B4E" w:rsidRPr="00CF7B4E">
        <w:rPr>
          <w:rFonts w:ascii="Calibri" w:hAnsi="Calibri" w:cs="Calibri"/>
          <w:i/>
          <w:iCs/>
          <w:color w:val="000000" w:themeColor="text1"/>
          <w:lang w:eastAsia="en-GB"/>
        </w:rPr>
        <w:t>five years, then approximately doubled in 2012 before returning to a stable level in the subsequent years.</w:t>
      </w:r>
      <w:r w:rsidR="00BE684C">
        <w:rPr>
          <w:rFonts w:ascii="Calibri" w:hAnsi="Calibri" w:cs="Calibri"/>
          <w:i/>
          <w:iCs/>
          <w:color w:val="000000" w:themeColor="text1"/>
          <w:lang w:eastAsia="en-GB"/>
        </w:rPr>
        <w:t xml:space="preserve"> </w:t>
      </w:r>
      <w:r w:rsidR="00CF7B4E" w:rsidRPr="00CF7B4E">
        <w:rPr>
          <w:rFonts w:ascii="Calibri" w:hAnsi="Calibri" w:cs="Calibri"/>
          <w:i/>
          <w:iCs/>
          <w:color w:val="000000" w:themeColor="text1"/>
          <w:lang w:eastAsia="en-GB"/>
        </w:rPr>
        <w:t>However, high uncertainties seemed as lingering issue, which inevitable due to low coverage of scientific</w:t>
      </w:r>
      <w:r w:rsidR="00BE684C">
        <w:rPr>
          <w:rFonts w:ascii="Calibri" w:hAnsi="Calibri" w:cs="Calibri"/>
          <w:i/>
          <w:iCs/>
          <w:color w:val="000000" w:themeColor="text1"/>
          <w:lang w:eastAsia="en-GB"/>
        </w:rPr>
        <w:t xml:space="preserve"> </w:t>
      </w:r>
      <w:r w:rsidR="00CF7B4E" w:rsidRPr="00CF7B4E">
        <w:rPr>
          <w:rFonts w:ascii="Calibri" w:hAnsi="Calibri" w:cs="Calibri"/>
          <w:i/>
          <w:iCs/>
          <w:color w:val="000000" w:themeColor="text1"/>
          <w:lang w:eastAsia="en-GB"/>
        </w:rPr>
        <w:t>observer data.</w:t>
      </w:r>
      <w:r w:rsidRPr="00CF7B4E">
        <w:rPr>
          <w:rFonts w:ascii="Calibri" w:hAnsi="Calibri" w:cs="Calibri"/>
          <w:i/>
          <w:iCs/>
          <w:color w:val="000000" w:themeColor="text1"/>
          <w:lang w:eastAsia="en-GB"/>
        </w:rPr>
        <w:t>”</w:t>
      </w:r>
    </w:p>
    <w:p w14:paraId="6400E4E8" w14:textId="715DFBCF" w:rsidR="00050594" w:rsidRPr="00050594" w:rsidRDefault="00050594" w:rsidP="00050594">
      <w:pPr>
        <w:pStyle w:val="IOTCReportNormalNumbered"/>
        <w:spacing w:after="120"/>
        <w:ind w:left="540" w:hanging="540"/>
        <w:rPr>
          <w:rFonts w:ascii="Calibri" w:hAnsi="Calibri" w:cs="Calibri"/>
          <w:lang w:eastAsia="en-GB"/>
        </w:rPr>
      </w:pPr>
      <w:r w:rsidRPr="00050594">
        <w:rPr>
          <w:rFonts w:ascii="Calibri" w:hAnsi="Calibri" w:cs="Calibri"/>
          <w:lang w:eastAsia="en-GB"/>
        </w:rPr>
        <w:t xml:space="preserve">The WPB </w:t>
      </w:r>
      <w:r w:rsidRPr="00050594">
        <w:rPr>
          <w:rFonts w:ascii="Calibri" w:hAnsi="Calibri" w:cs="Calibri"/>
          <w:b/>
          <w:bCs/>
          <w:lang w:eastAsia="en-GB"/>
        </w:rPr>
        <w:t>ACKNOWLEDGED</w:t>
      </w:r>
      <w:r w:rsidRPr="00050594">
        <w:rPr>
          <w:rFonts w:ascii="Calibri" w:hAnsi="Calibri" w:cs="Calibri"/>
          <w:lang w:eastAsia="en-GB"/>
        </w:rPr>
        <w:t xml:space="preserve"> the CPUE standardization based on observer data presented by the authors and </w:t>
      </w:r>
      <w:r w:rsidRPr="00050594">
        <w:rPr>
          <w:rFonts w:ascii="Calibri" w:hAnsi="Calibri" w:cs="Calibri"/>
          <w:b/>
          <w:bCs/>
          <w:lang w:eastAsia="en-GB"/>
        </w:rPr>
        <w:t>NOTED</w:t>
      </w:r>
      <w:r w:rsidRPr="00050594">
        <w:rPr>
          <w:rFonts w:ascii="Calibri" w:hAnsi="Calibri" w:cs="Calibri"/>
          <w:lang w:eastAsia="en-GB"/>
        </w:rPr>
        <w:t xml:space="preserve"> that the overall standardized CPUE trend remained relatively stable during the initial five years, approximately doubled in 2012, and subsequently returned to a stable level in the following years. The WPB further </w:t>
      </w:r>
      <w:r w:rsidRPr="00050594">
        <w:rPr>
          <w:rFonts w:ascii="Calibri" w:hAnsi="Calibri" w:cs="Calibri"/>
          <w:b/>
          <w:bCs/>
          <w:lang w:eastAsia="en-GB"/>
        </w:rPr>
        <w:t>NOTED</w:t>
      </w:r>
      <w:r w:rsidRPr="00050594">
        <w:rPr>
          <w:rFonts w:ascii="Calibri" w:hAnsi="Calibri" w:cs="Calibri"/>
          <w:lang w:eastAsia="en-GB"/>
        </w:rPr>
        <w:t xml:space="preserve"> that low observer coverage continues to represent a concern nevertheless</w:t>
      </w:r>
    </w:p>
    <w:p w14:paraId="5ADDC720" w14:textId="2D8D3ED4" w:rsidR="00050594" w:rsidRPr="00050594" w:rsidRDefault="00050594" w:rsidP="00050594">
      <w:pPr>
        <w:pStyle w:val="IOTCReportNormalNumbered"/>
        <w:spacing w:after="120"/>
        <w:ind w:left="540" w:hanging="540"/>
        <w:rPr>
          <w:rFonts w:ascii="Calibri" w:hAnsi="Calibri" w:cs="Calibri"/>
          <w:lang w:eastAsia="en-GB"/>
        </w:rPr>
      </w:pPr>
      <w:r w:rsidRPr="00050594">
        <w:rPr>
          <w:rFonts w:ascii="Calibri" w:hAnsi="Calibri" w:cs="Calibri"/>
          <w:lang w:eastAsia="en-GB"/>
        </w:rPr>
        <w:t xml:space="preserve">The WPB also </w:t>
      </w:r>
      <w:r w:rsidRPr="001E16B2">
        <w:rPr>
          <w:rFonts w:ascii="Calibri" w:hAnsi="Calibri" w:cs="Calibri"/>
          <w:b/>
          <w:bCs/>
          <w:lang w:eastAsia="en-GB"/>
        </w:rPr>
        <w:t>NOTED</w:t>
      </w:r>
      <w:r w:rsidRPr="00050594">
        <w:rPr>
          <w:rFonts w:ascii="Calibri" w:hAnsi="Calibri" w:cs="Calibri"/>
          <w:lang w:eastAsia="en-GB"/>
        </w:rPr>
        <w:t xml:space="preserve"> the following observations: there is an increase in trip days and total hooks deployed in 2023; the lowest CPUE was recorded in 2018, while the highest occurred in 2012; the proportion of zero catches was relatively high; unlike the nominal CPUE, the standardized trend varied annually; current catches appeared </w:t>
      </w:r>
      <w:r w:rsidRPr="00050594">
        <w:rPr>
          <w:rFonts w:ascii="Calibri" w:hAnsi="Calibri" w:cs="Calibri"/>
          <w:lang w:eastAsia="en-GB"/>
        </w:rPr>
        <w:lastRenderedPageBreak/>
        <w:t xml:space="preserve">sporadic and were influenced by temporal factors (year and quarter), spatial distribution (latitude and longitude), environmental conditions (e.g., lunar phase), and operational aspects (e.g., number of hooks between floats). </w:t>
      </w:r>
    </w:p>
    <w:p w14:paraId="1BE6B8D8" w14:textId="19951B00" w:rsidR="00050594" w:rsidRPr="00050594" w:rsidRDefault="00050594" w:rsidP="00050594">
      <w:pPr>
        <w:pStyle w:val="IOTCReportNormalNumbered"/>
        <w:spacing w:after="120"/>
        <w:ind w:left="540" w:hanging="540"/>
        <w:rPr>
          <w:rFonts w:ascii="Calibri" w:hAnsi="Calibri" w:cs="Calibri"/>
          <w:lang w:eastAsia="en-GB"/>
        </w:rPr>
      </w:pPr>
      <w:r w:rsidRPr="00050594">
        <w:rPr>
          <w:rFonts w:ascii="Calibri" w:hAnsi="Calibri" w:cs="Calibri"/>
          <w:lang w:eastAsia="en-GB"/>
        </w:rPr>
        <w:t xml:space="preserve">The WPB </w:t>
      </w:r>
      <w:r w:rsidRPr="001E16B2">
        <w:rPr>
          <w:rFonts w:ascii="Calibri" w:hAnsi="Calibri" w:cs="Calibri"/>
          <w:b/>
          <w:bCs/>
          <w:lang w:eastAsia="en-GB"/>
        </w:rPr>
        <w:t>SUGGESTED</w:t>
      </w:r>
      <w:r w:rsidRPr="00050594">
        <w:rPr>
          <w:rFonts w:ascii="Calibri" w:hAnsi="Calibri" w:cs="Calibri"/>
          <w:lang w:eastAsia="en-GB"/>
        </w:rPr>
        <w:t xml:space="preserve"> that an alternative distribution (e.g., zero-inflated) may be more appropriate, or that a delta model be used, given the large proportion of zero catches (around 90%). The authors </w:t>
      </w:r>
      <w:r w:rsidR="00886E35">
        <w:rPr>
          <w:rFonts w:ascii="Calibri" w:hAnsi="Calibri" w:cs="Calibri"/>
          <w:lang w:eastAsia="en-GB"/>
        </w:rPr>
        <w:t>pointed out</w:t>
      </w:r>
      <w:r w:rsidRPr="00050594">
        <w:rPr>
          <w:rFonts w:ascii="Calibri" w:hAnsi="Calibri" w:cs="Calibri"/>
          <w:lang w:eastAsia="en-GB"/>
        </w:rPr>
        <w:t xml:space="preserve"> that they attempted to use zero-inflated distributions, but this approach did not improve the results.</w:t>
      </w:r>
    </w:p>
    <w:p w14:paraId="348732E2" w14:textId="0A61FD5C" w:rsidR="00050594" w:rsidRPr="00050594" w:rsidRDefault="00050594" w:rsidP="00050594">
      <w:pPr>
        <w:pStyle w:val="IOTCReportNormalNumbered"/>
        <w:spacing w:after="120"/>
        <w:ind w:left="540" w:hanging="540"/>
        <w:rPr>
          <w:rFonts w:ascii="Calibri" w:hAnsi="Calibri" w:cs="Calibri"/>
          <w:lang w:eastAsia="en-GB"/>
        </w:rPr>
      </w:pPr>
      <w:r w:rsidRPr="00050594">
        <w:rPr>
          <w:rFonts w:ascii="Calibri" w:hAnsi="Calibri" w:cs="Calibri"/>
          <w:lang w:eastAsia="en-GB"/>
        </w:rPr>
        <w:t xml:space="preserve">The WPB </w:t>
      </w:r>
      <w:r w:rsidRPr="002E12E5">
        <w:rPr>
          <w:rFonts w:ascii="Calibri" w:hAnsi="Calibri" w:cs="Calibri"/>
          <w:b/>
          <w:bCs/>
          <w:lang w:eastAsia="en-GB"/>
        </w:rPr>
        <w:t>NOTED</w:t>
      </w:r>
      <w:r w:rsidRPr="00050594">
        <w:rPr>
          <w:rFonts w:ascii="Calibri" w:hAnsi="Calibri" w:cs="Calibri"/>
          <w:lang w:eastAsia="en-GB"/>
        </w:rPr>
        <w:t xml:space="preserve"> that, although some filtering had been applied by removing trips without blue marlin catches, a high proportion of zeros remained, and suggested investigating whether focusing on specific areas or subsets of vessels could potentially remove some of these zeros. </w:t>
      </w:r>
    </w:p>
    <w:p w14:paraId="4674EB72" w14:textId="55B7B30C" w:rsidR="00050594" w:rsidRPr="00050594" w:rsidRDefault="00050594" w:rsidP="00050594">
      <w:pPr>
        <w:pStyle w:val="IOTCReportNormalNumbered"/>
        <w:spacing w:after="120"/>
        <w:ind w:left="540" w:hanging="540"/>
        <w:rPr>
          <w:rFonts w:ascii="Calibri" w:hAnsi="Calibri" w:cs="Calibri"/>
          <w:lang w:eastAsia="en-GB"/>
        </w:rPr>
      </w:pPr>
      <w:r w:rsidRPr="00050594">
        <w:rPr>
          <w:rFonts w:ascii="Calibri" w:hAnsi="Calibri" w:cs="Calibri"/>
          <w:lang w:eastAsia="en-GB"/>
        </w:rPr>
        <w:t xml:space="preserve">The WPB </w:t>
      </w:r>
      <w:r w:rsidRPr="002E12E5">
        <w:rPr>
          <w:rFonts w:ascii="Calibri" w:hAnsi="Calibri" w:cs="Calibri"/>
          <w:b/>
          <w:bCs/>
          <w:lang w:eastAsia="en-GB"/>
        </w:rPr>
        <w:t>SUGGESTED</w:t>
      </w:r>
      <w:r w:rsidRPr="00050594">
        <w:rPr>
          <w:rFonts w:ascii="Calibri" w:hAnsi="Calibri" w:cs="Calibri"/>
          <w:lang w:eastAsia="en-GB"/>
        </w:rPr>
        <w:t xml:space="preserve"> that the latitude and longitude should be included as 5° x 5° squares </w:t>
      </w:r>
      <w:r w:rsidR="00AD3FF8">
        <w:rPr>
          <w:rFonts w:ascii="Calibri" w:hAnsi="Calibri" w:cs="Calibri"/>
          <w:lang w:eastAsia="en-GB"/>
        </w:rPr>
        <w:t xml:space="preserve">(categorical) </w:t>
      </w:r>
      <w:r w:rsidRPr="00050594">
        <w:rPr>
          <w:rFonts w:ascii="Calibri" w:hAnsi="Calibri" w:cs="Calibri"/>
          <w:lang w:eastAsia="en-GB"/>
        </w:rPr>
        <w:t xml:space="preserve">rather than continuous linear variables. The WPB further </w:t>
      </w:r>
      <w:r w:rsidRPr="009638AB">
        <w:rPr>
          <w:rFonts w:ascii="Calibri" w:hAnsi="Calibri" w:cs="Calibri"/>
          <w:b/>
          <w:bCs/>
          <w:lang w:eastAsia="en-GB"/>
        </w:rPr>
        <w:t>SUGGESTED</w:t>
      </w:r>
      <w:r w:rsidRPr="00050594">
        <w:rPr>
          <w:rFonts w:ascii="Calibri" w:hAnsi="Calibri" w:cs="Calibri"/>
          <w:lang w:eastAsia="en-GB"/>
        </w:rPr>
        <w:t xml:space="preserve"> that the spatial effects should be included as random effects given the large interannual spatial variability.</w:t>
      </w:r>
    </w:p>
    <w:p w14:paraId="73DDB2E2" w14:textId="776FC0A8" w:rsidR="00050594" w:rsidRPr="00050594" w:rsidRDefault="00050594" w:rsidP="00050594">
      <w:pPr>
        <w:pStyle w:val="IOTCReportNormalNumbered"/>
        <w:spacing w:after="120"/>
        <w:ind w:left="540" w:hanging="540"/>
        <w:rPr>
          <w:rFonts w:ascii="Calibri" w:hAnsi="Calibri" w:cs="Calibri"/>
          <w:lang w:eastAsia="en-GB"/>
        </w:rPr>
      </w:pPr>
      <w:r w:rsidRPr="00050594">
        <w:rPr>
          <w:rFonts w:ascii="Calibri" w:hAnsi="Calibri" w:cs="Calibri"/>
          <w:lang w:eastAsia="en-GB"/>
        </w:rPr>
        <w:t xml:space="preserve">The WPB also </w:t>
      </w:r>
      <w:r w:rsidRPr="002E12E5">
        <w:rPr>
          <w:rFonts w:ascii="Calibri" w:hAnsi="Calibri" w:cs="Calibri"/>
          <w:b/>
          <w:bCs/>
          <w:lang w:eastAsia="en-GB"/>
        </w:rPr>
        <w:t>REQUESTED</w:t>
      </w:r>
      <w:r w:rsidRPr="00050594">
        <w:rPr>
          <w:rFonts w:ascii="Calibri" w:hAnsi="Calibri" w:cs="Calibri"/>
          <w:lang w:eastAsia="en-GB"/>
        </w:rPr>
        <w:t xml:space="preserve"> that more information on the effect of variables, as well as model diagnostics, be provided, and suggested that the authors use the R package DHARMa to visualize and interpret residuals.</w:t>
      </w:r>
    </w:p>
    <w:p w14:paraId="2FE26373" w14:textId="59BD0890" w:rsidR="00E87536" w:rsidRDefault="00A5677E" w:rsidP="00E87536">
      <w:pPr>
        <w:pStyle w:val="IOTCReportNormalNumbered"/>
        <w:spacing w:after="120"/>
        <w:ind w:left="540" w:hanging="540"/>
        <w:rPr>
          <w:rFonts w:ascii="Calibri" w:eastAsia="Calibri" w:hAnsi="Calibri" w:cs="Calibri"/>
          <w:color w:val="auto"/>
          <w:szCs w:val="22"/>
          <w:lang w:eastAsia="en-GB"/>
        </w:rPr>
      </w:pPr>
      <w:r w:rsidRPr="24FF6681">
        <w:rPr>
          <w:rFonts w:ascii="Calibri" w:hAnsi="Calibri" w:cs="Calibri"/>
          <w:lang w:eastAsia="en-GB"/>
        </w:rPr>
        <w:t xml:space="preserve">The WPB </w:t>
      </w:r>
      <w:r w:rsidRPr="24FF6681">
        <w:rPr>
          <w:rFonts w:ascii="Calibri" w:hAnsi="Calibri" w:cs="Calibri"/>
          <w:b/>
          <w:bCs/>
          <w:lang w:eastAsia="en-GB"/>
        </w:rPr>
        <w:t>NOTED</w:t>
      </w:r>
      <w:r w:rsidRPr="24FF6681">
        <w:rPr>
          <w:rFonts w:ascii="Calibri" w:hAnsi="Calibri" w:cs="Calibri"/>
          <w:lang w:eastAsia="en-GB"/>
        </w:rPr>
        <w:t xml:space="preserve"> paper</w:t>
      </w:r>
      <w:r w:rsidRPr="00F70E1C">
        <w:rPr>
          <w:rFonts w:ascii="Calibri" w:hAnsi="Calibri" w:cs="Calibri"/>
          <w:lang w:eastAsia="en-GB"/>
        </w:rPr>
        <w:t xml:space="preserve"> </w:t>
      </w:r>
      <w:hyperlink r:id="rId43" w:history="1">
        <w:r w:rsidR="00F70E1C" w:rsidRPr="00DE325C">
          <w:rPr>
            <w:rStyle w:val="Hyperlink"/>
            <w:rFonts w:ascii="Calibri" w:hAnsi="Calibri" w:cs="Calibri"/>
            <w:lang w:eastAsia="en-GB"/>
          </w:rPr>
          <w:t>IOTC-2025-WPB23-16</w:t>
        </w:r>
      </w:hyperlink>
      <w:r>
        <w:rPr>
          <w:rFonts w:ascii="Calibri" w:hAnsi="Calibri" w:cs="Calibri"/>
          <w:lang w:eastAsia="en-GB"/>
        </w:rPr>
        <w:t>, which describes</w:t>
      </w:r>
      <w:r w:rsidR="00DE325C">
        <w:rPr>
          <w:rFonts w:ascii="Calibri" w:hAnsi="Calibri" w:cs="Calibri"/>
          <w:lang w:eastAsia="en-GB"/>
        </w:rPr>
        <w:t xml:space="preserve"> s</w:t>
      </w:r>
      <w:r w:rsidR="00F70E1C" w:rsidRPr="00F70E1C">
        <w:rPr>
          <w:rFonts w:ascii="Calibri" w:hAnsi="Calibri" w:cs="Calibri"/>
          <w:lang w:eastAsia="en-GB"/>
        </w:rPr>
        <w:t>patial-temporal model for CPUE standardizatio</w:t>
      </w:r>
      <w:r w:rsidR="000A27FC">
        <w:rPr>
          <w:rFonts w:ascii="Calibri" w:hAnsi="Calibri" w:cs="Calibri"/>
          <w:lang w:eastAsia="en-GB"/>
        </w:rPr>
        <w:t>n of</w:t>
      </w:r>
      <w:r w:rsidR="00F70E1C" w:rsidRPr="00F70E1C">
        <w:rPr>
          <w:rFonts w:ascii="Calibri" w:hAnsi="Calibri" w:cs="Calibri"/>
          <w:lang w:eastAsia="en-GB"/>
        </w:rPr>
        <w:t xml:space="preserve"> blue marlin caught by Japanese tuna longline fishery in the Indian ocean from 1979 to 2023</w:t>
      </w:r>
      <w:r w:rsidR="00E87536">
        <w:rPr>
          <w:rFonts w:ascii="Calibri" w:hAnsi="Calibri" w:cs="Calibri"/>
          <w:lang w:eastAsia="en-GB"/>
        </w:rPr>
        <w:t xml:space="preserve">, </w:t>
      </w:r>
      <w:r w:rsidR="00E87536" w:rsidRPr="1EA925F2">
        <w:rPr>
          <w:rFonts w:ascii="Calibri" w:eastAsia="Calibri" w:hAnsi="Calibri" w:cs="Calibri"/>
          <w:color w:val="auto"/>
          <w:szCs w:val="22"/>
          <w:lang w:eastAsia="en-GB"/>
        </w:rPr>
        <w:t xml:space="preserve">with the following abstract provided by the authors: </w:t>
      </w:r>
    </w:p>
    <w:p w14:paraId="5F29582F" w14:textId="27435346" w:rsidR="00F70E1C" w:rsidRDefault="000A27FC" w:rsidP="00E21E24">
      <w:pPr>
        <w:pStyle w:val="IOTCReportNormalNumbered"/>
        <w:numPr>
          <w:ilvl w:val="0"/>
          <w:numId w:val="0"/>
        </w:numPr>
        <w:spacing w:after="120" w:line="259" w:lineRule="auto"/>
        <w:ind w:left="900"/>
        <w:rPr>
          <w:rFonts w:ascii="Calibri" w:hAnsi="Calibri" w:cs="Calibri"/>
          <w:i/>
          <w:iCs/>
          <w:color w:val="000000" w:themeColor="text1"/>
          <w:lang w:eastAsia="en-GB"/>
        </w:rPr>
      </w:pPr>
      <w:r w:rsidRPr="00866874">
        <w:rPr>
          <w:rFonts w:ascii="Calibri" w:hAnsi="Calibri" w:cs="Calibri"/>
          <w:i/>
          <w:iCs/>
          <w:color w:val="000000" w:themeColor="text1"/>
          <w:lang w:eastAsia="en-GB"/>
        </w:rPr>
        <w:t>“</w:t>
      </w:r>
      <w:r w:rsidR="00866874" w:rsidRPr="00866874">
        <w:rPr>
          <w:rFonts w:ascii="Calibri" w:hAnsi="Calibri" w:cs="Calibri"/>
          <w:i/>
          <w:iCs/>
          <w:color w:val="000000" w:themeColor="text1"/>
          <w:lang w:eastAsia="en-GB"/>
        </w:rPr>
        <w:t>Abundance indices of blue marlin caught by Japanese tuna-longline fishery in the Indian Ocean</w:t>
      </w:r>
      <w:r w:rsidR="0086687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were estimated using logbook data from 1979 to 2023. The nominal CPUEs were standardized</w:t>
      </w:r>
      <w:r w:rsidR="0086687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using the spatio-temporal generalized linear mixed model (GLMM, sdmTMB) to update the</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annual changes in the abundance indices and to account for spatiotemporal changes in fishing</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locations resulting from shifts in target species, including tuna and tuna-like species. Since blue</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marlins are mainly distributed in the tropical and subtropical areas in the Indian Ocean, only</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data north of 30 °S was used. Due to the shrinkage of operational areas of Japanese longline</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fleets after 2010, calculations were performed separately for the periods 1979-2010 and 2011-2023. The predicted annual CPUEs between 1979 and 2010 revealed a declining trend from 1979</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to 2001. Since then, the annual CPUEs have remained relatively stable, with no substantial</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fluctuations. The predicted annual CPUEs between 2011 and 2023 showed a decline until 2021</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and exhibited an increasing trend from 2021 onward. The predicted CPUE using the spatiotemporal</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model with a large amount of data collected in the wide area in the Indian Ocean is</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very useful information about the spatiotemporal changes in the abundance. However, for</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estimates after 2010, due to reduced area coverage, careful consideration is required in cases</w:t>
      </w:r>
      <w:r w:rsidR="00E21E24">
        <w:rPr>
          <w:rFonts w:ascii="Calibri" w:hAnsi="Calibri" w:cs="Calibri"/>
          <w:i/>
          <w:iCs/>
          <w:color w:val="000000" w:themeColor="text1"/>
          <w:lang w:eastAsia="en-GB"/>
        </w:rPr>
        <w:t xml:space="preserve"> </w:t>
      </w:r>
      <w:r w:rsidR="00866874" w:rsidRPr="00866874">
        <w:rPr>
          <w:rFonts w:ascii="Calibri" w:hAnsi="Calibri" w:cs="Calibri"/>
          <w:i/>
          <w:iCs/>
          <w:color w:val="000000" w:themeColor="text1"/>
          <w:lang w:eastAsia="en-GB"/>
        </w:rPr>
        <w:t>where there are conflicts with annual CPUE trends in major fleets such as Chinese Taipei</w:t>
      </w:r>
      <w:r w:rsidRPr="00866874">
        <w:rPr>
          <w:rFonts w:ascii="Calibri" w:hAnsi="Calibri" w:cs="Calibri"/>
          <w:i/>
          <w:iCs/>
          <w:color w:val="000000" w:themeColor="text1"/>
          <w:lang w:eastAsia="en-GB"/>
        </w:rPr>
        <w:t>”</w:t>
      </w:r>
    </w:p>
    <w:p w14:paraId="558B2B49" w14:textId="3F7069AB" w:rsidR="008C20BD" w:rsidRPr="008C20BD" w:rsidRDefault="008C20BD" w:rsidP="008C20BD">
      <w:pPr>
        <w:pStyle w:val="IOTCReportNormalNumbered"/>
        <w:spacing w:after="120"/>
        <w:ind w:left="540" w:hanging="540"/>
        <w:rPr>
          <w:rFonts w:ascii="Calibri" w:hAnsi="Calibri" w:cs="Calibri"/>
          <w:lang w:eastAsia="en-GB"/>
        </w:rPr>
      </w:pPr>
      <w:r w:rsidRPr="008C20BD">
        <w:rPr>
          <w:rFonts w:ascii="Calibri" w:hAnsi="Calibri" w:cs="Calibri"/>
          <w:lang w:eastAsia="en-GB"/>
        </w:rPr>
        <w:t xml:space="preserve">The WPB </w:t>
      </w:r>
      <w:r w:rsidRPr="00865868">
        <w:rPr>
          <w:rFonts w:ascii="Calibri" w:hAnsi="Calibri" w:cs="Calibri"/>
          <w:b/>
          <w:bCs/>
          <w:lang w:eastAsia="en-GB"/>
        </w:rPr>
        <w:t>NOTED</w:t>
      </w:r>
      <w:r w:rsidRPr="008C20BD">
        <w:rPr>
          <w:rFonts w:ascii="Calibri" w:hAnsi="Calibri" w:cs="Calibri"/>
          <w:lang w:eastAsia="en-GB"/>
        </w:rPr>
        <w:t xml:space="preserve"> that during the 1980s and 1990s the Japanese fleets did not target blue marlin and, in most cases, discarded individuals (especially large individuals). As a result, </w:t>
      </w:r>
      <w:r w:rsidR="00BC62AA">
        <w:rPr>
          <w:rFonts w:ascii="Calibri" w:hAnsi="Calibri" w:cs="Calibri"/>
          <w:lang w:eastAsia="en-GB"/>
        </w:rPr>
        <w:t xml:space="preserve">very </w:t>
      </w:r>
      <w:r w:rsidR="000F7272">
        <w:rPr>
          <w:rFonts w:ascii="Calibri" w:hAnsi="Calibri" w:cs="Calibri"/>
          <w:lang w:eastAsia="en-GB"/>
        </w:rPr>
        <w:t>few</w:t>
      </w:r>
      <w:r w:rsidRPr="008C20BD">
        <w:rPr>
          <w:rFonts w:ascii="Calibri" w:hAnsi="Calibri" w:cs="Calibri"/>
          <w:lang w:eastAsia="en-GB"/>
        </w:rPr>
        <w:t xml:space="preserve"> catch records exist for this period. Additionally, fleets may have operated in areas without blue marlin, used gear configurations that did not interact with the species, or simply failed to report catches.</w:t>
      </w:r>
    </w:p>
    <w:p w14:paraId="7D002F13" w14:textId="7BB6B435" w:rsidR="008C20BD" w:rsidRPr="008C20BD" w:rsidRDefault="008C20BD" w:rsidP="008C20BD">
      <w:pPr>
        <w:pStyle w:val="IOTCReportNormalNumbered"/>
        <w:spacing w:after="120"/>
        <w:ind w:left="540" w:hanging="540"/>
        <w:rPr>
          <w:rFonts w:ascii="Calibri" w:hAnsi="Calibri" w:cs="Calibri"/>
          <w:lang w:eastAsia="en-GB"/>
        </w:rPr>
      </w:pPr>
      <w:r w:rsidRPr="008C20BD">
        <w:rPr>
          <w:rFonts w:ascii="Calibri" w:hAnsi="Calibri" w:cs="Calibri"/>
          <w:lang w:eastAsia="en-GB"/>
        </w:rPr>
        <w:t xml:space="preserve">The WPB </w:t>
      </w:r>
      <w:r w:rsidRPr="00865868">
        <w:rPr>
          <w:rFonts w:ascii="Calibri" w:hAnsi="Calibri" w:cs="Calibri"/>
          <w:b/>
          <w:bCs/>
          <w:lang w:eastAsia="en-GB"/>
        </w:rPr>
        <w:t>NOTED</w:t>
      </w:r>
      <w:r w:rsidRPr="008C20BD">
        <w:rPr>
          <w:rFonts w:ascii="Calibri" w:hAnsi="Calibri" w:cs="Calibri"/>
          <w:lang w:eastAsia="en-GB"/>
        </w:rPr>
        <w:t xml:space="preserve"> that while the initial model applied was a zero-inflated Poisson, the present analysis utilized a negative binomial model. Given that the filtered dataset exhibited a moderate proportion of zero catches and variance substantially greater than the mean, the negative binomial model was considered appropriate.</w:t>
      </w:r>
    </w:p>
    <w:p w14:paraId="205937D0" w14:textId="105A0FB6" w:rsidR="008C20BD" w:rsidRPr="008C20BD" w:rsidRDefault="008C20BD" w:rsidP="008C20BD">
      <w:pPr>
        <w:pStyle w:val="IOTCReportNormalNumbered"/>
        <w:spacing w:after="120"/>
        <w:ind w:left="540" w:hanging="540"/>
        <w:rPr>
          <w:rFonts w:ascii="Calibri" w:hAnsi="Calibri" w:cs="Calibri"/>
          <w:lang w:eastAsia="en-GB"/>
        </w:rPr>
      </w:pPr>
      <w:r w:rsidRPr="008C20BD">
        <w:rPr>
          <w:rFonts w:ascii="Calibri" w:hAnsi="Calibri" w:cs="Calibri"/>
          <w:lang w:eastAsia="en-GB"/>
        </w:rPr>
        <w:t xml:space="preserve">The WPB </w:t>
      </w:r>
      <w:r w:rsidRPr="00865868">
        <w:rPr>
          <w:rFonts w:ascii="Calibri" w:hAnsi="Calibri" w:cs="Calibri"/>
          <w:b/>
          <w:bCs/>
          <w:lang w:eastAsia="en-GB"/>
        </w:rPr>
        <w:t>NOTED</w:t>
      </w:r>
      <w:r w:rsidRPr="008C20BD">
        <w:rPr>
          <w:rFonts w:ascii="Calibri" w:hAnsi="Calibri" w:cs="Calibri"/>
          <w:lang w:eastAsia="en-GB"/>
        </w:rPr>
        <w:t xml:space="preserve"> that the previous CPUE standardization was based on three core areas whereas the present study covers north of 30°S. The WPB further </w:t>
      </w:r>
      <w:r w:rsidRPr="00865868">
        <w:rPr>
          <w:rFonts w:ascii="Calibri" w:hAnsi="Calibri" w:cs="Calibri"/>
          <w:b/>
          <w:bCs/>
          <w:lang w:eastAsia="en-GB"/>
        </w:rPr>
        <w:t>NOTED</w:t>
      </w:r>
      <w:r w:rsidRPr="008C20BD">
        <w:rPr>
          <w:rFonts w:ascii="Calibri" w:hAnsi="Calibri" w:cs="Calibri"/>
          <w:lang w:eastAsia="en-GB"/>
        </w:rPr>
        <w:t xml:space="preserve"> that the issue of not being able to estimate CPUE after 2011 for the NWIO was addressed by dividing the data into two time blocks: 1979–2010 and 2011–2023</w:t>
      </w:r>
      <w:r w:rsidR="000B176C" w:rsidRPr="000B176C">
        <w:rPr>
          <w:rFonts w:ascii="Calibri" w:hAnsi="Calibri" w:cs="Calibri"/>
          <w:lang w:eastAsia="en-GB"/>
        </w:rPr>
        <w:t xml:space="preserve"> </w:t>
      </w:r>
      <w:r w:rsidR="000B176C" w:rsidRPr="008C20BD">
        <w:rPr>
          <w:rFonts w:ascii="Calibri" w:hAnsi="Calibri" w:cs="Calibri"/>
          <w:lang w:eastAsia="en-GB"/>
        </w:rPr>
        <w:t xml:space="preserve">The authors confirmed that </w:t>
      </w:r>
      <w:r w:rsidRPr="008C20BD">
        <w:rPr>
          <w:rFonts w:ascii="Calibri" w:hAnsi="Calibri" w:cs="Calibri"/>
          <w:lang w:eastAsia="en-GB"/>
        </w:rPr>
        <w:t xml:space="preserve">that year was included as a fixed effect with no temporal structure imposed. </w:t>
      </w:r>
    </w:p>
    <w:p w14:paraId="4A241EC7" w14:textId="282B9B84" w:rsidR="008C20BD" w:rsidRPr="008C20BD" w:rsidRDefault="008C20BD" w:rsidP="008C20BD">
      <w:pPr>
        <w:pStyle w:val="IOTCReportNormalNumbered"/>
        <w:spacing w:after="120"/>
        <w:ind w:left="540" w:hanging="540"/>
        <w:rPr>
          <w:rFonts w:ascii="Calibri" w:hAnsi="Calibri" w:cs="Calibri"/>
          <w:lang w:eastAsia="en-GB"/>
        </w:rPr>
      </w:pPr>
      <w:r w:rsidRPr="00865868">
        <w:rPr>
          <w:rFonts w:ascii="Calibri" w:hAnsi="Calibri" w:cs="Calibri"/>
          <w:b/>
          <w:bCs/>
          <w:lang w:eastAsia="en-GB"/>
        </w:rPr>
        <w:t>NOTING</w:t>
      </w:r>
      <w:r w:rsidRPr="008C20BD">
        <w:rPr>
          <w:rFonts w:ascii="Calibri" w:hAnsi="Calibri" w:cs="Calibri"/>
          <w:lang w:eastAsia="en-GB"/>
        </w:rPr>
        <w:t xml:space="preserve"> the wide spatial range of Japanese longline fishing operations and the shift since 2011 toward targeting more temperate tuna rather than tropical tunas—resulting in operations moving further south and reducing pressure on blue marlin— the WPB </w:t>
      </w:r>
      <w:r w:rsidRPr="00865868">
        <w:rPr>
          <w:rFonts w:ascii="Calibri" w:hAnsi="Calibri" w:cs="Calibri"/>
          <w:b/>
          <w:bCs/>
          <w:lang w:eastAsia="en-GB"/>
        </w:rPr>
        <w:t>DISCUSSED</w:t>
      </w:r>
      <w:r w:rsidRPr="008C20BD">
        <w:rPr>
          <w:rFonts w:ascii="Calibri" w:hAnsi="Calibri" w:cs="Calibri"/>
          <w:lang w:eastAsia="en-GB"/>
        </w:rPr>
        <w:t xml:space="preserve"> the treatment of variables in spatial and spatio-temporal models, and the circumstances under which each approach should be applied. It was </w:t>
      </w:r>
      <w:r w:rsidRPr="00865868">
        <w:rPr>
          <w:rFonts w:ascii="Calibri" w:hAnsi="Calibri" w:cs="Calibri"/>
          <w:b/>
          <w:bCs/>
          <w:lang w:eastAsia="en-GB"/>
        </w:rPr>
        <w:t>NOTED</w:t>
      </w:r>
      <w:r w:rsidRPr="008C20BD">
        <w:rPr>
          <w:rFonts w:ascii="Calibri" w:hAnsi="Calibri" w:cs="Calibri"/>
          <w:lang w:eastAsia="en-GB"/>
        </w:rPr>
        <w:t xml:space="preserve"> that a spatial random effect model may be appropriate when important factor</w:t>
      </w:r>
      <w:r w:rsidR="0036787C">
        <w:rPr>
          <w:rFonts w:ascii="Calibri" w:hAnsi="Calibri" w:cs="Calibri"/>
          <w:lang w:eastAsia="en-GB"/>
        </w:rPr>
        <w:t>s</w:t>
      </w:r>
      <w:r w:rsidRPr="008C20BD">
        <w:rPr>
          <w:rFonts w:ascii="Calibri" w:hAnsi="Calibri" w:cs="Calibri"/>
          <w:lang w:eastAsia="en-GB"/>
        </w:rPr>
        <w:t xml:space="preserve"> influencing fish distribution </w:t>
      </w:r>
      <w:r w:rsidR="0036787C">
        <w:rPr>
          <w:rFonts w:ascii="Calibri" w:hAnsi="Calibri" w:cs="Calibri"/>
          <w:lang w:eastAsia="en-GB"/>
        </w:rPr>
        <w:t>are</w:t>
      </w:r>
      <w:r w:rsidRPr="008C20BD">
        <w:rPr>
          <w:rFonts w:ascii="Calibri" w:hAnsi="Calibri" w:cs="Calibri"/>
          <w:lang w:eastAsia="en-GB"/>
        </w:rPr>
        <w:t xml:space="preserve"> not explicitly included in the model, rather than relying solely on latitude and longitude as explanatory variables. </w:t>
      </w:r>
    </w:p>
    <w:p w14:paraId="12EC44E5" w14:textId="23E1DC9C" w:rsidR="008C20BD" w:rsidRPr="008C20BD" w:rsidRDefault="008C20BD" w:rsidP="008C20BD">
      <w:pPr>
        <w:pStyle w:val="IOTCReportNormalNumbered"/>
        <w:spacing w:after="120"/>
        <w:ind w:left="540" w:hanging="540"/>
        <w:rPr>
          <w:rFonts w:ascii="Calibri" w:hAnsi="Calibri" w:cs="Calibri"/>
          <w:lang w:eastAsia="en-GB"/>
        </w:rPr>
      </w:pPr>
      <w:r w:rsidRPr="008C20BD">
        <w:rPr>
          <w:rFonts w:ascii="Calibri" w:hAnsi="Calibri" w:cs="Calibri"/>
          <w:lang w:eastAsia="en-GB"/>
        </w:rPr>
        <w:t xml:space="preserve">Further, the use of spatio-temporal random effects is warranted when it is believed that fish distribution, or the probability of observing fish, changes spatially over time. These random variables are intended to capture effects that may influence the change of spatial distribution of the stock, as well as changes in fleet efficiency in </w:t>
      </w:r>
      <w:r w:rsidRPr="008C20BD">
        <w:rPr>
          <w:rFonts w:ascii="Calibri" w:hAnsi="Calibri" w:cs="Calibri"/>
          <w:lang w:eastAsia="en-GB"/>
        </w:rPr>
        <w:lastRenderedPageBreak/>
        <w:t>capturing or retaining the species in particular locations. However, whenever spatio-temporal effects are included, it is important to clearly consider the rationale for doing so. One concern is that such effects may “explain away” true biomass trends, potentially flattening the index relative to the underlying abundance signal.</w:t>
      </w:r>
    </w:p>
    <w:p w14:paraId="0D1BC8C8" w14:textId="77777777" w:rsidR="008C20BD" w:rsidRPr="008C20BD" w:rsidRDefault="008C20BD" w:rsidP="008C20BD">
      <w:pPr>
        <w:pStyle w:val="IOTCReportNormalNumbered"/>
        <w:spacing w:after="120"/>
        <w:ind w:left="540" w:hanging="540"/>
        <w:rPr>
          <w:rFonts w:ascii="Calibri" w:hAnsi="Calibri" w:cs="Calibri"/>
          <w:lang w:eastAsia="en-GB"/>
        </w:rPr>
      </w:pPr>
      <w:r w:rsidRPr="008C20BD">
        <w:rPr>
          <w:rFonts w:ascii="Calibri" w:hAnsi="Calibri" w:cs="Calibri"/>
          <w:lang w:eastAsia="en-GB"/>
        </w:rPr>
        <w:t xml:space="preserve">For the current study, the author explained that the spatio-temporal effects could account for changes in targeting over time. </w:t>
      </w:r>
      <w:r w:rsidRPr="0080264B">
        <w:rPr>
          <w:rFonts w:ascii="Calibri" w:hAnsi="Calibri" w:cs="Calibri"/>
          <w:b/>
          <w:bCs/>
          <w:lang w:eastAsia="en-GB"/>
        </w:rPr>
        <w:t>NOTING</w:t>
      </w:r>
      <w:r w:rsidRPr="008C20BD">
        <w:rPr>
          <w:rFonts w:ascii="Calibri" w:hAnsi="Calibri" w:cs="Calibri"/>
          <w:lang w:eastAsia="en-GB"/>
        </w:rPr>
        <w:t xml:space="preserve"> that the cluster variable already included in the model may account for some of the targeting effect, the WPB </w:t>
      </w:r>
      <w:r w:rsidRPr="0080264B">
        <w:rPr>
          <w:rFonts w:ascii="Calibri" w:hAnsi="Calibri" w:cs="Calibri"/>
          <w:b/>
          <w:bCs/>
          <w:lang w:eastAsia="en-GB"/>
        </w:rPr>
        <w:t>SUGGESTED</w:t>
      </w:r>
      <w:r w:rsidRPr="008C20BD">
        <w:rPr>
          <w:rFonts w:ascii="Calibri" w:hAnsi="Calibri" w:cs="Calibri"/>
          <w:lang w:eastAsia="en-GB"/>
        </w:rPr>
        <w:t xml:space="preserve"> investigating both the inclusion of a cluster fixed effect together with the spatial random effects, and the inclusion of spatio-temporal effects while excluding the cluster variable.</w:t>
      </w:r>
    </w:p>
    <w:p w14:paraId="7DF24DFC" w14:textId="77777777" w:rsidR="008C20BD" w:rsidRPr="008C20BD" w:rsidRDefault="008C20BD" w:rsidP="008C20BD">
      <w:pPr>
        <w:pStyle w:val="IOTCReportNormalNumbered"/>
        <w:spacing w:after="120"/>
        <w:ind w:left="540" w:hanging="540"/>
        <w:rPr>
          <w:rFonts w:ascii="Calibri" w:hAnsi="Calibri" w:cs="Calibri"/>
          <w:lang w:eastAsia="en-GB"/>
        </w:rPr>
      </w:pPr>
      <w:r w:rsidRPr="008C20BD">
        <w:rPr>
          <w:rFonts w:ascii="Calibri" w:hAnsi="Calibri" w:cs="Calibri"/>
          <w:lang w:eastAsia="en-GB"/>
        </w:rPr>
        <w:t xml:space="preserve">The WPB also </w:t>
      </w:r>
      <w:r w:rsidRPr="0080264B">
        <w:rPr>
          <w:rFonts w:ascii="Calibri" w:hAnsi="Calibri" w:cs="Calibri"/>
          <w:b/>
          <w:bCs/>
          <w:lang w:eastAsia="en-GB"/>
        </w:rPr>
        <w:t>NOTED</w:t>
      </w:r>
      <w:r w:rsidRPr="008C20BD">
        <w:rPr>
          <w:rFonts w:ascii="Calibri" w:hAnsi="Calibri" w:cs="Calibri"/>
          <w:lang w:eastAsia="en-GB"/>
        </w:rPr>
        <w:t xml:space="preserve"> that variations in hooks per basket is associated with species targeting and that this should also be considered in the model.</w:t>
      </w:r>
    </w:p>
    <w:p w14:paraId="4192CF0E" w14:textId="4ADDC76B" w:rsidR="00050594" w:rsidRPr="008C20BD" w:rsidRDefault="008C20BD" w:rsidP="008C20BD">
      <w:pPr>
        <w:pStyle w:val="IOTCReportNormalNumbered"/>
        <w:spacing w:after="120"/>
        <w:ind w:left="540" w:hanging="540"/>
        <w:rPr>
          <w:rFonts w:ascii="Calibri" w:hAnsi="Calibri" w:cs="Calibri"/>
          <w:lang w:eastAsia="en-GB"/>
        </w:rPr>
      </w:pPr>
      <w:r w:rsidRPr="008C20BD">
        <w:rPr>
          <w:rFonts w:ascii="Calibri" w:hAnsi="Calibri" w:cs="Calibri"/>
          <w:lang w:eastAsia="en-GB"/>
        </w:rPr>
        <w:t xml:space="preserve">The WPB </w:t>
      </w:r>
      <w:r w:rsidRPr="0080264B">
        <w:rPr>
          <w:rFonts w:ascii="Calibri" w:hAnsi="Calibri" w:cs="Calibri"/>
          <w:b/>
          <w:bCs/>
          <w:lang w:eastAsia="en-GB"/>
        </w:rPr>
        <w:t>DISCUSSED</w:t>
      </w:r>
      <w:r w:rsidRPr="008C20BD">
        <w:rPr>
          <w:rFonts w:ascii="Calibri" w:hAnsi="Calibri" w:cs="Calibri"/>
          <w:lang w:eastAsia="en-GB"/>
        </w:rPr>
        <w:t xml:space="preserve"> the use of hooks between floats (HBF) as a proxy for fishing depth, </w:t>
      </w:r>
      <w:r w:rsidRPr="0080264B">
        <w:rPr>
          <w:rFonts w:ascii="Calibri" w:hAnsi="Calibri" w:cs="Calibri"/>
          <w:b/>
          <w:bCs/>
          <w:lang w:eastAsia="en-GB"/>
        </w:rPr>
        <w:t>NOTING</w:t>
      </w:r>
      <w:r w:rsidRPr="008C20BD">
        <w:rPr>
          <w:rFonts w:ascii="Calibri" w:hAnsi="Calibri" w:cs="Calibri"/>
          <w:lang w:eastAsia="en-GB"/>
        </w:rPr>
        <w:t xml:space="preserve"> that this parameter may be unreliable for blue marlin and for other species as well. Despite these limitations, it remains the only available metric to approximate gear depth in the data. Assessments in the Pacific raised some concerns that this method may not adequately capture this characteristic for marlin species primarily caught near the surface. The WPB cautioned that apparent depletion patterns may reflect artifacts of the standardization process, though they may also represent real trends, and </w:t>
      </w:r>
      <w:r w:rsidR="00374288" w:rsidRPr="0080264B">
        <w:rPr>
          <w:rFonts w:ascii="Calibri" w:hAnsi="Calibri" w:cs="Calibri"/>
          <w:b/>
          <w:bCs/>
          <w:lang w:eastAsia="en-GB"/>
        </w:rPr>
        <w:t>SUGGESTED</w:t>
      </w:r>
      <w:r w:rsidR="00374288" w:rsidRPr="008C20BD">
        <w:rPr>
          <w:rFonts w:ascii="Calibri" w:hAnsi="Calibri" w:cs="Calibri"/>
          <w:lang w:eastAsia="en-GB"/>
        </w:rPr>
        <w:t xml:space="preserve"> </w:t>
      </w:r>
      <w:r w:rsidRPr="008C20BD">
        <w:rPr>
          <w:rFonts w:ascii="Calibri" w:hAnsi="Calibri" w:cs="Calibri"/>
          <w:lang w:eastAsia="en-GB"/>
        </w:rPr>
        <w:t>that the effect of HBF on the standardized results should be carefully examined.</w:t>
      </w:r>
    </w:p>
    <w:p w14:paraId="3DBF1F7E" w14:textId="59519366" w:rsidR="00F70E1C" w:rsidRPr="001306B4" w:rsidRDefault="00A5677E" w:rsidP="001306B4">
      <w:pPr>
        <w:pStyle w:val="IOTCReportNormalNumbered"/>
        <w:spacing w:after="120"/>
        <w:ind w:left="540" w:hanging="540"/>
        <w:rPr>
          <w:rFonts w:ascii="Calibri" w:eastAsia="Calibri" w:hAnsi="Calibri" w:cs="Calibri"/>
          <w:color w:val="auto"/>
          <w:szCs w:val="22"/>
          <w:lang w:eastAsia="en-GB"/>
        </w:rPr>
      </w:pPr>
      <w:r w:rsidRPr="24FF6681">
        <w:rPr>
          <w:rFonts w:ascii="Calibri" w:hAnsi="Calibri" w:cs="Calibri"/>
          <w:lang w:eastAsia="en-GB"/>
        </w:rPr>
        <w:t xml:space="preserve">The WPB </w:t>
      </w:r>
      <w:r w:rsidRPr="24FF6681">
        <w:rPr>
          <w:rFonts w:ascii="Calibri" w:hAnsi="Calibri" w:cs="Calibri"/>
          <w:b/>
          <w:bCs/>
          <w:lang w:eastAsia="en-GB"/>
        </w:rPr>
        <w:t>NOTED</w:t>
      </w:r>
      <w:r w:rsidRPr="24FF6681">
        <w:rPr>
          <w:rFonts w:ascii="Calibri" w:hAnsi="Calibri" w:cs="Calibri"/>
          <w:lang w:eastAsia="en-GB"/>
        </w:rPr>
        <w:t xml:space="preserve"> paper</w:t>
      </w:r>
      <w:r w:rsidRPr="00F70E1C">
        <w:rPr>
          <w:rFonts w:ascii="Calibri" w:hAnsi="Calibri" w:cs="Calibri"/>
          <w:lang w:eastAsia="en-GB"/>
        </w:rPr>
        <w:t xml:space="preserve"> </w:t>
      </w:r>
      <w:hyperlink r:id="rId44" w:history="1">
        <w:r w:rsidR="00F70E1C" w:rsidRPr="003B24A3">
          <w:rPr>
            <w:rStyle w:val="Hyperlink"/>
            <w:rFonts w:ascii="Calibri" w:hAnsi="Calibri" w:cs="Calibri"/>
            <w:lang w:eastAsia="en-GB"/>
          </w:rPr>
          <w:t>IOTC-2025-WPB23-17</w:t>
        </w:r>
      </w:hyperlink>
      <w:r w:rsidR="003B24A3">
        <w:rPr>
          <w:rFonts w:ascii="Calibri" w:hAnsi="Calibri" w:cs="Calibri"/>
          <w:lang w:eastAsia="en-GB"/>
        </w:rPr>
        <w:t xml:space="preserve">, which describes  a </w:t>
      </w:r>
      <w:r w:rsidR="00F70E1C" w:rsidRPr="00F70E1C">
        <w:rPr>
          <w:rFonts w:ascii="Calibri" w:hAnsi="Calibri" w:cs="Calibri"/>
          <w:lang w:eastAsia="en-GB"/>
        </w:rPr>
        <w:t>CPUE standardization of blue marlin caught by the Taiwanese large-scale longline fishery in the Indian Ocean using GLM and sdmTMB</w:t>
      </w:r>
      <w:r w:rsidR="00E87536">
        <w:rPr>
          <w:rFonts w:ascii="Calibri" w:hAnsi="Calibri" w:cs="Calibri"/>
          <w:lang w:eastAsia="en-GB"/>
        </w:rPr>
        <w:t xml:space="preserve">, </w:t>
      </w:r>
      <w:r w:rsidR="00E87536" w:rsidRPr="1EA925F2">
        <w:rPr>
          <w:rFonts w:ascii="Calibri" w:eastAsia="Calibri" w:hAnsi="Calibri" w:cs="Calibri"/>
          <w:color w:val="auto"/>
          <w:szCs w:val="22"/>
          <w:lang w:eastAsia="en-GB"/>
        </w:rPr>
        <w:t xml:space="preserve">with the following abstract provided by the authors: </w:t>
      </w:r>
    </w:p>
    <w:p w14:paraId="7794B16D" w14:textId="159165F6" w:rsidR="006538D6" w:rsidRDefault="62A524BB" w:rsidP="001306B4">
      <w:pPr>
        <w:pStyle w:val="IOTCReportNormalNumbered"/>
        <w:numPr>
          <w:ilvl w:val="0"/>
          <w:numId w:val="0"/>
        </w:numPr>
        <w:spacing w:after="120" w:line="259" w:lineRule="auto"/>
        <w:ind w:left="900"/>
        <w:rPr>
          <w:rFonts w:ascii="Calibri" w:hAnsi="Calibri" w:cs="Calibri"/>
          <w:i/>
          <w:iCs/>
          <w:color w:val="000000" w:themeColor="text1"/>
          <w:lang w:eastAsia="en-GB"/>
        </w:rPr>
      </w:pPr>
      <w:r w:rsidRPr="001306B4">
        <w:rPr>
          <w:rFonts w:ascii="Calibri" w:hAnsi="Calibri" w:cs="Calibri"/>
          <w:i/>
          <w:iCs/>
          <w:color w:val="000000" w:themeColor="text1"/>
          <w:lang w:eastAsia="en-GB"/>
        </w:rPr>
        <w:t>“</w:t>
      </w:r>
      <w:r w:rsidR="001306B4" w:rsidRPr="001306B4">
        <w:rPr>
          <w:rFonts w:ascii="Calibri" w:hAnsi="Calibri" w:cs="Calibri"/>
          <w:i/>
          <w:iCs/>
          <w:color w:val="000000" w:themeColor="text1"/>
          <w:lang w:eastAsia="en-GB"/>
        </w:rPr>
        <w:t>This study presents the standardization of catch-per-unit-effort (CPUE) indices for blue marlin (Makaira nigricans) caught by the Taiwanese large-scale longline fishery in the Indian Ocean from 2005 to 2023. Daily logbook data were analyzed for the northwestern (NW) and northeastern (NE) regions, where blue marlin catches are most prevalent. Species targeting clusters were identified using hierarchical cluster analysis, and two CPUE standardization approaches were applied: delta-GLM with various distributions for positive catches, and the spatio-temporal mixed-effects model sdmTMB. Throughout the study period, a high proportion of zero-catch observations was recorded in both areas, highlighting the challenges of standardizing CPUE for bycatch species in this fishery. Both methods produced similar general trends in standardized CPUE, with a pronounced peak in the NW region during 2010–2015 and a subsequent decline, while the NE region showed more stable indices over time. The sdmTMB model provided smoother CPUE trajectories and better accounted for spatial and temporal heterogeneity</w:t>
      </w:r>
      <w:r w:rsidR="20EFA3C5" w:rsidRPr="001306B4">
        <w:rPr>
          <w:rFonts w:ascii="Calibri" w:hAnsi="Calibri" w:cs="Calibri"/>
          <w:i/>
          <w:iCs/>
          <w:color w:val="000000" w:themeColor="text1"/>
          <w:lang w:eastAsia="en-GB"/>
        </w:rPr>
        <w:t>”</w:t>
      </w:r>
    </w:p>
    <w:p w14:paraId="3D707ABF" w14:textId="7E7756B9" w:rsidR="00226CA5" w:rsidRPr="00226CA5" w:rsidRDefault="00226CA5" w:rsidP="00226CA5">
      <w:pPr>
        <w:pStyle w:val="IOTCReportNormalNumbered"/>
        <w:spacing w:after="120"/>
        <w:ind w:left="540" w:hanging="540"/>
        <w:rPr>
          <w:rFonts w:ascii="Calibri" w:hAnsi="Calibri" w:cs="Calibri"/>
          <w:lang w:eastAsia="en-GB"/>
        </w:rPr>
      </w:pPr>
      <w:r w:rsidRPr="00226CA5">
        <w:rPr>
          <w:rFonts w:ascii="Calibri" w:hAnsi="Calibri" w:cs="Calibri"/>
          <w:lang w:eastAsia="en-GB"/>
        </w:rPr>
        <w:t xml:space="preserve">The WPB </w:t>
      </w:r>
      <w:r w:rsidRPr="003440CE">
        <w:rPr>
          <w:rFonts w:ascii="Calibri" w:hAnsi="Calibri" w:cs="Calibri"/>
          <w:b/>
          <w:bCs/>
          <w:lang w:eastAsia="en-GB"/>
        </w:rPr>
        <w:t>NOTED</w:t>
      </w:r>
      <w:r w:rsidRPr="00226CA5">
        <w:rPr>
          <w:rFonts w:ascii="Calibri" w:hAnsi="Calibri" w:cs="Calibri"/>
          <w:lang w:eastAsia="en-GB"/>
        </w:rPr>
        <w:t xml:space="preserve"> that hooks between floats (HBF) is not a commonly used variable in the standardization analysis of the Taiwanese fishery; instead, cluster analysis is applied for tropical tunas to identify different fishing strategies across regions, which in turn </w:t>
      </w:r>
      <w:r w:rsidR="004F1601">
        <w:rPr>
          <w:rFonts w:ascii="Calibri" w:hAnsi="Calibri" w:cs="Calibri"/>
          <w:lang w:eastAsia="en-GB"/>
        </w:rPr>
        <w:t xml:space="preserve">may </w:t>
      </w:r>
      <w:r w:rsidRPr="00226CA5">
        <w:rPr>
          <w:rFonts w:ascii="Calibri" w:hAnsi="Calibri" w:cs="Calibri"/>
          <w:lang w:eastAsia="en-GB"/>
        </w:rPr>
        <w:t>provide an indirect means of accounting for depth effects.</w:t>
      </w:r>
    </w:p>
    <w:p w14:paraId="6BFA5EB5" w14:textId="4CF4E0BB" w:rsidR="00226CA5" w:rsidRPr="00226CA5" w:rsidRDefault="00226CA5" w:rsidP="00226CA5">
      <w:pPr>
        <w:pStyle w:val="IOTCReportNormalNumbered"/>
        <w:spacing w:after="120"/>
        <w:ind w:left="540" w:hanging="540"/>
        <w:rPr>
          <w:rFonts w:ascii="Calibri" w:hAnsi="Calibri" w:cs="Calibri"/>
          <w:lang w:eastAsia="en-GB"/>
        </w:rPr>
      </w:pPr>
      <w:r w:rsidRPr="00226CA5">
        <w:rPr>
          <w:rFonts w:ascii="Calibri" w:hAnsi="Calibri" w:cs="Calibri"/>
          <w:lang w:eastAsia="en-GB"/>
        </w:rPr>
        <w:t xml:space="preserve">The WPB </w:t>
      </w:r>
      <w:r w:rsidRPr="003440CE">
        <w:rPr>
          <w:rFonts w:ascii="Calibri" w:hAnsi="Calibri" w:cs="Calibri"/>
          <w:b/>
          <w:bCs/>
          <w:lang w:eastAsia="en-GB"/>
        </w:rPr>
        <w:t>NOTED</w:t>
      </w:r>
      <w:r w:rsidRPr="00226CA5">
        <w:rPr>
          <w:rFonts w:ascii="Calibri" w:hAnsi="Calibri" w:cs="Calibri"/>
          <w:lang w:eastAsia="en-GB"/>
        </w:rPr>
        <w:t xml:space="preserve"> that use of the sdTMB model resulted in flattened trends in both the NWIO and NEIO, with a slight increase in the terminal period compared to the delta-GLM results; it was further </w:t>
      </w:r>
      <w:r w:rsidR="008A1735" w:rsidRPr="003440CE">
        <w:rPr>
          <w:rFonts w:ascii="Calibri" w:hAnsi="Calibri" w:cs="Calibri"/>
          <w:b/>
          <w:bCs/>
          <w:lang w:eastAsia="en-GB"/>
        </w:rPr>
        <w:t>NOTED</w:t>
      </w:r>
      <w:r w:rsidR="008A1735" w:rsidRPr="00226CA5">
        <w:rPr>
          <w:rFonts w:ascii="Calibri" w:hAnsi="Calibri" w:cs="Calibri"/>
          <w:lang w:eastAsia="en-GB"/>
        </w:rPr>
        <w:t xml:space="preserve"> </w:t>
      </w:r>
      <w:r w:rsidRPr="00226CA5">
        <w:rPr>
          <w:rFonts w:ascii="Calibri" w:hAnsi="Calibri" w:cs="Calibri"/>
          <w:lang w:eastAsia="en-GB"/>
        </w:rPr>
        <w:t xml:space="preserve">that the dataset was divided into two areas to maintain continuity with previous standardization analyses. The WPB </w:t>
      </w:r>
      <w:r w:rsidRPr="004C47D6">
        <w:rPr>
          <w:rFonts w:ascii="Calibri" w:hAnsi="Calibri" w:cs="Calibri"/>
          <w:b/>
          <w:bCs/>
          <w:lang w:eastAsia="en-GB"/>
        </w:rPr>
        <w:t>SUGGESTED</w:t>
      </w:r>
      <w:r w:rsidRPr="00226CA5">
        <w:rPr>
          <w:rFonts w:ascii="Calibri" w:hAnsi="Calibri" w:cs="Calibri"/>
          <w:lang w:eastAsia="en-GB"/>
        </w:rPr>
        <w:t xml:space="preserve"> that combining the regions might be more appropriate, since the spatio-temporal model already accounts for uncertainties due to spatial stratification, and </w:t>
      </w:r>
      <w:r w:rsidR="00CB0B09" w:rsidRPr="00CB0B09">
        <w:rPr>
          <w:rFonts w:ascii="Calibri" w:hAnsi="Calibri" w:cs="Calibri"/>
          <w:b/>
          <w:bCs/>
          <w:lang w:eastAsia="en-GB"/>
        </w:rPr>
        <w:t>REQUESTED</w:t>
      </w:r>
      <w:r w:rsidRPr="00226CA5">
        <w:rPr>
          <w:rFonts w:ascii="Calibri" w:hAnsi="Calibri" w:cs="Calibri"/>
          <w:lang w:eastAsia="en-GB"/>
        </w:rPr>
        <w:t xml:space="preserve"> testing a spatial model against a spatio-temporal model to assess whether changes are attributable to temporal or spatial effects. The WPB also </w:t>
      </w:r>
      <w:r w:rsidRPr="00006F23">
        <w:rPr>
          <w:rFonts w:ascii="Calibri" w:hAnsi="Calibri" w:cs="Calibri"/>
          <w:b/>
          <w:bCs/>
          <w:lang w:eastAsia="en-GB"/>
        </w:rPr>
        <w:t>NOTED</w:t>
      </w:r>
      <w:r w:rsidRPr="00226CA5">
        <w:rPr>
          <w:rFonts w:ascii="Calibri" w:hAnsi="Calibri" w:cs="Calibri"/>
          <w:lang w:eastAsia="en-GB"/>
        </w:rPr>
        <w:t xml:space="preserve"> that sdTMB should be able to address spatio-temporal variability across the fishing grounds.</w:t>
      </w:r>
    </w:p>
    <w:p w14:paraId="2EA35664" w14:textId="09B79E47" w:rsidR="00226CA5" w:rsidRPr="003440CE" w:rsidRDefault="00226CA5" w:rsidP="003440CE">
      <w:pPr>
        <w:pStyle w:val="IOTCReportNormalNumbered"/>
        <w:spacing w:after="120"/>
        <w:ind w:left="540" w:hanging="540"/>
        <w:rPr>
          <w:rFonts w:ascii="Calibri" w:hAnsi="Calibri" w:cs="Calibri"/>
          <w:lang w:eastAsia="en-GB"/>
        </w:rPr>
      </w:pPr>
      <w:r w:rsidRPr="003440CE">
        <w:rPr>
          <w:rFonts w:ascii="Calibri" w:hAnsi="Calibri" w:cs="Calibri"/>
          <w:b/>
          <w:bCs/>
          <w:lang w:eastAsia="en-GB"/>
        </w:rPr>
        <w:t>NOTING</w:t>
      </w:r>
      <w:r w:rsidRPr="00226CA5">
        <w:rPr>
          <w:rFonts w:ascii="Calibri" w:hAnsi="Calibri" w:cs="Calibri"/>
          <w:lang w:eastAsia="en-GB"/>
        </w:rPr>
        <w:t xml:space="preserve"> that residuals analysis method is not consistent across models, limiting direct comparability, the WPB </w:t>
      </w:r>
      <w:r w:rsidRPr="003440CE">
        <w:rPr>
          <w:rFonts w:ascii="Calibri" w:hAnsi="Calibri" w:cs="Calibri"/>
          <w:b/>
          <w:bCs/>
          <w:lang w:eastAsia="en-GB"/>
        </w:rPr>
        <w:t>SUGGESTED</w:t>
      </w:r>
      <w:r w:rsidRPr="00226CA5">
        <w:rPr>
          <w:rFonts w:ascii="Calibri" w:hAnsi="Calibri" w:cs="Calibri"/>
          <w:lang w:eastAsia="en-GB"/>
        </w:rPr>
        <w:t xml:space="preserve"> using the R package DHARMa for residuals analysis for both models.</w:t>
      </w:r>
    </w:p>
    <w:p w14:paraId="711E706A" w14:textId="4EF31945" w:rsidR="00226CA5" w:rsidRPr="003440CE" w:rsidRDefault="00226CA5" w:rsidP="003440CE">
      <w:pPr>
        <w:pStyle w:val="IOTCReportNormalNumbered"/>
        <w:spacing w:after="120"/>
        <w:ind w:left="540" w:hanging="540"/>
        <w:rPr>
          <w:rFonts w:ascii="Calibri" w:hAnsi="Calibri" w:cs="Calibri"/>
          <w:lang w:eastAsia="en-GB"/>
        </w:rPr>
      </w:pPr>
      <w:r w:rsidRPr="00226CA5">
        <w:rPr>
          <w:rFonts w:ascii="Calibri" w:hAnsi="Calibri" w:cs="Calibri"/>
          <w:lang w:eastAsia="en-GB"/>
        </w:rPr>
        <w:t xml:space="preserve">The WPB further </w:t>
      </w:r>
      <w:r w:rsidRPr="003440CE">
        <w:rPr>
          <w:rFonts w:ascii="Calibri" w:hAnsi="Calibri" w:cs="Calibri"/>
          <w:b/>
          <w:bCs/>
          <w:lang w:eastAsia="en-GB"/>
        </w:rPr>
        <w:t>QUERIED</w:t>
      </w:r>
      <w:r w:rsidRPr="00226CA5">
        <w:rPr>
          <w:rFonts w:ascii="Calibri" w:hAnsi="Calibri" w:cs="Calibri"/>
          <w:lang w:eastAsia="en-GB"/>
        </w:rPr>
        <w:t xml:space="preserve"> the historical definition of areas in the Indian Ocean, </w:t>
      </w:r>
      <w:r w:rsidRPr="00FE29E9">
        <w:rPr>
          <w:rFonts w:ascii="Calibri" w:hAnsi="Calibri" w:cs="Calibri"/>
          <w:b/>
          <w:bCs/>
          <w:lang w:eastAsia="en-GB"/>
        </w:rPr>
        <w:t>RECALLING</w:t>
      </w:r>
      <w:r w:rsidRPr="00226CA5">
        <w:rPr>
          <w:rFonts w:ascii="Calibri" w:hAnsi="Calibri" w:cs="Calibri"/>
          <w:lang w:eastAsia="en-GB"/>
        </w:rPr>
        <w:t xml:space="preserve"> that it had originally been separated into four regions as defined by Wang and Nishida (2011) using Taiwanese and Japanese datasets; it was considered that this area definition may now be outdated given the availability of spatio-temporal models. The WPB also </w:t>
      </w:r>
      <w:r w:rsidRPr="003440CE">
        <w:rPr>
          <w:rFonts w:ascii="Calibri" w:hAnsi="Calibri" w:cs="Calibri"/>
          <w:b/>
          <w:bCs/>
          <w:lang w:eastAsia="en-GB"/>
        </w:rPr>
        <w:t>NOTED</w:t>
      </w:r>
      <w:r w:rsidRPr="00226CA5">
        <w:rPr>
          <w:rFonts w:ascii="Calibri" w:hAnsi="Calibri" w:cs="Calibri"/>
          <w:lang w:eastAsia="en-GB"/>
        </w:rPr>
        <w:t xml:space="preserve"> that there have been large changes in targeting in the northeast and northwest Indian Ocean, with the author confirming that targeting in the northeast by Taiwanese fisheries has declined markedly, as progressively fewer vessels have operated there in recent years compared to earlier periods. The WPB </w:t>
      </w:r>
      <w:r w:rsidRPr="003440CE">
        <w:rPr>
          <w:rFonts w:ascii="Calibri" w:hAnsi="Calibri" w:cs="Calibri"/>
          <w:b/>
          <w:bCs/>
          <w:lang w:eastAsia="en-GB"/>
        </w:rPr>
        <w:t>DISCUSSED</w:t>
      </w:r>
      <w:r w:rsidRPr="00226CA5">
        <w:rPr>
          <w:rFonts w:ascii="Calibri" w:hAnsi="Calibri" w:cs="Calibri"/>
          <w:lang w:eastAsia="en-GB"/>
        </w:rPr>
        <w:t xml:space="preserve"> the issue of area stratification and </w:t>
      </w:r>
      <w:r w:rsidRPr="003440CE">
        <w:rPr>
          <w:rFonts w:ascii="Calibri" w:hAnsi="Calibri" w:cs="Calibri"/>
          <w:b/>
          <w:bCs/>
          <w:lang w:eastAsia="en-GB"/>
        </w:rPr>
        <w:t>NOTED</w:t>
      </w:r>
      <w:r w:rsidRPr="00226CA5">
        <w:rPr>
          <w:rFonts w:ascii="Calibri" w:hAnsi="Calibri" w:cs="Calibri"/>
          <w:lang w:eastAsia="en-GB"/>
        </w:rPr>
        <w:t xml:space="preserve"> support for combining areas in future analyses. </w:t>
      </w:r>
    </w:p>
    <w:p w14:paraId="18A2980A" w14:textId="282FD054" w:rsidR="00226CA5" w:rsidRPr="003440CE" w:rsidRDefault="00226CA5" w:rsidP="003440CE">
      <w:pPr>
        <w:pStyle w:val="IOTCReportNormalNumbered"/>
        <w:spacing w:after="120"/>
        <w:ind w:left="540" w:hanging="540"/>
        <w:rPr>
          <w:rFonts w:ascii="Calibri" w:hAnsi="Calibri" w:cs="Calibri"/>
          <w:lang w:eastAsia="en-GB"/>
        </w:rPr>
      </w:pPr>
      <w:r w:rsidRPr="00226CA5">
        <w:rPr>
          <w:rFonts w:ascii="Calibri" w:hAnsi="Calibri" w:cs="Calibri"/>
          <w:lang w:eastAsia="en-GB"/>
        </w:rPr>
        <w:t xml:space="preserve">The WPB </w:t>
      </w:r>
      <w:r w:rsidRPr="006636F7">
        <w:rPr>
          <w:rFonts w:ascii="Calibri" w:hAnsi="Calibri" w:cs="Calibri"/>
          <w:b/>
          <w:bCs/>
          <w:lang w:eastAsia="en-GB"/>
        </w:rPr>
        <w:t>REQUESTED</w:t>
      </w:r>
      <w:r w:rsidRPr="00226CA5">
        <w:rPr>
          <w:rFonts w:ascii="Calibri" w:hAnsi="Calibri" w:cs="Calibri"/>
          <w:lang w:eastAsia="en-GB"/>
        </w:rPr>
        <w:t xml:space="preserve"> clarification on the relative performance of the two models and a clear recommendation as to which approach is preferable. In particular, the WPB </w:t>
      </w:r>
      <w:r w:rsidRPr="00382962">
        <w:rPr>
          <w:rFonts w:ascii="Calibri" w:hAnsi="Calibri" w:cs="Calibri"/>
          <w:b/>
          <w:bCs/>
          <w:lang w:eastAsia="en-GB"/>
        </w:rPr>
        <w:t>DISCUSSED</w:t>
      </w:r>
      <w:r w:rsidRPr="00226CA5">
        <w:rPr>
          <w:rFonts w:ascii="Calibri" w:hAnsi="Calibri" w:cs="Calibri"/>
          <w:lang w:eastAsia="en-GB"/>
        </w:rPr>
        <w:t xml:space="preserve"> whether a CV of 0.2 is too low and whether </w:t>
      </w:r>
      <w:r w:rsidRPr="00226CA5">
        <w:rPr>
          <w:rFonts w:ascii="Calibri" w:hAnsi="Calibri" w:cs="Calibri"/>
          <w:lang w:eastAsia="en-GB"/>
        </w:rPr>
        <w:lastRenderedPageBreak/>
        <w:t xml:space="preserve">the reported values are close to, or substantially different from, this threshold. It was </w:t>
      </w:r>
      <w:r w:rsidRPr="00B11630">
        <w:rPr>
          <w:rFonts w:ascii="Calibri" w:hAnsi="Calibri" w:cs="Calibri"/>
          <w:b/>
          <w:bCs/>
          <w:lang w:eastAsia="en-GB"/>
        </w:rPr>
        <w:t>AGREED</w:t>
      </w:r>
      <w:r w:rsidRPr="00226CA5">
        <w:rPr>
          <w:rFonts w:ascii="Calibri" w:hAnsi="Calibri" w:cs="Calibri"/>
          <w:lang w:eastAsia="en-GB"/>
        </w:rPr>
        <w:t xml:space="preserve"> that further explanation is required to interpret the uncertainty estimates and to provide guidance on how these should be weighed</w:t>
      </w:r>
      <w:r w:rsidR="00364C7D">
        <w:rPr>
          <w:rFonts w:ascii="Calibri" w:hAnsi="Calibri" w:cs="Calibri"/>
          <w:lang w:eastAsia="en-GB"/>
        </w:rPr>
        <w:t xml:space="preserve"> in the assessment model</w:t>
      </w:r>
      <w:r w:rsidRPr="00226CA5">
        <w:rPr>
          <w:rFonts w:ascii="Calibri" w:hAnsi="Calibri" w:cs="Calibri"/>
          <w:lang w:eastAsia="en-GB"/>
        </w:rPr>
        <w:t>.</w:t>
      </w:r>
    </w:p>
    <w:p w14:paraId="7A3F8D9F" w14:textId="2CB333A7" w:rsidR="00BF5532" w:rsidRPr="005B2BD4" w:rsidRDefault="00226CA5" w:rsidP="005B2BD4">
      <w:pPr>
        <w:pStyle w:val="IOTCReportNormalNumbered"/>
        <w:spacing w:after="120"/>
        <w:ind w:left="540" w:hanging="540"/>
        <w:rPr>
          <w:rFonts w:ascii="Calibri" w:hAnsi="Calibri" w:cs="Calibri"/>
          <w:lang w:eastAsia="en-GB"/>
        </w:rPr>
      </w:pPr>
      <w:r w:rsidRPr="00226CA5">
        <w:rPr>
          <w:rFonts w:ascii="Calibri" w:hAnsi="Calibri" w:cs="Calibri"/>
          <w:lang w:eastAsia="en-GB"/>
        </w:rPr>
        <w:t xml:space="preserve">The WPB </w:t>
      </w:r>
      <w:r w:rsidRPr="000F4085">
        <w:rPr>
          <w:rFonts w:ascii="Calibri" w:hAnsi="Calibri" w:cs="Calibri"/>
          <w:b/>
          <w:bCs/>
          <w:lang w:eastAsia="en-GB"/>
        </w:rPr>
        <w:t>REQUESTED</w:t>
      </w:r>
      <w:r w:rsidRPr="00226CA5">
        <w:rPr>
          <w:rFonts w:ascii="Calibri" w:hAnsi="Calibri" w:cs="Calibri"/>
          <w:lang w:eastAsia="en-GB"/>
        </w:rPr>
        <w:t xml:space="preserve"> that this paper include a figure presenting both the combined standardized and nominal CPUE series for comparison.</w:t>
      </w:r>
    </w:p>
    <w:p w14:paraId="07FD3BD4" w14:textId="18CC54F0" w:rsidR="00BF5532" w:rsidRPr="005B2BD4" w:rsidRDefault="005E2D62" w:rsidP="005B2BD4">
      <w:pPr>
        <w:pStyle w:val="IOTCReportNormalNumbered"/>
        <w:spacing w:after="120"/>
        <w:ind w:left="540" w:hanging="540"/>
        <w:rPr>
          <w:rFonts w:ascii="Calibri" w:hAnsi="Calibri" w:cs="Calibri"/>
          <w:lang w:eastAsia="en-GB"/>
        </w:rPr>
      </w:pPr>
      <w:r w:rsidRPr="005B2BD4">
        <w:rPr>
          <w:rFonts w:ascii="Calibri" w:hAnsi="Calibri" w:cs="Calibri"/>
          <w:lang w:eastAsia="en-GB"/>
        </w:rPr>
        <w:t xml:space="preserve">The WPB </w:t>
      </w:r>
      <w:r w:rsidRPr="005B2BD4">
        <w:rPr>
          <w:rFonts w:ascii="Calibri" w:hAnsi="Calibri" w:cs="Calibri"/>
          <w:b/>
          <w:bCs/>
          <w:lang w:eastAsia="en-GB"/>
        </w:rPr>
        <w:t>NOTED</w:t>
      </w:r>
      <w:r w:rsidRPr="005B2BD4">
        <w:rPr>
          <w:rFonts w:ascii="Calibri" w:hAnsi="Calibri" w:cs="Calibri"/>
          <w:lang w:eastAsia="en-GB"/>
        </w:rPr>
        <w:t xml:space="preserve"> that, for several years, joint analyses combining catch and effort data from major longline fleets have been proposed to improve the CPUE index for billfish species, and that the WPEB recommended investigating methods to compare CPUE indices across fleets and to develop joint CPUE indices for bycatch species. The WPB also </w:t>
      </w:r>
      <w:r w:rsidRPr="00440291">
        <w:rPr>
          <w:rFonts w:ascii="Calibri" w:hAnsi="Calibri" w:cs="Calibri"/>
          <w:b/>
          <w:bCs/>
          <w:lang w:eastAsia="en-GB"/>
        </w:rPr>
        <w:t>NOTED</w:t>
      </w:r>
      <w:r w:rsidRPr="005B2BD4">
        <w:rPr>
          <w:rFonts w:ascii="Calibri" w:hAnsi="Calibri" w:cs="Calibri"/>
          <w:lang w:eastAsia="en-GB"/>
        </w:rPr>
        <w:t xml:space="preserve"> that these suggestions are based on a methodological perspective that such analyses could harmonize standardization methods, reconcile conflicts between indices developed from different fleets, and potentially produce more robust indices with broader spatial and temporal coverage. The WPB further </w:t>
      </w:r>
      <w:r w:rsidRPr="00440291">
        <w:rPr>
          <w:rFonts w:ascii="Calibri" w:hAnsi="Calibri" w:cs="Calibri"/>
          <w:b/>
          <w:bCs/>
          <w:lang w:eastAsia="en-GB"/>
        </w:rPr>
        <w:t>NOTED</w:t>
      </w:r>
      <w:r w:rsidRPr="005B2BD4">
        <w:rPr>
          <w:rFonts w:ascii="Calibri" w:hAnsi="Calibri" w:cs="Calibri"/>
          <w:lang w:eastAsia="en-GB"/>
        </w:rPr>
        <w:t xml:space="preserve"> that it is at the discretion of CPCs to determine the feasibility of such collaboration, considering data confidentiality agreements and other logistical arrangements. The WPB </w:t>
      </w:r>
      <w:r w:rsidRPr="00440291">
        <w:rPr>
          <w:rFonts w:ascii="Calibri" w:hAnsi="Calibri" w:cs="Calibri"/>
          <w:b/>
          <w:bCs/>
          <w:lang w:eastAsia="en-GB"/>
        </w:rPr>
        <w:t>AGREED</w:t>
      </w:r>
      <w:r w:rsidRPr="005B2BD4">
        <w:rPr>
          <w:rFonts w:ascii="Calibri" w:hAnsi="Calibri" w:cs="Calibri"/>
          <w:lang w:eastAsia="en-GB"/>
        </w:rPr>
        <w:t xml:space="preserve"> on the importance of establishing a process to discuss how to move forward. Noting that joint CPUE analysis arrangements already exist for the standardization of tropical and temperate tuna, the WPB </w:t>
      </w:r>
      <w:r w:rsidRPr="00440291">
        <w:rPr>
          <w:rFonts w:ascii="Calibri" w:hAnsi="Calibri" w:cs="Calibri"/>
          <w:b/>
          <w:bCs/>
          <w:lang w:eastAsia="en-GB"/>
        </w:rPr>
        <w:t>RECOMMENDED</w:t>
      </w:r>
      <w:r w:rsidRPr="005B2BD4">
        <w:rPr>
          <w:rFonts w:ascii="Calibri" w:hAnsi="Calibri" w:cs="Calibri"/>
          <w:lang w:eastAsia="en-GB"/>
        </w:rPr>
        <w:t xml:space="preserve"> that the SC advise the Commission to urge CPCs to explore ways to extend joint analyses to bycatch species, such as marlins.</w:t>
      </w:r>
    </w:p>
    <w:p w14:paraId="29C3E626" w14:textId="40082C2D" w:rsidR="00243D07" w:rsidRPr="006A717F" w:rsidRDefault="00243D07" w:rsidP="005B2BD4">
      <w:pPr>
        <w:pStyle w:val="IOTCReportNormalNumbered"/>
        <w:spacing w:after="120"/>
        <w:ind w:left="540" w:hanging="540"/>
        <w:rPr>
          <w:rFonts w:ascii="Calibri" w:hAnsi="Calibri" w:cs="Calibri"/>
          <w:lang w:eastAsia="en-GB"/>
        </w:rPr>
      </w:pPr>
      <w:r w:rsidRPr="006A717F">
        <w:rPr>
          <w:rFonts w:ascii="Calibri" w:hAnsi="Calibri" w:cs="Calibri"/>
          <w:lang w:eastAsia="en-GB"/>
        </w:rPr>
        <w:t xml:space="preserve">The WPB </w:t>
      </w:r>
      <w:r w:rsidRPr="006A717F">
        <w:rPr>
          <w:rFonts w:ascii="Calibri" w:hAnsi="Calibri" w:cs="Calibri"/>
          <w:b/>
          <w:bCs/>
          <w:lang w:eastAsia="en-GB"/>
        </w:rPr>
        <w:t>AGREED</w:t>
      </w:r>
      <w:r w:rsidRPr="006A717F">
        <w:rPr>
          <w:rFonts w:ascii="Calibri" w:hAnsi="Calibri" w:cs="Calibri"/>
          <w:lang w:eastAsia="en-GB"/>
        </w:rPr>
        <w:t xml:space="preserve"> that the CPUE standardization process could be made more consistent and transparent by adopting common protocols and guidelines endorsed by the SC,</w:t>
      </w:r>
      <w:r w:rsidR="009C7820" w:rsidRPr="006A717F">
        <w:rPr>
          <w:rFonts w:ascii="Calibri" w:hAnsi="Calibri" w:cs="Calibri"/>
          <w:lang w:eastAsia="en-GB"/>
        </w:rPr>
        <w:t xml:space="preserve"> </w:t>
      </w:r>
      <w:r w:rsidRPr="006A717F">
        <w:rPr>
          <w:rFonts w:ascii="Calibri" w:hAnsi="Calibri" w:cs="Calibri"/>
          <w:lang w:eastAsia="en-GB"/>
        </w:rPr>
        <w:t>and encouraged developing standard code through the WPM which could improve transparency and facilitate comparable models at species working parties. The WPB RECALLED that the Scientific Committee, at its 17th Session, adopted guidelines for presenting the standardized CPUE index (</w:t>
      </w:r>
      <w:hyperlink r:id="rId45" w:tgtFrame="_blank" w:history="1">
        <w:r w:rsidRPr="006A717F">
          <w:rPr>
            <w:rStyle w:val="Hyperlink"/>
            <w:rFonts w:ascii="Calibri" w:hAnsi="Calibri" w:cs="Calibri"/>
          </w:rPr>
          <w:t>IOTC–2014–SC17–06</w:t>
        </w:r>
      </w:hyperlink>
      <w:r w:rsidRPr="006A717F">
        <w:rPr>
          <w:rFonts w:ascii="Calibri" w:hAnsi="Calibri" w:cs="Calibri"/>
          <w:lang w:eastAsia="en-GB"/>
        </w:rPr>
        <w:t>); however, standardization methods have since evolved, with many new methods now prevalent. Therefore, revising or developing new guidelines is important to guide the standardization analyses conducted by IOTC species working parties, including the WPB.</w:t>
      </w:r>
    </w:p>
    <w:p w14:paraId="3705B36C" w14:textId="38208884" w:rsidR="00243D07" w:rsidRPr="0092148A" w:rsidRDefault="00243D07" w:rsidP="0092148A">
      <w:pPr>
        <w:pStyle w:val="IOTCReportNormalNumbered"/>
        <w:spacing w:after="120"/>
        <w:ind w:left="540" w:hanging="540"/>
        <w:rPr>
          <w:rFonts w:ascii="Calibri" w:hAnsi="Calibri" w:cs="Calibri"/>
          <w:lang w:eastAsia="en-GB"/>
        </w:rPr>
      </w:pPr>
      <w:r w:rsidRPr="005B2BD4">
        <w:rPr>
          <w:rFonts w:ascii="Calibri" w:hAnsi="Calibri" w:cs="Calibri"/>
          <w:lang w:eastAsia="en-GB"/>
        </w:rPr>
        <w:t xml:space="preserve">Following these discussions, the author of document </w:t>
      </w:r>
      <w:hyperlink r:id="rId46" w:history="1">
        <w:r w:rsidR="00E17147" w:rsidRPr="00DE325C">
          <w:rPr>
            <w:rStyle w:val="Hyperlink"/>
            <w:rFonts w:ascii="Calibri" w:hAnsi="Calibri" w:cs="Calibri"/>
            <w:lang w:eastAsia="en-GB"/>
          </w:rPr>
          <w:t>IOTC-2025-WPB23-16</w:t>
        </w:r>
      </w:hyperlink>
      <w:r w:rsidRPr="005B2BD4">
        <w:rPr>
          <w:rFonts w:ascii="Calibri" w:hAnsi="Calibri" w:cs="Calibri"/>
          <w:lang w:eastAsia="en-GB"/>
        </w:rPr>
        <w:t xml:space="preserve"> tentatively drafted Guidelines for Longline CPUE Standardization (</w:t>
      </w:r>
      <w:hyperlink w:anchor="APP9" w:history="1">
        <w:r w:rsidRPr="00F6387D">
          <w:rPr>
            <w:rStyle w:val="Hyperlink"/>
            <w:rFonts w:ascii="Calibri" w:hAnsi="Calibri" w:cs="Calibri"/>
            <w:lang w:eastAsia="en-GB"/>
          </w:rPr>
          <w:t xml:space="preserve">Appendix </w:t>
        </w:r>
        <w:r w:rsidR="00520E39" w:rsidRPr="00F6387D">
          <w:rPr>
            <w:rStyle w:val="Hyperlink"/>
            <w:rFonts w:ascii="Calibri" w:hAnsi="Calibri" w:cs="Calibri"/>
            <w:lang w:eastAsia="en-GB"/>
          </w:rPr>
          <w:t>I</w:t>
        </w:r>
        <w:r w:rsidRPr="00F6387D">
          <w:rPr>
            <w:rStyle w:val="Hyperlink"/>
            <w:rFonts w:ascii="Calibri" w:hAnsi="Calibri" w:cs="Calibri"/>
            <w:lang w:eastAsia="en-GB"/>
          </w:rPr>
          <w:t>X</w:t>
        </w:r>
      </w:hyperlink>
      <w:r w:rsidRPr="005B2BD4">
        <w:rPr>
          <w:rFonts w:ascii="Calibri" w:hAnsi="Calibri" w:cs="Calibri"/>
          <w:lang w:eastAsia="en-GB"/>
        </w:rPr>
        <w:t xml:space="preserve">). The WPB </w:t>
      </w:r>
      <w:r w:rsidRPr="00E17147">
        <w:rPr>
          <w:rFonts w:ascii="Calibri" w:hAnsi="Calibri" w:cs="Calibri"/>
          <w:b/>
          <w:bCs/>
          <w:lang w:eastAsia="en-GB"/>
        </w:rPr>
        <w:t>RECOMMENDED</w:t>
      </w:r>
      <w:r w:rsidRPr="005B2BD4">
        <w:rPr>
          <w:rFonts w:ascii="Calibri" w:hAnsi="Calibri" w:cs="Calibri"/>
          <w:lang w:eastAsia="en-GB"/>
        </w:rPr>
        <w:t xml:space="preserve"> that the SC review and further develop these guidelines for potential adoption in the future.</w:t>
      </w:r>
    </w:p>
    <w:p w14:paraId="036601A5" w14:textId="77777777" w:rsidR="006538D6" w:rsidRPr="002555BA" w:rsidRDefault="006538D6" w:rsidP="006538D6">
      <w:pPr>
        <w:pStyle w:val="IOTCReportNormalNumbered"/>
        <w:numPr>
          <w:ilvl w:val="0"/>
          <w:numId w:val="24"/>
        </w:numPr>
        <w:rPr>
          <w:rFonts w:ascii="Calibri" w:hAnsi="Calibri" w:cs="Calibri"/>
        </w:rPr>
      </w:pPr>
      <w:r w:rsidRPr="002555BA">
        <w:rPr>
          <w:rFonts w:ascii="Calibri" w:hAnsi="Calibri" w:cs="Calibri"/>
          <w:b/>
          <w:bCs/>
          <w:szCs w:val="22"/>
        </w:rPr>
        <w:t>Stock assessments</w:t>
      </w:r>
    </w:p>
    <w:p w14:paraId="3553D988" w14:textId="5BDB7183" w:rsidR="002813A0" w:rsidRPr="001306B4" w:rsidRDefault="006538D6" w:rsidP="001306B4">
      <w:pPr>
        <w:spacing w:before="120"/>
        <w:ind w:firstLine="284"/>
        <w:jc w:val="both"/>
        <w:rPr>
          <w:rFonts w:ascii="Calibri" w:hAnsi="Calibri" w:cs="Calibri"/>
          <w:b/>
          <w:i/>
          <w:snapToGrid w:val="0"/>
          <w:color w:val="000000" w:themeColor="text1"/>
          <w:lang w:eastAsia="en-US"/>
        </w:rPr>
      </w:pPr>
      <w:r w:rsidRPr="002555BA">
        <w:rPr>
          <w:rFonts w:ascii="Calibri" w:hAnsi="Calibri" w:cs="Calibri"/>
          <w:b/>
          <w:i/>
          <w:snapToGrid w:val="0"/>
          <w:color w:val="000000" w:themeColor="text1"/>
          <w:lang w:eastAsia="en-US"/>
        </w:rPr>
        <w:t>Stock Synthesis</w:t>
      </w:r>
    </w:p>
    <w:p w14:paraId="07A9109E" w14:textId="674E4C75" w:rsidR="002813A0" w:rsidRPr="00906464" w:rsidRDefault="001306B4" w:rsidP="002813A0">
      <w:pPr>
        <w:pStyle w:val="IOTCReportNormalNumbered"/>
        <w:spacing w:after="120"/>
        <w:ind w:left="540" w:hanging="540"/>
        <w:rPr>
          <w:rFonts w:ascii="Calibri" w:eastAsia="Calibri" w:hAnsi="Calibri" w:cs="Calibri"/>
          <w:color w:val="auto"/>
          <w:szCs w:val="22"/>
          <w:lang w:eastAsia="en-GB"/>
        </w:rPr>
      </w:pPr>
      <w:r w:rsidRPr="24FF6681">
        <w:rPr>
          <w:rFonts w:ascii="Calibri" w:hAnsi="Calibri" w:cs="Calibri"/>
          <w:lang w:eastAsia="en-GB"/>
        </w:rPr>
        <w:t xml:space="preserve">The WPB </w:t>
      </w:r>
      <w:r w:rsidRPr="24FF6681">
        <w:rPr>
          <w:rFonts w:ascii="Calibri" w:hAnsi="Calibri" w:cs="Calibri"/>
          <w:b/>
          <w:bCs/>
          <w:lang w:eastAsia="en-GB"/>
        </w:rPr>
        <w:t>NOTED</w:t>
      </w:r>
      <w:r w:rsidRPr="24FF6681">
        <w:rPr>
          <w:rFonts w:ascii="Calibri" w:hAnsi="Calibri" w:cs="Calibri"/>
          <w:lang w:eastAsia="en-GB"/>
        </w:rPr>
        <w:t xml:space="preserve"> paper</w:t>
      </w:r>
      <w:r w:rsidRPr="00F70E1C">
        <w:rPr>
          <w:rFonts w:ascii="Calibri" w:hAnsi="Calibri" w:cs="Calibri"/>
          <w:lang w:eastAsia="en-GB"/>
        </w:rPr>
        <w:t xml:space="preserve"> </w:t>
      </w:r>
      <w:hyperlink r:id="rId47" w:history="1">
        <w:r w:rsidR="002813A0" w:rsidRPr="000A1652">
          <w:rPr>
            <w:rStyle w:val="Hyperlink"/>
            <w:rFonts w:ascii="Calibri" w:hAnsi="Calibri" w:cs="Calibri"/>
            <w:lang w:eastAsia="en-GB"/>
          </w:rPr>
          <w:t>IOTC-2025-WPB23-19</w:t>
        </w:r>
      </w:hyperlink>
      <w:r>
        <w:rPr>
          <w:rFonts w:ascii="Calibri" w:hAnsi="Calibri" w:cs="Calibri"/>
          <w:lang w:eastAsia="en-GB"/>
        </w:rPr>
        <w:t>, which summarises the</w:t>
      </w:r>
      <w:r w:rsidR="002813A0" w:rsidRPr="002813A0">
        <w:rPr>
          <w:rFonts w:ascii="Calibri" w:hAnsi="Calibri" w:cs="Calibri"/>
          <w:lang w:eastAsia="en-GB"/>
        </w:rPr>
        <w:t xml:space="preserve"> </w:t>
      </w:r>
      <w:r>
        <w:rPr>
          <w:rFonts w:ascii="Calibri" w:hAnsi="Calibri" w:cs="Calibri"/>
          <w:lang w:eastAsia="en-GB"/>
        </w:rPr>
        <w:t>s</w:t>
      </w:r>
      <w:r w:rsidR="002813A0" w:rsidRPr="002813A0">
        <w:rPr>
          <w:rFonts w:ascii="Calibri" w:hAnsi="Calibri" w:cs="Calibri"/>
          <w:lang w:eastAsia="en-GB"/>
        </w:rPr>
        <w:t>tock assessment of blue marlin in the Indian Ocean using Stock Synthesis</w:t>
      </w:r>
      <w:r w:rsidR="00C27775">
        <w:rPr>
          <w:rFonts w:ascii="Calibri" w:hAnsi="Calibri" w:cs="Calibri"/>
          <w:lang w:eastAsia="en-GB"/>
        </w:rPr>
        <w:t xml:space="preserve">, </w:t>
      </w:r>
      <w:r w:rsidR="002813A0" w:rsidRPr="1EA925F2">
        <w:rPr>
          <w:rFonts w:ascii="Calibri" w:eastAsia="Calibri" w:hAnsi="Calibri" w:cs="Calibri"/>
          <w:color w:val="auto"/>
          <w:szCs w:val="22"/>
          <w:lang w:eastAsia="en-GB"/>
        </w:rPr>
        <w:t xml:space="preserve">with the following abstract provided by the authors: </w:t>
      </w:r>
    </w:p>
    <w:p w14:paraId="3DBAF13A" w14:textId="65149F84" w:rsidR="002B22CB" w:rsidRPr="000419F7" w:rsidRDefault="001306B4" w:rsidP="000419F7">
      <w:pPr>
        <w:pStyle w:val="IOTCReportNormalNumbered"/>
        <w:numPr>
          <w:ilvl w:val="0"/>
          <w:numId w:val="0"/>
        </w:numPr>
        <w:spacing w:after="120" w:line="259" w:lineRule="auto"/>
        <w:ind w:left="900"/>
        <w:rPr>
          <w:rFonts w:ascii="Calibri" w:hAnsi="Calibri" w:cs="Calibri"/>
          <w:i/>
          <w:iCs/>
          <w:color w:val="000000" w:themeColor="text1"/>
          <w:lang w:eastAsia="en-GB"/>
        </w:rPr>
      </w:pPr>
      <w:r w:rsidRPr="00C27775">
        <w:rPr>
          <w:rFonts w:ascii="Calibri" w:hAnsi="Calibri" w:cs="Calibri"/>
          <w:i/>
          <w:iCs/>
          <w:color w:val="000000" w:themeColor="text1"/>
          <w:lang w:eastAsia="en-GB"/>
        </w:rPr>
        <w:t>“</w:t>
      </w:r>
      <w:r w:rsidR="006F6ADF" w:rsidRPr="00C27775">
        <w:rPr>
          <w:rFonts w:ascii="Calibri" w:hAnsi="Calibri" w:cs="Calibri"/>
          <w:i/>
          <w:iCs/>
          <w:color w:val="000000" w:themeColor="text1"/>
          <w:lang w:eastAsia="en-GB"/>
        </w:rPr>
        <w:t>In this study, Stock Synthesis (SS) was applied to evaluate the stock status of blue marlin (Makaira nigricans) in the Indian Ocean, using a combination of historical catch records, standardized CPUE indices, and length-frequency data. Notably, compared with the previous assessment conducted in 2022, the recent upward trends in CPUE observed for most fleets have contributed to a more optimistic perception of the current stock status. While the SS model provides a comprehensive framework for integrating available data, the resulting management advice should be interpreted with caution and viewed in the context of these underlying uncertainties. The assessment results demonstrated that estimates of current stock status were influenced by model assumptions, particularly those related to natural mortality and stock-recruitment steepness. Furthermore, most life-history parameters used in this assessment were derived from studies of blue marlin in the Pacific Ocean, and this reliance on external parameter values introduces additional uncertainty into the evaluation of stock status in the Indian Ocean.</w:t>
      </w:r>
      <w:r w:rsidRPr="00C27775">
        <w:rPr>
          <w:rFonts w:ascii="Calibri" w:hAnsi="Calibri" w:cs="Calibri"/>
          <w:i/>
          <w:iCs/>
          <w:color w:val="000000" w:themeColor="text1"/>
          <w:lang w:eastAsia="en-GB"/>
        </w:rPr>
        <w:t>”</w:t>
      </w:r>
    </w:p>
    <w:p w14:paraId="02E286E7" w14:textId="31ECDA85" w:rsidR="00C27775" w:rsidRDefault="002B22CB" w:rsidP="00C27775">
      <w:pPr>
        <w:pStyle w:val="IOTCReportNormalNumbered"/>
        <w:spacing w:after="120"/>
        <w:ind w:left="540" w:hanging="540"/>
        <w:rPr>
          <w:rFonts w:ascii="Calibri" w:hAnsi="Calibri" w:cs="Calibri"/>
          <w:lang w:eastAsia="en-GB"/>
        </w:rPr>
      </w:pPr>
      <w:r w:rsidRPr="006636F7">
        <w:rPr>
          <w:rFonts w:ascii="Calibri" w:hAnsi="Calibri" w:cs="Calibri"/>
          <w:lang w:eastAsia="en-GB"/>
        </w:rPr>
        <w:t xml:space="preserve">The WPB </w:t>
      </w:r>
      <w:r w:rsidR="00566A84" w:rsidRPr="006636F7">
        <w:rPr>
          <w:rFonts w:ascii="Calibri" w:hAnsi="Calibri" w:cs="Calibri"/>
          <w:b/>
          <w:bCs/>
          <w:lang w:eastAsia="en-GB"/>
        </w:rPr>
        <w:t>NOTED</w:t>
      </w:r>
      <w:r w:rsidR="00566A84" w:rsidRPr="006636F7">
        <w:rPr>
          <w:rFonts w:ascii="Calibri" w:hAnsi="Calibri" w:cs="Calibri"/>
          <w:lang w:eastAsia="en-GB"/>
        </w:rPr>
        <w:t xml:space="preserve"> </w:t>
      </w:r>
      <w:r w:rsidR="00311C8E" w:rsidRPr="006636F7">
        <w:rPr>
          <w:rFonts w:ascii="Calibri" w:hAnsi="Calibri" w:cs="Calibri"/>
          <w:lang w:eastAsia="en-GB"/>
        </w:rPr>
        <w:t>the</w:t>
      </w:r>
      <w:r w:rsidRPr="006636F7">
        <w:rPr>
          <w:rFonts w:ascii="Calibri" w:hAnsi="Calibri" w:cs="Calibri"/>
          <w:lang w:eastAsia="en-GB"/>
        </w:rPr>
        <w:t xml:space="preserve"> model structure</w:t>
      </w:r>
      <w:r w:rsidR="00566A84" w:rsidRPr="006636F7">
        <w:rPr>
          <w:rFonts w:ascii="Calibri" w:hAnsi="Calibri" w:cs="Calibri"/>
          <w:lang w:eastAsia="en-GB"/>
        </w:rPr>
        <w:t xml:space="preserve"> that was presented, where the IO is separated into two areas – west and east, based on fleet dynamics.</w:t>
      </w:r>
    </w:p>
    <w:p w14:paraId="758B1F23" w14:textId="2C70EA8A" w:rsidR="00566A84" w:rsidRPr="00C27775" w:rsidRDefault="00566A84" w:rsidP="00C27775">
      <w:pPr>
        <w:pStyle w:val="IOTCReportNormalNumbered"/>
        <w:spacing w:after="120"/>
        <w:ind w:left="540" w:hanging="540"/>
        <w:rPr>
          <w:rFonts w:ascii="Calibri" w:hAnsi="Calibri" w:cs="Calibri"/>
          <w:lang w:eastAsia="en-GB"/>
        </w:rPr>
      </w:pPr>
      <w:r w:rsidRPr="00C27775">
        <w:rPr>
          <w:rFonts w:ascii="Calibri" w:hAnsi="Calibri" w:cs="Calibri"/>
          <w:lang w:eastAsia="en-GB"/>
        </w:rPr>
        <w:t xml:space="preserve">The WPB </w:t>
      </w:r>
      <w:r w:rsidRPr="00C27775">
        <w:rPr>
          <w:rFonts w:ascii="Calibri" w:hAnsi="Calibri" w:cs="Calibri"/>
          <w:b/>
          <w:bCs/>
          <w:lang w:eastAsia="en-GB"/>
        </w:rPr>
        <w:t>NOTED</w:t>
      </w:r>
      <w:r w:rsidR="00311C8E" w:rsidRPr="00C27775">
        <w:rPr>
          <w:rFonts w:ascii="Calibri" w:hAnsi="Calibri" w:cs="Calibri"/>
          <w:lang w:eastAsia="en-GB"/>
        </w:rPr>
        <w:t xml:space="preserve"> the differences in length-frequency data from the JPN fleet through ti</w:t>
      </w:r>
      <w:r w:rsidR="001D668C" w:rsidRPr="00C27775">
        <w:rPr>
          <w:rFonts w:ascii="Calibri" w:hAnsi="Calibri" w:cs="Calibri"/>
          <w:lang w:eastAsia="en-GB"/>
        </w:rPr>
        <w:t>m</w:t>
      </w:r>
      <w:r w:rsidR="00DA3C18" w:rsidRPr="00C27775">
        <w:rPr>
          <w:rFonts w:ascii="Calibri" w:hAnsi="Calibri" w:cs="Calibri"/>
          <w:lang w:eastAsia="en-GB"/>
        </w:rPr>
        <w:t>e (comparison from the previous assessment to now).</w:t>
      </w:r>
    </w:p>
    <w:p w14:paraId="7B851AE8" w14:textId="77777777" w:rsidR="00C27775" w:rsidRDefault="00480742" w:rsidP="00C27775">
      <w:pPr>
        <w:pStyle w:val="IOTCReportNormalNumbered"/>
        <w:spacing w:after="120"/>
        <w:ind w:left="540" w:hanging="540"/>
        <w:rPr>
          <w:rFonts w:ascii="Calibri" w:hAnsi="Calibri" w:cs="Calibri"/>
          <w:lang w:eastAsia="en-GB"/>
        </w:rPr>
      </w:pPr>
      <w:r w:rsidRPr="006636F7">
        <w:rPr>
          <w:rFonts w:ascii="Calibri" w:hAnsi="Calibri" w:cs="Calibri"/>
          <w:lang w:eastAsia="en-GB"/>
        </w:rPr>
        <w:t xml:space="preserve">The WPB </w:t>
      </w:r>
      <w:r w:rsidRPr="006636F7">
        <w:rPr>
          <w:rFonts w:ascii="Calibri" w:hAnsi="Calibri" w:cs="Calibri"/>
          <w:b/>
          <w:bCs/>
          <w:lang w:eastAsia="en-GB"/>
        </w:rPr>
        <w:t>NOTED</w:t>
      </w:r>
      <w:r w:rsidRPr="006636F7">
        <w:rPr>
          <w:rFonts w:ascii="Calibri" w:hAnsi="Calibri" w:cs="Calibri"/>
          <w:lang w:eastAsia="en-GB"/>
        </w:rPr>
        <w:t xml:space="preserve"> the life history parameters included in the model – a Lorenzen age-specific M, and fixed M, the BH relationship for population dynamics, with a steepness of h = 0.87 (along with sensitivity runs at 0.7, 0.8, and 0.9)</w:t>
      </w:r>
      <w:r w:rsidR="00F15FEE" w:rsidRPr="006636F7">
        <w:rPr>
          <w:rFonts w:ascii="Calibri" w:hAnsi="Calibri" w:cs="Calibri"/>
          <w:lang w:eastAsia="en-GB"/>
        </w:rPr>
        <w:t>.</w:t>
      </w:r>
    </w:p>
    <w:p w14:paraId="4BD55F02" w14:textId="0E68C0D4" w:rsidR="002B22CB" w:rsidRPr="00C27775" w:rsidRDefault="00F15FEE" w:rsidP="00C27775">
      <w:pPr>
        <w:pStyle w:val="IOTCReportNormalNumbered"/>
        <w:spacing w:after="120"/>
        <w:ind w:left="540" w:hanging="540"/>
        <w:rPr>
          <w:rFonts w:ascii="Calibri" w:hAnsi="Calibri" w:cs="Calibri"/>
          <w:lang w:eastAsia="en-GB"/>
        </w:rPr>
      </w:pPr>
      <w:r w:rsidRPr="00C27775">
        <w:rPr>
          <w:rFonts w:ascii="Calibri" w:hAnsi="Calibri" w:cs="Calibri"/>
          <w:lang w:eastAsia="en-GB"/>
        </w:rPr>
        <w:lastRenderedPageBreak/>
        <w:t xml:space="preserve">The WPB </w:t>
      </w:r>
      <w:r w:rsidRPr="00C27775">
        <w:rPr>
          <w:rFonts w:ascii="Calibri" w:hAnsi="Calibri" w:cs="Calibri"/>
          <w:b/>
          <w:bCs/>
          <w:lang w:eastAsia="en-GB"/>
        </w:rPr>
        <w:t>NOTED</w:t>
      </w:r>
      <w:r w:rsidRPr="00C27775">
        <w:rPr>
          <w:rFonts w:ascii="Calibri" w:hAnsi="Calibri" w:cs="Calibri"/>
          <w:lang w:eastAsia="en-GB"/>
        </w:rPr>
        <w:t xml:space="preserve"> the comparison between the included maturity ogive, and the one presented by </w:t>
      </w:r>
      <w:r w:rsidR="007C59DC" w:rsidRPr="00C27775">
        <w:rPr>
          <w:rFonts w:ascii="Calibri" w:hAnsi="Calibri" w:cs="Calibri"/>
          <w:lang w:eastAsia="en-GB"/>
        </w:rPr>
        <w:t xml:space="preserve">IND </w:t>
      </w:r>
      <w:r w:rsidR="00801382" w:rsidRPr="00C27775">
        <w:rPr>
          <w:rFonts w:ascii="Calibri" w:hAnsi="Calibri" w:cs="Calibri"/>
          <w:lang w:eastAsia="en-GB"/>
        </w:rPr>
        <w:t xml:space="preserve">during the </w:t>
      </w:r>
      <w:r w:rsidR="00E30DCE">
        <w:rPr>
          <w:rFonts w:ascii="Calibri" w:hAnsi="Calibri" w:cs="Calibri"/>
          <w:lang w:eastAsia="en-GB"/>
        </w:rPr>
        <w:t>meeting</w:t>
      </w:r>
      <w:r w:rsidR="00801382" w:rsidRPr="00C27775">
        <w:rPr>
          <w:rFonts w:ascii="Calibri" w:hAnsi="Calibri" w:cs="Calibri"/>
          <w:lang w:eastAsia="en-GB"/>
        </w:rPr>
        <w:t xml:space="preserve">, </w:t>
      </w:r>
      <w:r w:rsidR="00801382" w:rsidRPr="00C27775">
        <w:rPr>
          <w:rFonts w:ascii="Calibri" w:hAnsi="Calibri" w:cs="Calibri"/>
          <w:b/>
          <w:bCs/>
          <w:lang w:eastAsia="en-GB"/>
        </w:rPr>
        <w:t>NOTING</w:t>
      </w:r>
      <w:r w:rsidR="00801382" w:rsidRPr="00C27775">
        <w:rPr>
          <w:rFonts w:ascii="Calibri" w:hAnsi="Calibri" w:cs="Calibri"/>
          <w:lang w:eastAsia="en-GB"/>
        </w:rPr>
        <w:t xml:space="preserve"> the differences, and </w:t>
      </w:r>
      <w:r w:rsidR="00801382" w:rsidRPr="00C27775">
        <w:rPr>
          <w:rFonts w:ascii="Calibri" w:hAnsi="Calibri" w:cs="Calibri"/>
          <w:b/>
          <w:bCs/>
          <w:lang w:eastAsia="en-GB"/>
        </w:rPr>
        <w:t>ENCOURAGED</w:t>
      </w:r>
      <w:r w:rsidR="00801382" w:rsidRPr="00C27775">
        <w:rPr>
          <w:rFonts w:ascii="Calibri" w:hAnsi="Calibri" w:cs="Calibri"/>
          <w:lang w:eastAsia="en-GB"/>
        </w:rPr>
        <w:t xml:space="preserve"> the provision of data to estimate updated maturity ogives for inclusion in future stock assessment models.</w:t>
      </w:r>
    </w:p>
    <w:p w14:paraId="34DDC13D" w14:textId="16B26E86" w:rsidR="00801382" w:rsidRPr="006636F7" w:rsidRDefault="00801382" w:rsidP="006636F7">
      <w:pPr>
        <w:pStyle w:val="IOTCReportNormalNumbered"/>
        <w:spacing w:after="120"/>
        <w:ind w:left="540" w:hanging="540"/>
        <w:rPr>
          <w:rFonts w:ascii="Calibri" w:hAnsi="Calibri" w:cs="Calibri"/>
          <w:lang w:eastAsia="en-GB"/>
        </w:rPr>
      </w:pPr>
      <w:r w:rsidRPr="006636F7">
        <w:rPr>
          <w:rFonts w:ascii="Calibri" w:hAnsi="Calibri" w:cs="Calibri"/>
          <w:lang w:eastAsia="en-GB"/>
        </w:rPr>
        <w:t xml:space="preserve">The WPB </w:t>
      </w:r>
      <w:r w:rsidRPr="006636F7">
        <w:rPr>
          <w:rFonts w:ascii="Calibri" w:hAnsi="Calibri" w:cs="Calibri"/>
          <w:b/>
          <w:bCs/>
          <w:lang w:eastAsia="en-GB"/>
        </w:rPr>
        <w:t>NOTED</w:t>
      </w:r>
      <w:r w:rsidRPr="006636F7">
        <w:rPr>
          <w:rFonts w:ascii="Calibri" w:hAnsi="Calibri" w:cs="Calibri"/>
          <w:lang w:eastAsia="en-GB"/>
        </w:rPr>
        <w:t xml:space="preserve"> the scenarios that were run</w:t>
      </w:r>
      <w:r w:rsidR="005D1C9F" w:rsidRPr="006636F7">
        <w:rPr>
          <w:rFonts w:ascii="Calibri" w:hAnsi="Calibri" w:cs="Calibri"/>
          <w:lang w:eastAsia="en-GB"/>
        </w:rPr>
        <w:t>, and the fits to the CPUE indices which were sub-optimal for the TWN,China indices prior to 2000, and post-2000</w:t>
      </w:r>
      <w:r w:rsidR="00697E0C" w:rsidRPr="006636F7">
        <w:rPr>
          <w:rFonts w:ascii="Calibri" w:hAnsi="Calibri" w:cs="Calibri"/>
          <w:lang w:eastAsia="en-GB"/>
        </w:rPr>
        <w:t>.</w:t>
      </w:r>
    </w:p>
    <w:p w14:paraId="0EB89C1D" w14:textId="77777777" w:rsidR="00D44942" w:rsidRDefault="00697E0C" w:rsidP="00D44942">
      <w:pPr>
        <w:pStyle w:val="IOTCReportNormalNumbered"/>
        <w:spacing w:after="120"/>
        <w:ind w:left="540" w:hanging="540"/>
        <w:rPr>
          <w:rFonts w:ascii="Calibri" w:hAnsi="Calibri" w:cs="Calibri"/>
          <w:lang w:eastAsia="en-GB"/>
        </w:rPr>
      </w:pPr>
      <w:r w:rsidRPr="006636F7">
        <w:rPr>
          <w:rFonts w:ascii="Calibri" w:hAnsi="Calibri" w:cs="Calibri"/>
          <w:lang w:eastAsia="en-GB"/>
        </w:rPr>
        <w:t xml:space="preserve">The WPB </w:t>
      </w:r>
      <w:r w:rsidRPr="006636F7">
        <w:rPr>
          <w:rFonts w:ascii="Calibri" w:hAnsi="Calibri" w:cs="Calibri"/>
          <w:b/>
          <w:bCs/>
          <w:lang w:eastAsia="en-GB"/>
        </w:rPr>
        <w:t>NOTED</w:t>
      </w:r>
      <w:r w:rsidRPr="006636F7">
        <w:rPr>
          <w:rFonts w:ascii="Calibri" w:hAnsi="Calibri" w:cs="Calibri"/>
          <w:lang w:eastAsia="en-GB"/>
        </w:rPr>
        <w:t xml:space="preserve"> the stock status was less pessimistic than that from JABBA, but </w:t>
      </w:r>
      <w:r w:rsidRPr="006636F7">
        <w:rPr>
          <w:rFonts w:ascii="Calibri" w:hAnsi="Calibri" w:cs="Calibri"/>
          <w:b/>
          <w:bCs/>
          <w:lang w:eastAsia="en-GB"/>
        </w:rPr>
        <w:t>NOTED</w:t>
      </w:r>
      <w:r w:rsidRPr="006636F7">
        <w:rPr>
          <w:rFonts w:ascii="Calibri" w:hAnsi="Calibri" w:cs="Calibri"/>
          <w:lang w:eastAsia="en-GB"/>
        </w:rPr>
        <w:t xml:space="preserve"> that the model was unable to fit </w:t>
      </w:r>
      <w:r w:rsidR="009C3A6F" w:rsidRPr="006636F7">
        <w:rPr>
          <w:rFonts w:ascii="Calibri" w:hAnsi="Calibri" w:cs="Calibri"/>
          <w:lang w:eastAsia="en-GB"/>
        </w:rPr>
        <w:t>the main abundance indices sufficiently for model outputs to be reliable.</w:t>
      </w:r>
    </w:p>
    <w:p w14:paraId="3E966F43" w14:textId="5AF15EBC" w:rsidR="009C3A6F" w:rsidRPr="00D44942" w:rsidRDefault="0050782C" w:rsidP="00D44942">
      <w:pPr>
        <w:pStyle w:val="IOTCReportNormalNumbered"/>
        <w:spacing w:after="120"/>
        <w:ind w:left="540" w:hanging="540"/>
        <w:rPr>
          <w:rFonts w:ascii="Calibri" w:hAnsi="Calibri" w:cs="Calibri"/>
          <w:lang w:eastAsia="en-GB"/>
        </w:rPr>
      </w:pPr>
      <w:r w:rsidRPr="00D44942">
        <w:rPr>
          <w:rFonts w:ascii="Calibri" w:hAnsi="Calibri" w:cs="Calibri"/>
          <w:lang w:eastAsia="en-GB"/>
        </w:rPr>
        <w:t xml:space="preserve">The WPB </w:t>
      </w:r>
      <w:r w:rsidRPr="00D44942">
        <w:rPr>
          <w:rFonts w:ascii="Calibri" w:hAnsi="Calibri" w:cs="Calibri"/>
          <w:b/>
          <w:bCs/>
          <w:lang w:eastAsia="en-GB"/>
        </w:rPr>
        <w:t>DISCUSSED</w:t>
      </w:r>
      <w:r w:rsidRPr="00D44942">
        <w:rPr>
          <w:rFonts w:ascii="Calibri" w:hAnsi="Calibri" w:cs="Calibri"/>
          <w:lang w:eastAsia="en-GB"/>
        </w:rPr>
        <w:t xml:space="preserve"> the results from the SS3 model, in particular, the value of steepness was thought to be quite high at 0.87</w:t>
      </w:r>
      <w:r w:rsidR="00FA27E0" w:rsidRPr="00D44942">
        <w:rPr>
          <w:rFonts w:ascii="Calibri" w:hAnsi="Calibri" w:cs="Calibri"/>
          <w:lang w:eastAsia="en-GB"/>
        </w:rPr>
        <w:t xml:space="preserve">, </w:t>
      </w:r>
      <w:r w:rsidR="00CB42D1">
        <w:rPr>
          <w:rFonts w:ascii="Calibri" w:hAnsi="Calibri" w:cs="Calibri"/>
          <w:lang w:eastAsia="en-GB"/>
        </w:rPr>
        <w:t>noting also</w:t>
      </w:r>
      <w:r w:rsidR="00FA27E0" w:rsidRPr="00D44942">
        <w:rPr>
          <w:rFonts w:ascii="Calibri" w:hAnsi="Calibri" w:cs="Calibri"/>
          <w:lang w:eastAsia="en-GB"/>
        </w:rPr>
        <w:t xml:space="preserve"> this value was from work conducted in the Pacific Ocean. </w:t>
      </w:r>
    </w:p>
    <w:p w14:paraId="775B249E" w14:textId="77777777" w:rsidR="00D44942" w:rsidRDefault="003C621F" w:rsidP="00D44942">
      <w:pPr>
        <w:pStyle w:val="IOTCReportNormalNumbered"/>
        <w:spacing w:after="120"/>
        <w:ind w:left="540" w:hanging="540"/>
        <w:rPr>
          <w:rFonts w:ascii="Calibri" w:hAnsi="Calibri" w:cs="Calibri"/>
          <w:lang w:eastAsia="en-GB"/>
        </w:rPr>
      </w:pPr>
      <w:r w:rsidRPr="006636F7">
        <w:rPr>
          <w:rFonts w:ascii="Calibri" w:hAnsi="Calibri" w:cs="Calibri"/>
          <w:lang w:eastAsia="en-GB"/>
        </w:rPr>
        <w:t xml:space="preserve">The WPB </w:t>
      </w:r>
      <w:r w:rsidRPr="006636F7">
        <w:rPr>
          <w:rFonts w:ascii="Calibri" w:hAnsi="Calibri" w:cs="Calibri"/>
          <w:b/>
          <w:bCs/>
          <w:lang w:eastAsia="en-GB"/>
        </w:rPr>
        <w:t>DISCUSSED</w:t>
      </w:r>
      <w:r w:rsidRPr="006636F7">
        <w:rPr>
          <w:rFonts w:ascii="Calibri" w:hAnsi="Calibri" w:cs="Calibri"/>
          <w:lang w:eastAsia="en-GB"/>
        </w:rPr>
        <w:t xml:space="preserve"> the fact that both M and h were fixed within the model</w:t>
      </w:r>
      <w:r w:rsidR="00DF7374" w:rsidRPr="006636F7">
        <w:rPr>
          <w:rFonts w:ascii="Calibri" w:hAnsi="Calibri" w:cs="Calibri"/>
          <w:lang w:eastAsia="en-GB"/>
        </w:rPr>
        <w:t xml:space="preserve"> with no time-varying M. When this is done, the population dynamics are essentially fixed, so it was </w:t>
      </w:r>
      <w:r w:rsidR="00DF7374" w:rsidRPr="006636F7">
        <w:rPr>
          <w:rFonts w:ascii="Calibri" w:hAnsi="Calibri" w:cs="Calibri"/>
          <w:b/>
          <w:bCs/>
          <w:lang w:eastAsia="en-GB"/>
        </w:rPr>
        <w:t>REQUESTED</w:t>
      </w:r>
      <w:r w:rsidR="00DF7374" w:rsidRPr="006636F7">
        <w:rPr>
          <w:rFonts w:ascii="Calibri" w:hAnsi="Calibri" w:cs="Calibri"/>
          <w:lang w:eastAsia="en-GB"/>
        </w:rPr>
        <w:t xml:space="preserve"> that the next time the SS3 model is run for blue marlin, that </w:t>
      </w:r>
      <w:r w:rsidR="008B7721" w:rsidRPr="006636F7">
        <w:rPr>
          <w:rFonts w:ascii="Calibri" w:hAnsi="Calibri" w:cs="Calibri"/>
          <w:lang w:eastAsia="en-GB"/>
        </w:rPr>
        <w:t xml:space="preserve">a range of M was used, and that likelihood profiles were presented to check whether the estimates of these parameters were correct. Additionally, the WPB </w:t>
      </w:r>
      <w:r w:rsidR="008B7721" w:rsidRPr="006636F7">
        <w:rPr>
          <w:rFonts w:ascii="Calibri" w:hAnsi="Calibri" w:cs="Calibri"/>
          <w:b/>
          <w:bCs/>
          <w:lang w:eastAsia="en-GB"/>
        </w:rPr>
        <w:t>REQUESTED</w:t>
      </w:r>
      <w:r w:rsidR="008B7721" w:rsidRPr="006636F7">
        <w:rPr>
          <w:rFonts w:ascii="Calibri" w:hAnsi="Calibri" w:cs="Calibri"/>
          <w:lang w:eastAsia="en-GB"/>
        </w:rPr>
        <w:t xml:space="preserve"> that retrospective analyses, and </w:t>
      </w:r>
      <w:r w:rsidR="00C21219" w:rsidRPr="006636F7">
        <w:rPr>
          <w:rFonts w:ascii="Calibri" w:hAnsi="Calibri" w:cs="Calibri"/>
          <w:lang w:eastAsia="en-GB"/>
        </w:rPr>
        <w:t xml:space="preserve">other diagnostics be provided to allow for data-driven </w:t>
      </w:r>
      <w:r w:rsidR="00C932F2" w:rsidRPr="006636F7">
        <w:rPr>
          <w:rFonts w:ascii="Calibri" w:hAnsi="Calibri" w:cs="Calibri"/>
          <w:lang w:eastAsia="en-GB"/>
        </w:rPr>
        <w:t>model selection.</w:t>
      </w:r>
    </w:p>
    <w:p w14:paraId="6FE3B494" w14:textId="57F1EE98" w:rsidR="00C932F2" w:rsidRPr="00D44942" w:rsidRDefault="00C932F2" w:rsidP="00D44942">
      <w:pPr>
        <w:pStyle w:val="IOTCReportNormalNumbered"/>
        <w:spacing w:after="120"/>
        <w:ind w:left="540" w:hanging="540"/>
        <w:rPr>
          <w:rFonts w:ascii="Calibri" w:hAnsi="Calibri" w:cs="Calibri"/>
          <w:lang w:eastAsia="en-GB"/>
        </w:rPr>
      </w:pPr>
      <w:r w:rsidRPr="00D44942">
        <w:rPr>
          <w:rFonts w:ascii="Calibri" w:hAnsi="Calibri" w:cs="Calibri"/>
          <w:lang w:eastAsia="en-GB"/>
        </w:rPr>
        <w:t xml:space="preserve">The WPB </w:t>
      </w:r>
      <w:r w:rsidRPr="00D44942">
        <w:rPr>
          <w:rFonts w:ascii="Calibri" w:hAnsi="Calibri" w:cs="Calibri"/>
          <w:b/>
          <w:bCs/>
          <w:lang w:eastAsia="en-GB"/>
        </w:rPr>
        <w:t>NOTED</w:t>
      </w:r>
      <w:r w:rsidRPr="00D44942">
        <w:rPr>
          <w:rFonts w:ascii="Calibri" w:hAnsi="Calibri" w:cs="Calibri"/>
          <w:lang w:eastAsia="en-GB"/>
        </w:rPr>
        <w:t xml:space="preserve"> that there was no Francis-weighting of the length data in the model, and </w:t>
      </w:r>
      <w:r w:rsidRPr="00D44942">
        <w:rPr>
          <w:rFonts w:ascii="Calibri" w:hAnsi="Calibri" w:cs="Calibri"/>
          <w:b/>
          <w:bCs/>
          <w:lang w:eastAsia="en-GB"/>
        </w:rPr>
        <w:t>SUGGESTED</w:t>
      </w:r>
      <w:r w:rsidRPr="00D44942">
        <w:rPr>
          <w:rFonts w:ascii="Calibri" w:hAnsi="Calibri" w:cs="Calibri"/>
          <w:lang w:eastAsia="en-GB"/>
        </w:rPr>
        <w:t xml:space="preserve"> that this be included in the next iteration of the assessment</w:t>
      </w:r>
      <w:r w:rsidR="00BC2F20" w:rsidRPr="00D44942">
        <w:rPr>
          <w:rFonts w:ascii="Calibri" w:hAnsi="Calibri" w:cs="Calibri"/>
          <w:lang w:eastAsia="en-GB"/>
        </w:rPr>
        <w:t xml:space="preserve">. Additionally it was suggested that at least one fleet should have logistic selectivity, to </w:t>
      </w:r>
      <w:r w:rsidR="001E2797" w:rsidRPr="00D44942">
        <w:rPr>
          <w:rFonts w:ascii="Calibri" w:hAnsi="Calibri" w:cs="Calibri"/>
          <w:lang w:eastAsia="en-GB"/>
        </w:rPr>
        <w:t>avoid the model assuming cryptic biomass (and therefore a more optimistic stock status).</w:t>
      </w:r>
    </w:p>
    <w:p w14:paraId="5EC95BAB" w14:textId="49516508" w:rsidR="001E2797" w:rsidRPr="006636F7" w:rsidRDefault="001E2797" w:rsidP="006636F7">
      <w:pPr>
        <w:pStyle w:val="IOTCReportNormalNumbered"/>
        <w:spacing w:after="120"/>
        <w:ind w:left="540" w:hanging="540"/>
        <w:rPr>
          <w:rFonts w:ascii="Calibri" w:hAnsi="Calibri" w:cs="Calibri"/>
          <w:lang w:eastAsia="en-GB"/>
        </w:rPr>
      </w:pPr>
      <w:r w:rsidRPr="006636F7">
        <w:rPr>
          <w:rFonts w:ascii="Calibri" w:hAnsi="Calibri" w:cs="Calibri"/>
          <w:lang w:eastAsia="en-GB"/>
        </w:rPr>
        <w:t xml:space="preserve">The WPB </w:t>
      </w:r>
      <w:r w:rsidRPr="006636F7">
        <w:rPr>
          <w:rFonts w:ascii="Calibri" w:hAnsi="Calibri" w:cs="Calibri"/>
          <w:b/>
          <w:bCs/>
          <w:lang w:eastAsia="en-GB"/>
        </w:rPr>
        <w:t>NOTED</w:t>
      </w:r>
      <w:r w:rsidRPr="006636F7">
        <w:rPr>
          <w:rFonts w:ascii="Calibri" w:hAnsi="Calibri" w:cs="Calibri"/>
          <w:lang w:eastAsia="en-GB"/>
        </w:rPr>
        <w:t xml:space="preserve"> the outputs from the base scenario model, particularly the Fmsy value which is very high (~ 9</w:t>
      </w:r>
      <w:r w:rsidR="0046615A">
        <w:rPr>
          <w:rFonts w:ascii="Calibri" w:hAnsi="Calibri" w:cs="Calibri"/>
          <w:lang w:eastAsia="en-GB"/>
        </w:rPr>
        <w:t>)</w:t>
      </w:r>
      <w:r w:rsidR="0093654C" w:rsidRPr="006636F7">
        <w:rPr>
          <w:rFonts w:ascii="Calibri" w:hAnsi="Calibri" w:cs="Calibri"/>
          <w:lang w:eastAsia="en-GB"/>
        </w:rPr>
        <w:t>.</w:t>
      </w:r>
    </w:p>
    <w:p w14:paraId="71CC0954" w14:textId="4FED7317" w:rsidR="00D44942" w:rsidRDefault="0093654C" w:rsidP="00D44942">
      <w:pPr>
        <w:pStyle w:val="IOTCReportNormalNumbered"/>
        <w:spacing w:after="120"/>
        <w:ind w:left="540" w:hanging="540"/>
        <w:rPr>
          <w:rFonts w:ascii="Calibri" w:hAnsi="Calibri" w:cs="Calibri"/>
          <w:lang w:eastAsia="en-GB"/>
        </w:rPr>
      </w:pPr>
      <w:r w:rsidRPr="006636F7">
        <w:rPr>
          <w:rFonts w:ascii="Calibri" w:hAnsi="Calibri" w:cs="Calibri"/>
          <w:lang w:eastAsia="en-GB"/>
        </w:rPr>
        <w:t xml:space="preserve">The WPB </w:t>
      </w:r>
      <w:r w:rsidRPr="006636F7">
        <w:rPr>
          <w:rFonts w:ascii="Calibri" w:hAnsi="Calibri" w:cs="Calibri"/>
          <w:b/>
          <w:bCs/>
          <w:lang w:eastAsia="en-GB"/>
        </w:rPr>
        <w:t>NOTED</w:t>
      </w:r>
      <w:r w:rsidRPr="006636F7">
        <w:rPr>
          <w:rFonts w:ascii="Calibri" w:hAnsi="Calibri" w:cs="Calibri"/>
          <w:lang w:eastAsia="en-GB"/>
        </w:rPr>
        <w:t xml:space="preserve"> that most biological parameters were from the previous assessment with no significant </w:t>
      </w:r>
      <w:r w:rsidR="00BD704D" w:rsidRPr="006636F7">
        <w:rPr>
          <w:rFonts w:ascii="Calibri" w:hAnsi="Calibri" w:cs="Calibri"/>
          <w:lang w:eastAsia="en-GB"/>
        </w:rPr>
        <w:t xml:space="preserve">new information on species biology. The maximum age in the model was 40 years old, but the M </w:t>
      </w:r>
      <w:r w:rsidR="00AD71EC">
        <w:rPr>
          <w:rFonts w:ascii="Calibri" w:hAnsi="Calibri" w:cs="Calibri"/>
          <w:lang w:eastAsia="en-GB"/>
        </w:rPr>
        <w:t>schedule</w:t>
      </w:r>
      <w:r w:rsidR="00BD704D" w:rsidRPr="006636F7">
        <w:rPr>
          <w:rFonts w:ascii="Calibri" w:hAnsi="Calibri" w:cs="Calibri"/>
          <w:lang w:eastAsia="en-GB"/>
        </w:rPr>
        <w:t xml:space="preserve"> may cause the fish to only live to 20 years old in the model.</w:t>
      </w:r>
    </w:p>
    <w:p w14:paraId="398EC140" w14:textId="77940267" w:rsidR="00166F91" w:rsidRPr="00D44942" w:rsidRDefault="00BD704D" w:rsidP="00D44942">
      <w:pPr>
        <w:pStyle w:val="IOTCReportNormalNumbered"/>
        <w:spacing w:after="120"/>
        <w:ind w:left="540" w:hanging="540"/>
        <w:rPr>
          <w:rFonts w:ascii="Calibri" w:hAnsi="Calibri" w:cs="Calibri"/>
          <w:lang w:eastAsia="en-GB"/>
        </w:rPr>
      </w:pPr>
      <w:r w:rsidRPr="00D44942">
        <w:rPr>
          <w:rFonts w:ascii="Calibri" w:hAnsi="Calibri" w:cs="Calibri"/>
          <w:lang w:eastAsia="en-GB"/>
        </w:rPr>
        <w:t xml:space="preserve">The WPB </w:t>
      </w:r>
      <w:r w:rsidRPr="00D44942">
        <w:rPr>
          <w:rFonts w:ascii="Calibri" w:hAnsi="Calibri" w:cs="Calibri"/>
          <w:b/>
          <w:bCs/>
          <w:lang w:eastAsia="en-GB"/>
        </w:rPr>
        <w:t>AGREED</w:t>
      </w:r>
      <w:r w:rsidRPr="00D44942">
        <w:rPr>
          <w:rFonts w:ascii="Calibri" w:hAnsi="Calibri" w:cs="Calibri"/>
          <w:lang w:eastAsia="en-GB"/>
        </w:rPr>
        <w:t xml:space="preserve"> that the SS3 model should be </w:t>
      </w:r>
      <w:r w:rsidR="00E01994">
        <w:rPr>
          <w:rFonts w:ascii="Calibri" w:hAnsi="Calibri" w:cs="Calibri"/>
          <w:lang w:eastAsia="en-GB"/>
        </w:rPr>
        <w:t xml:space="preserve">further </w:t>
      </w:r>
      <w:r w:rsidRPr="00D44942">
        <w:rPr>
          <w:rFonts w:ascii="Calibri" w:hAnsi="Calibri" w:cs="Calibri"/>
          <w:lang w:eastAsia="en-GB"/>
        </w:rPr>
        <w:t>developed in the future, but at the moment</w:t>
      </w:r>
      <w:r w:rsidR="00166F91" w:rsidRPr="00D44942">
        <w:rPr>
          <w:rFonts w:ascii="Calibri" w:hAnsi="Calibri" w:cs="Calibri"/>
          <w:lang w:eastAsia="en-GB"/>
        </w:rPr>
        <w:t xml:space="preserve"> there were considerable doubts as to the suitability of the models provided, and whether they sufficiently reproduced the blue marlin stock dynamics.</w:t>
      </w:r>
    </w:p>
    <w:p w14:paraId="19132EEB" w14:textId="55783593" w:rsidR="00371198" w:rsidRPr="006636F7" w:rsidRDefault="00166F91" w:rsidP="006636F7">
      <w:pPr>
        <w:pStyle w:val="IOTCReportNormalNumbered"/>
        <w:spacing w:after="120"/>
        <w:ind w:left="540" w:hanging="540"/>
        <w:rPr>
          <w:rFonts w:ascii="Calibri" w:hAnsi="Calibri" w:cs="Calibri"/>
          <w:lang w:eastAsia="en-GB"/>
        </w:rPr>
      </w:pPr>
      <w:r w:rsidRPr="006636F7">
        <w:rPr>
          <w:rFonts w:ascii="Calibri" w:hAnsi="Calibri" w:cs="Calibri"/>
          <w:lang w:eastAsia="en-GB"/>
        </w:rPr>
        <w:t>The WPB</w:t>
      </w:r>
      <w:r w:rsidR="00BD704D" w:rsidRPr="006636F7">
        <w:rPr>
          <w:rFonts w:ascii="Calibri" w:hAnsi="Calibri" w:cs="Calibri"/>
          <w:lang w:eastAsia="en-GB"/>
        </w:rPr>
        <w:t xml:space="preserve"> </w:t>
      </w:r>
      <w:r w:rsidR="00BD704D" w:rsidRPr="006636F7">
        <w:rPr>
          <w:rFonts w:ascii="Calibri" w:hAnsi="Calibri" w:cs="Calibri"/>
          <w:b/>
          <w:bCs/>
          <w:lang w:eastAsia="en-GB"/>
        </w:rPr>
        <w:t>AGREED</w:t>
      </w:r>
      <w:r w:rsidR="00BD704D" w:rsidRPr="006636F7">
        <w:rPr>
          <w:rFonts w:ascii="Calibri" w:hAnsi="Calibri" w:cs="Calibri"/>
          <w:lang w:eastAsia="en-GB"/>
        </w:rPr>
        <w:t xml:space="preserve"> that the JABBA model should be used for stock status, and management advice.</w:t>
      </w:r>
      <w:r w:rsidRPr="006636F7">
        <w:rPr>
          <w:rFonts w:ascii="Calibri" w:hAnsi="Calibri" w:cs="Calibri"/>
          <w:lang w:eastAsia="en-GB"/>
        </w:rPr>
        <w:t xml:space="preserve"> The WPB </w:t>
      </w:r>
      <w:r w:rsidRPr="00E01994">
        <w:rPr>
          <w:rFonts w:ascii="Calibri" w:hAnsi="Calibri" w:cs="Calibri"/>
          <w:b/>
          <w:bCs/>
          <w:lang w:eastAsia="en-GB"/>
        </w:rPr>
        <w:t>THANKED</w:t>
      </w:r>
      <w:r w:rsidRPr="006636F7">
        <w:rPr>
          <w:rFonts w:ascii="Calibri" w:hAnsi="Calibri" w:cs="Calibri"/>
          <w:lang w:eastAsia="en-GB"/>
        </w:rPr>
        <w:t xml:space="preserve"> the modeller for developing two stock assessment models for this meeting, under time constraints.</w:t>
      </w:r>
    </w:p>
    <w:p w14:paraId="682429C5" w14:textId="343728B5" w:rsidR="006538D6" w:rsidRPr="00524E15" w:rsidRDefault="006538D6" w:rsidP="006538D6">
      <w:pPr>
        <w:pStyle w:val="IOTCReportNormalNumbered"/>
        <w:numPr>
          <w:ilvl w:val="0"/>
          <w:numId w:val="0"/>
        </w:numPr>
        <w:spacing w:before="240" w:after="120"/>
        <w:ind w:firstLine="284"/>
        <w:rPr>
          <w:rFonts w:ascii="Calibri" w:hAnsi="Calibri" w:cs="Calibri"/>
          <w:b/>
          <w:i/>
          <w:color w:val="auto"/>
        </w:rPr>
      </w:pPr>
      <w:r w:rsidRPr="00524E15">
        <w:rPr>
          <w:rFonts w:ascii="Calibri" w:eastAsia="MS Mincho" w:hAnsi="Calibri" w:cs="Calibri"/>
          <w:b/>
          <w:i/>
          <w:color w:val="auto"/>
        </w:rPr>
        <w:t>Bayesian Surplus Production Model (JABBA)</w:t>
      </w:r>
    </w:p>
    <w:p w14:paraId="441939B5" w14:textId="3ABAC354" w:rsidR="00CE7A6B" w:rsidRPr="00906464" w:rsidRDefault="00BE2B83" w:rsidP="00CE7A6B">
      <w:pPr>
        <w:pStyle w:val="IOTCReportNormalNumbered"/>
        <w:spacing w:after="120"/>
        <w:ind w:left="540" w:hanging="540"/>
        <w:rPr>
          <w:rFonts w:ascii="Calibri" w:eastAsia="Calibri" w:hAnsi="Calibri" w:cs="Calibri"/>
          <w:color w:val="auto"/>
          <w:szCs w:val="22"/>
          <w:lang w:eastAsia="en-GB"/>
        </w:rPr>
      </w:pPr>
      <w:r w:rsidRPr="24FF6681">
        <w:rPr>
          <w:rFonts w:ascii="Calibri" w:hAnsi="Calibri" w:cs="Calibri"/>
          <w:lang w:eastAsia="en-GB"/>
        </w:rPr>
        <w:t xml:space="preserve">The WPB </w:t>
      </w:r>
      <w:r w:rsidRPr="24FF6681">
        <w:rPr>
          <w:rFonts w:ascii="Calibri" w:hAnsi="Calibri" w:cs="Calibri"/>
          <w:b/>
          <w:bCs/>
          <w:lang w:eastAsia="en-GB"/>
        </w:rPr>
        <w:t>NOTED</w:t>
      </w:r>
      <w:r w:rsidRPr="24FF6681">
        <w:rPr>
          <w:rFonts w:ascii="Calibri" w:hAnsi="Calibri" w:cs="Calibri"/>
          <w:lang w:eastAsia="en-GB"/>
        </w:rPr>
        <w:t xml:space="preserve"> paper</w:t>
      </w:r>
      <w:r w:rsidRPr="00F70E1C">
        <w:rPr>
          <w:rFonts w:ascii="Calibri" w:hAnsi="Calibri" w:cs="Calibri"/>
          <w:lang w:eastAsia="en-GB"/>
        </w:rPr>
        <w:t xml:space="preserve"> </w:t>
      </w:r>
      <w:hyperlink r:id="rId48" w:history="1">
        <w:r w:rsidR="00CE7A6B" w:rsidRPr="00BE2B83">
          <w:rPr>
            <w:rStyle w:val="Hyperlink"/>
            <w:rFonts w:ascii="Calibri" w:hAnsi="Calibri" w:cs="Calibri"/>
            <w:lang w:eastAsia="en-GB"/>
          </w:rPr>
          <w:t>IOTC-2025-WPB23-18</w:t>
        </w:r>
      </w:hyperlink>
      <w:r>
        <w:rPr>
          <w:rFonts w:ascii="Calibri" w:hAnsi="Calibri" w:cs="Calibri"/>
          <w:lang w:eastAsia="en-GB"/>
        </w:rPr>
        <w:t>, which summaries</w:t>
      </w:r>
      <w:r w:rsidR="00CE7A6B" w:rsidRPr="002813A0">
        <w:rPr>
          <w:rFonts w:ascii="Calibri" w:hAnsi="Calibri" w:cs="Calibri"/>
          <w:lang w:eastAsia="en-GB"/>
        </w:rPr>
        <w:t xml:space="preserve"> </w:t>
      </w:r>
      <w:r>
        <w:rPr>
          <w:rFonts w:ascii="Calibri" w:hAnsi="Calibri" w:cs="Calibri"/>
          <w:lang w:eastAsia="en-GB"/>
        </w:rPr>
        <w:t>the s</w:t>
      </w:r>
      <w:r w:rsidR="00CE7A6B" w:rsidRPr="002813A0">
        <w:rPr>
          <w:rFonts w:ascii="Calibri" w:hAnsi="Calibri" w:cs="Calibri"/>
          <w:lang w:eastAsia="en-GB"/>
        </w:rPr>
        <w:t>tock assessment of blue marlin in the Indian Ocean using JABBA</w:t>
      </w:r>
      <w:r w:rsidR="005257C9">
        <w:rPr>
          <w:rFonts w:ascii="Calibri" w:hAnsi="Calibri" w:cs="Calibri"/>
          <w:lang w:eastAsia="en-GB"/>
        </w:rPr>
        <w:t xml:space="preserve">, </w:t>
      </w:r>
      <w:r w:rsidR="00CE7A6B" w:rsidRPr="002813A0">
        <w:rPr>
          <w:rFonts w:ascii="Calibri" w:eastAsia="Calibri" w:hAnsi="Calibri" w:cs="Calibri"/>
          <w:color w:val="auto"/>
          <w:szCs w:val="22"/>
          <w:lang w:eastAsia="en-GB"/>
        </w:rPr>
        <w:t xml:space="preserve"> </w:t>
      </w:r>
      <w:r w:rsidR="00CE7A6B" w:rsidRPr="1EA925F2">
        <w:rPr>
          <w:rFonts w:ascii="Calibri" w:eastAsia="Calibri" w:hAnsi="Calibri" w:cs="Calibri"/>
          <w:color w:val="auto"/>
          <w:szCs w:val="22"/>
          <w:lang w:eastAsia="en-GB"/>
        </w:rPr>
        <w:t xml:space="preserve">with the following abstract provided by the authors: </w:t>
      </w:r>
    </w:p>
    <w:p w14:paraId="4D51EF5E" w14:textId="68E37B08" w:rsidR="006A7DC9" w:rsidRPr="00BA399F" w:rsidRDefault="006538D6" w:rsidP="00BA399F">
      <w:pPr>
        <w:pStyle w:val="IOTCReportNormalNumbered"/>
        <w:numPr>
          <w:ilvl w:val="0"/>
          <w:numId w:val="0"/>
        </w:numPr>
        <w:spacing w:after="120"/>
        <w:ind w:left="851"/>
        <w:rPr>
          <w:rFonts w:ascii="Calibri" w:hAnsi="Calibri" w:cs="Calibri"/>
          <w:i/>
          <w:iCs/>
          <w:lang w:eastAsia="en-GB"/>
        </w:rPr>
      </w:pPr>
      <w:r w:rsidRPr="001F0F88">
        <w:rPr>
          <w:rFonts w:ascii="Calibri" w:hAnsi="Calibri" w:cs="Calibri"/>
          <w:i/>
          <w:iCs/>
          <w:lang w:eastAsia="en-GB"/>
        </w:rPr>
        <w:t>“</w:t>
      </w:r>
      <w:r w:rsidR="00BA399F" w:rsidRPr="00BA399F">
        <w:rPr>
          <w:rFonts w:ascii="Calibri" w:hAnsi="Calibri" w:cs="Calibri"/>
          <w:i/>
          <w:iCs/>
          <w:lang w:eastAsia="en-GB"/>
        </w:rPr>
        <w:t>This study assessed the stock status of blue marlin (Makaira nigricans) in the Indian Ocean using the Bayesian state–space biomass dynamic model JABBA. Updated catch data (1950–2023) and standardized CPUE indices from Taiwanese, Japanese, and Indonesian longline fleets were analyzed under ten scenarios combining alternative CPUE series, production model types (Schaefer or Fox), and treatments of process error variance. Posterior diagnostics and residual analyses indicated that the Fox model with the Taiwanese sdmTMB index and process error standard deviation (σ.proc) fixed at 0.15 (S10) provided the most robust and internally consistent fit. Biomass declined across scenarios since the mid-1980s, with depletion falling below BMSY and fishing mortality exceeding FMSY in recent decades. Kobe plots indicated probabilities exceeding 95% that the stock is both overfished and subject to overfishing, although the Fox model with fixed process error variance produced slightly less pessimistic outcomes compared to the Schaefer alternatives. Projections under constant catch levels further confirmed that rebuilding prospects depend on reducing catches. Overall, the assessment concludes that the Indian Ocean blue marlin stock is overfished and undergoing overfishing, with findings intended to inform future IOTC WPB discussions and management advice</w:t>
      </w:r>
      <w:r w:rsidRPr="001F0F88">
        <w:rPr>
          <w:rFonts w:ascii="Calibri" w:hAnsi="Calibri" w:cs="Calibri"/>
          <w:i/>
          <w:iCs/>
          <w:lang w:eastAsia="en-GB"/>
        </w:rPr>
        <w:t>”</w:t>
      </w:r>
    </w:p>
    <w:p w14:paraId="582C5294" w14:textId="53038CBA" w:rsidR="006A7DC9" w:rsidRPr="00F12942" w:rsidRDefault="006A7DC9" w:rsidP="00F12942">
      <w:pPr>
        <w:pStyle w:val="IOTCReportNormalNumbered"/>
        <w:ind w:left="540" w:hanging="540"/>
        <w:rPr>
          <w:rFonts w:ascii="Calibri" w:hAnsi="Calibri" w:cs="Calibri"/>
          <w:lang w:eastAsia="en-GB"/>
        </w:rPr>
      </w:pPr>
      <w:r w:rsidRPr="75F39CE8">
        <w:rPr>
          <w:rFonts w:ascii="Calibri" w:hAnsi="Calibri" w:cs="Calibri"/>
          <w:lang w:eastAsia="en-GB"/>
        </w:rPr>
        <w:t xml:space="preserve">The WPB </w:t>
      </w:r>
      <w:r w:rsidRPr="75F39CE8">
        <w:rPr>
          <w:rFonts w:ascii="Calibri" w:hAnsi="Calibri" w:cs="Calibri"/>
          <w:b/>
          <w:bCs/>
          <w:lang w:eastAsia="en-GB"/>
        </w:rPr>
        <w:t>NOTED</w:t>
      </w:r>
      <w:r w:rsidRPr="75F39CE8">
        <w:rPr>
          <w:rFonts w:ascii="Calibri" w:hAnsi="Calibri" w:cs="Calibri"/>
          <w:lang w:eastAsia="en-GB"/>
        </w:rPr>
        <w:t xml:space="preserve"> the key assessment results for Bayesian State Space Surplus-Production Model (JABBA) for </w:t>
      </w:r>
      <w:r w:rsidR="310A3477" w:rsidRPr="75F39CE8">
        <w:rPr>
          <w:rFonts w:ascii="Calibri" w:hAnsi="Calibri" w:cs="Calibri"/>
          <w:lang w:eastAsia="en-GB"/>
        </w:rPr>
        <w:t xml:space="preserve">blue </w:t>
      </w:r>
      <w:r w:rsidRPr="75F39CE8">
        <w:rPr>
          <w:rFonts w:ascii="Calibri" w:hAnsi="Calibri" w:cs="Calibri"/>
          <w:lang w:eastAsia="en-GB"/>
        </w:rPr>
        <w:t>marlin from the base case (S</w:t>
      </w:r>
      <w:r w:rsidR="7CFF1C9C" w:rsidRPr="75F39CE8">
        <w:rPr>
          <w:rFonts w:ascii="Calibri" w:hAnsi="Calibri" w:cs="Calibri"/>
          <w:lang w:eastAsia="en-GB"/>
        </w:rPr>
        <w:t>10</w:t>
      </w:r>
      <w:r w:rsidRPr="75F39CE8">
        <w:rPr>
          <w:rFonts w:ascii="Calibri" w:hAnsi="Calibri" w:cs="Calibri"/>
          <w:lang w:eastAsia="en-GB"/>
        </w:rPr>
        <w:t>) as shown below (</w:t>
      </w:r>
      <w:r w:rsidRPr="75F39CE8">
        <w:rPr>
          <w:rFonts w:ascii="Calibri" w:hAnsi="Calibri" w:cs="Calibri"/>
          <w:b/>
          <w:bCs/>
          <w:lang w:eastAsia="en-GB"/>
        </w:rPr>
        <w:t xml:space="preserve">Table </w:t>
      </w:r>
      <w:r w:rsidR="00825BC4">
        <w:rPr>
          <w:rFonts w:ascii="Calibri" w:eastAsiaTheme="minorEastAsia" w:hAnsi="Calibri" w:cs="Calibri" w:hint="eastAsia"/>
          <w:b/>
          <w:bCs/>
          <w:lang w:eastAsia="zh-CN"/>
        </w:rPr>
        <w:t>2</w:t>
      </w:r>
      <w:r w:rsidRPr="75F39CE8">
        <w:rPr>
          <w:rFonts w:ascii="Calibri" w:hAnsi="Calibri" w:cs="Calibri"/>
          <w:b/>
          <w:bCs/>
          <w:lang w:eastAsia="en-GB"/>
        </w:rPr>
        <w:t xml:space="preserve">; Figure </w:t>
      </w:r>
      <w:r w:rsidR="003226AF">
        <w:rPr>
          <w:rFonts w:ascii="Calibri" w:hAnsi="Calibri" w:cs="Calibri"/>
          <w:b/>
          <w:bCs/>
          <w:lang w:eastAsia="en-GB"/>
        </w:rPr>
        <w:t>1</w:t>
      </w:r>
      <w:r w:rsidRPr="75F39CE8">
        <w:rPr>
          <w:rFonts w:ascii="Calibri" w:hAnsi="Calibri" w:cs="Calibri"/>
          <w:lang w:eastAsia="en-GB"/>
        </w:rPr>
        <w:t>).</w:t>
      </w:r>
    </w:p>
    <w:p w14:paraId="3768D4FA" w14:textId="3D2B709C" w:rsidR="006A7DC9" w:rsidRPr="000246EC" w:rsidRDefault="006A7DC9" w:rsidP="75F39CE8">
      <w:pPr>
        <w:pStyle w:val="IOTCReportNormalNumbered"/>
        <w:numPr>
          <w:ilvl w:val="0"/>
          <w:numId w:val="0"/>
        </w:numPr>
        <w:ind w:left="772"/>
        <w:rPr>
          <w:rFonts w:ascii="Calibri" w:eastAsia="Calibri" w:hAnsi="Calibri" w:cs="Calibri"/>
          <w:sz w:val="20"/>
        </w:rPr>
      </w:pPr>
      <w:r w:rsidRPr="75F39CE8">
        <w:rPr>
          <w:rFonts w:ascii="Calibri" w:eastAsia="Calibri" w:hAnsi="Calibri" w:cs="Calibri"/>
          <w:b/>
          <w:bCs/>
        </w:rPr>
        <w:t xml:space="preserve">Table </w:t>
      </w:r>
      <w:r w:rsidR="00825BC4">
        <w:rPr>
          <w:rFonts w:ascii="Calibri" w:eastAsiaTheme="minorEastAsia" w:hAnsi="Calibri" w:cs="Calibri" w:hint="eastAsia"/>
          <w:b/>
          <w:bCs/>
          <w:lang w:eastAsia="zh-CN"/>
        </w:rPr>
        <w:t>2</w:t>
      </w:r>
      <w:r w:rsidRPr="75F39CE8">
        <w:rPr>
          <w:rFonts w:ascii="Calibri" w:eastAsia="Calibri" w:hAnsi="Calibri" w:cs="Calibri"/>
        </w:rPr>
        <w:t xml:space="preserve">. </w:t>
      </w:r>
      <w:r w:rsidRPr="75F39CE8">
        <w:rPr>
          <w:rFonts w:ascii="Calibri" w:eastAsia="Calibri" w:hAnsi="Calibri" w:cs="Calibri"/>
          <w:sz w:val="20"/>
        </w:rPr>
        <w:t xml:space="preserve">Stock status summary table for the </w:t>
      </w:r>
      <w:r w:rsidR="500FFC1A" w:rsidRPr="75F39CE8">
        <w:rPr>
          <w:rFonts w:ascii="Calibri" w:eastAsia="Calibri" w:hAnsi="Calibri" w:cs="Calibri"/>
          <w:sz w:val="20"/>
        </w:rPr>
        <w:t xml:space="preserve">blue </w:t>
      </w:r>
      <w:r w:rsidRPr="75F39CE8">
        <w:rPr>
          <w:rFonts w:ascii="Calibri" w:eastAsia="Calibri" w:hAnsi="Calibri" w:cs="Calibri"/>
          <w:sz w:val="20"/>
        </w:rPr>
        <w:t>marlin assessment (JABBA) reference model (scenario 1</w:t>
      </w:r>
      <w:r w:rsidR="4703718F" w:rsidRPr="75F39CE8">
        <w:rPr>
          <w:rFonts w:ascii="Calibri" w:eastAsia="Calibri" w:hAnsi="Calibri" w:cs="Calibri"/>
          <w:sz w:val="20"/>
        </w:rPr>
        <w:t>0</w:t>
      </w:r>
      <w:r w:rsidRPr="75F39CE8">
        <w:rPr>
          <w:rFonts w:ascii="Calibri" w:eastAsia="Calibri" w:hAnsi="Calibri" w:cs="Calibri"/>
          <w:sz w:val="20"/>
        </w:rPr>
        <w:t>). CI = Confidence interval</w:t>
      </w:r>
    </w:p>
    <w:tbl>
      <w:tblPr>
        <w:tblW w:w="0" w:type="auto"/>
        <w:jc w:val="center"/>
        <w:tblCellMar>
          <w:top w:w="15" w:type="dxa"/>
          <w:left w:w="15" w:type="dxa"/>
          <w:bottom w:w="15" w:type="dxa"/>
          <w:right w:w="15" w:type="dxa"/>
        </w:tblCellMar>
        <w:tblLook w:val="04A0" w:firstRow="1" w:lastRow="0" w:firstColumn="1" w:lastColumn="0" w:noHBand="0" w:noVBand="1"/>
      </w:tblPr>
      <w:tblGrid>
        <w:gridCol w:w="2343"/>
        <w:gridCol w:w="1812"/>
      </w:tblGrid>
      <w:tr w:rsidR="006A7DC9" w:rsidRPr="00E8383E" w14:paraId="6A2584C0"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BF5329" w14:textId="77777777" w:rsidR="006A7DC9" w:rsidRPr="003B69D7" w:rsidRDefault="006A7DC9" w:rsidP="00444A1C">
            <w:pPr>
              <w:rPr>
                <w:rFonts w:ascii="Calibri" w:hAnsi="Calibri" w:cs="Calibri"/>
                <w:sz w:val="20"/>
                <w:szCs w:val="20"/>
                <w:lang w:eastAsia="en-GB"/>
              </w:rPr>
            </w:pPr>
            <w:r w:rsidRPr="003B69D7">
              <w:rPr>
                <w:rFonts w:ascii="Calibri" w:hAnsi="Calibri" w:cs="Calibri"/>
                <w:color w:val="000000"/>
                <w:sz w:val="20"/>
                <w:szCs w:val="20"/>
                <w:lang w:eastAsia="en-GB"/>
              </w:rPr>
              <w:t>Management quantity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E62BA8" w14:textId="69926AD1" w:rsidR="006A7DC9" w:rsidRPr="003B69D7" w:rsidRDefault="006A7DC9" w:rsidP="00444A1C">
            <w:pPr>
              <w:jc w:val="center"/>
              <w:rPr>
                <w:rFonts w:ascii="Calibri" w:hAnsi="Calibri" w:cs="Calibri"/>
                <w:sz w:val="20"/>
                <w:szCs w:val="20"/>
                <w:lang w:eastAsia="en-GB"/>
              </w:rPr>
            </w:pPr>
            <w:r w:rsidRPr="003B69D7">
              <w:rPr>
                <w:rFonts w:ascii="Calibri" w:hAnsi="Calibri" w:cs="Calibri"/>
                <w:color w:val="000000"/>
                <w:sz w:val="20"/>
                <w:szCs w:val="20"/>
                <w:lang w:eastAsia="en-GB"/>
              </w:rPr>
              <w:t>JABBA (</w:t>
            </w:r>
            <w:r w:rsidRPr="003B69D7">
              <w:rPr>
                <w:rFonts w:ascii="Calibri" w:hAnsi="Calibri" w:cs="Calibri"/>
                <w:sz w:val="20"/>
                <w:szCs w:val="20"/>
              </w:rPr>
              <w:t>scenario 1</w:t>
            </w:r>
            <w:r w:rsidR="00762848">
              <w:rPr>
                <w:rFonts w:ascii="Calibri" w:eastAsiaTheme="minorEastAsia" w:hAnsi="Calibri" w:cs="Calibri" w:hint="eastAsia"/>
                <w:sz w:val="20"/>
                <w:szCs w:val="20"/>
                <w:lang w:eastAsia="zh-CN"/>
              </w:rPr>
              <w:t>0</w:t>
            </w:r>
            <w:r w:rsidRPr="003B69D7">
              <w:rPr>
                <w:rFonts w:ascii="Calibri" w:hAnsi="Calibri" w:cs="Calibri"/>
                <w:color w:val="000000"/>
                <w:sz w:val="20"/>
                <w:szCs w:val="20"/>
                <w:lang w:eastAsia="en-GB"/>
              </w:rPr>
              <w:t>)</w:t>
            </w:r>
          </w:p>
        </w:tc>
      </w:tr>
      <w:tr w:rsidR="006A7DC9" w:rsidRPr="00E8383E" w14:paraId="4B8A3755"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62A6D9" w14:textId="49E540C0" w:rsidR="006A7DC9" w:rsidRPr="003B69D7" w:rsidRDefault="006A7DC9" w:rsidP="00444A1C">
            <w:pPr>
              <w:rPr>
                <w:rFonts w:ascii="Calibri" w:hAnsi="Calibri" w:cs="Calibri"/>
                <w:sz w:val="20"/>
                <w:szCs w:val="20"/>
                <w:lang w:eastAsia="en-GB"/>
              </w:rPr>
            </w:pPr>
            <w:r w:rsidRPr="003B69D7">
              <w:rPr>
                <w:rFonts w:ascii="Calibri" w:hAnsi="Calibri" w:cs="Calibri"/>
                <w:color w:val="000000"/>
                <w:sz w:val="20"/>
                <w:szCs w:val="20"/>
                <w:lang w:eastAsia="en-GB"/>
              </w:rPr>
              <w:t>Current catch</w:t>
            </w:r>
            <w:r w:rsidR="001B1D01" w:rsidRPr="003B69D7">
              <w:rPr>
                <w:rFonts w:ascii="Calibri" w:hAnsi="Calibri" w:cs="Calibri"/>
                <w:color w:val="000000"/>
                <w:sz w:val="20"/>
                <w:szCs w:val="20"/>
                <w:lang w:eastAsia="en-GB"/>
              </w:rPr>
              <w:t xml:space="preserve"> (t)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FA7984B" w14:textId="6FB8DD1A" w:rsidR="006A7DC9" w:rsidRPr="003B69D7" w:rsidRDefault="001B1D01" w:rsidP="00444A1C">
            <w:pPr>
              <w:jc w:val="right"/>
              <w:rPr>
                <w:rFonts w:ascii="Calibri" w:hAnsi="Calibri" w:cs="Calibri"/>
                <w:sz w:val="20"/>
                <w:szCs w:val="20"/>
                <w:lang w:eastAsia="en-GB"/>
              </w:rPr>
            </w:pPr>
            <w:r w:rsidRPr="003B69D7">
              <w:rPr>
                <w:rFonts w:ascii="Calibri" w:hAnsi="Calibri" w:cs="Calibri"/>
                <w:sz w:val="20"/>
                <w:szCs w:val="20"/>
              </w:rPr>
              <w:t>7,905</w:t>
            </w:r>
          </w:p>
        </w:tc>
      </w:tr>
      <w:tr w:rsidR="006A7DC9" w:rsidRPr="00E8383E" w14:paraId="7F4CA6C0"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7999AA" w14:textId="3E6D63B0" w:rsidR="006A7DC9" w:rsidRPr="003B69D7" w:rsidRDefault="006A7DC9" w:rsidP="00444A1C">
            <w:pPr>
              <w:rPr>
                <w:rFonts w:ascii="Calibri" w:hAnsi="Calibri" w:cs="Calibri"/>
                <w:sz w:val="20"/>
                <w:szCs w:val="20"/>
                <w:lang w:eastAsia="en-GB"/>
              </w:rPr>
            </w:pPr>
            <w:r w:rsidRPr="003B69D7">
              <w:rPr>
                <w:rFonts w:ascii="Calibri" w:hAnsi="Calibri" w:cs="Calibri"/>
                <w:color w:val="000000"/>
                <w:sz w:val="20"/>
                <w:szCs w:val="20"/>
                <w:lang w:eastAsia="en-GB"/>
              </w:rPr>
              <w:lastRenderedPageBreak/>
              <w:t>Mean catch 201</w:t>
            </w:r>
            <w:r w:rsidR="001B1D01" w:rsidRPr="003B69D7">
              <w:rPr>
                <w:rFonts w:ascii="Calibri" w:hAnsi="Calibri" w:cs="Calibri"/>
                <w:color w:val="000000"/>
                <w:sz w:val="20"/>
                <w:szCs w:val="20"/>
                <w:lang w:eastAsia="en-GB"/>
              </w:rPr>
              <w:t>9</w:t>
            </w:r>
            <w:r w:rsidRPr="003B69D7">
              <w:rPr>
                <w:rFonts w:ascii="Calibri" w:hAnsi="Calibri" w:cs="Calibri"/>
                <w:color w:val="000000"/>
                <w:sz w:val="20"/>
                <w:szCs w:val="20"/>
                <w:lang w:eastAsia="en-GB"/>
              </w:rPr>
              <w:t>–202</w:t>
            </w:r>
            <w:r w:rsidR="001B1D01" w:rsidRPr="003B69D7">
              <w:rPr>
                <w:rFonts w:ascii="Calibri" w:hAnsi="Calibri" w:cs="Calibri"/>
                <w:color w:val="000000"/>
                <w:sz w:val="20"/>
                <w:szCs w:val="20"/>
                <w:lang w:eastAsia="en-GB"/>
              </w:rPr>
              <w:t>3</w:t>
            </w:r>
            <w:r w:rsidRPr="003B69D7">
              <w:rPr>
                <w:rFonts w:ascii="Calibri" w:hAnsi="Calibri" w:cs="Calibri"/>
                <w:color w:val="000000"/>
                <w:sz w:val="20"/>
                <w:szCs w:val="20"/>
                <w:lang w:eastAsia="en-GB"/>
              </w:rPr>
              <w:t xml:space="preserve"> (t)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408C3CF" w14:textId="4149B2AC" w:rsidR="006A7DC9" w:rsidRPr="003B69D7" w:rsidRDefault="001B1D01" w:rsidP="00444A1C">
            <w:pPr>
              <w:jc w:val="right"/>
              <w:rPr>
                <w:rFonts w:ascii="Calibri" w:hAnsi="Calibri" w:cs="Calibri"/>
                <w:sz w:val="20"/>
                <w:szCs w:val="20"/>
                <w:lang w:eastAsia="en-GB"/>
              </w:rPr>
            </w:pPr>
            <w:r w:rsidRPr="003B69D7">
              <w:rPr>
                <w:rFonts w:ascii="Calibri" w:hAnsi="Calibri" w:cs="Calibri"/>
                <w:sz w:val="20"/>
                <w:szCs w:val="20"/>
              </w:rPr>
              <w:t>7,964</w:t>
            </w:r>
          </w:p>
        </w:tc>
      </w:tr>
      <w:tr w:rsidR="006A7DC9" w:rsidRPr="00E8383E" w14:paraId="2258702D"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A609B0" w14:textId="1CAB681D" w:rsidR="006A7DC9" w:rsidRPr="003B69D7" w:rsidRDefault="006A7DC9" w:rsidP="00444A1C">
            <w:pPr>
              <w:rPr>
                <w:rFonts w:ascii="Calibri" w:hAnsi="Calibri" w:cs="Calibri"/>
                <w:sz w:val="20"/>
                <w:szCs w:val="20"/>
                <w:lang w:eastAsia="en-GB"/>
              </w:rPr>
            </w:pPr>
            <w:r w:rsidRPr="003B69D7">
              <w:rPr>
                <w:rFonts w:ascii="Calibri" w:hAnsi="Calibri" w:cs="Calibri"/>
                <w:color w:val="000000"/>
                <w:sz w:val="20"/>
                <w:szCs w:val="20"/>
                <w:lang w:eastAsia="en-GB"/>
              </w:rPr>
              <w:t>MSY (1,000 t) (</w:t>
            </w:r>
            <w:r w:rsidR="00D11701" w:rsidRPr="003B69D7">
              <w:rPr>
                <w:rFonts w:ascii="Calibri" w:hAnsi="Calibri" w:cs="Calibri"/>
                <w:color w:val="000000"/>
                <w:sz w:val="20"/>
                <w:szCs w:val="20"/>
                <w:lang w:eastAsia="en-GB"/>
              </w:rPr>
              <w:t>80</w:t>
            </w:r>
            <w:r w:rsidRPr="003B69D7">
              <w:rPr>
                <w:rFonts w:ascii="Calibri" w:hAnsi="Calibri" w:cs="Calibri"/>
                <w:color w:val="000000"/>
                <w:sz w:val="20"/>
                <w:szCs w:val="20"/>
                <w:lang w:eastAsia="en-GB"/>
              </w:rPr>
              <w:t>% 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CE7B2F" w14:textId="7381A3A8" w:rsidR="006A7DC9" w:rsidRPr="003B69D7" w:rsidRDefault="009A7866" w:rsidP="00444A1C">
            <w:pPr>
              <w:jc w:val="right"/>
              <w:rPr>
                <w:rFonts w:ascii="Calibri" w:hAnsi="Calibri" w:cs="Calibri"/>
                <w:sz w:val="20"/>
                <w:szCs w:val="20"/>
                <w:lang w:eastAsia="en-GB"/>
              </w:rPr>
            </w:pPr>
            <w:r w:rsidRPr="003B69D7">
              <w:rPr>
                <w:rFonts w:ascii="Calibri" w:hAnsi="Calibri" w:cs="Calibri"/>
                <w:sz w:val="20"/>
                <w:szCs w:val="20"/>
                <w:lang w:eastAsia="en-GB"/>
              </w:rPr>
              <w:t>8.35</w:t>
            </w:r>
            <w:r w:rsidR="006A7DC9" w:rsidRPr="003B69D7">
              <w:rPr>
                <w:rFonts w:ascii="Calibri" w:hAnsi="Calibri" w:cs="Calibri"/>
                <w:sz w:val="20"/>
                <w:szCs w:val="20"/>
                <w:lang w:eastAsia="en-GB"/>
              </w:rPr>
              <w:t xml:space="preserve"> (</w:t>
            </w:r>
            <w:r w:rsidRPr="003B69D7">
              <w:rPr>
                <w:rFonts w:ascii="Calibri" w:hAnsi="Calibri" w:cs="Calibri"/>
                <w:sz w:val="20"/>
                <w:szCs w:val="20"/>
                <w:lang w:eastAsia="en-GB"/>
              </w:rPr>
              <w:t>7.52-9.23</w:t>
            </w:r>
            <w:r w:rsidR="006A7DC9" w:rsidRPr="003B69D7">
              <w:rPr>
                <w:rFonts w:ascii="Calibri" w:hAnsi="Calibri" w:cs="Calibri"/>
                <w:sz w:val="20"/>
                <w:szCs w:val="20"/>
                <w:lang w:eastAsia="en-GB"/>
              </w:rPr>
              <w:t>)</w:t>
            </w:r>
          </w:p>
        </w:tc>
      </w:tr>
      <w:tr w:rsidR="006A7DC9" w:rsidRPr="00E8383E" w14:paraId="72237E73"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D4275E" w14:textId="24632F1C" w:rsidR="006A7DC9" w:rsidRPr="003B69D7" w:rsidRDefault="006A7DC9" w:rsidP="00444A1C">
            <w:pPr>
              <w:rPr>
                <w:rFonts w:ascii="Calibri" w:hAnsi="Calibri" w:cs="Calibri"/>
                <w:sz w:val="20"/>
                <w:szCs w:val="20"/>
                <w:lang w:eastAsia="en-GB"/>
              </w:rPr>
            </w:pPr>
            <w:r w:rsidRPr="003B69D7">
              <w:rPr>
                <w:rFonts w:ascii="Calibri" w:hAnsi="Calibri" w:cs="Calibri"/>
                <w:color w:val="000000"/>
                <w:sz w:val="20"/>
                <w:szCs w:val="20"/>
                <w:lang w:eastAsia="en-GB"/>
              </w:rPr>
              <w:t>F</w:t>
            </w:r>
            <w:r w:rsidRPr="003B69D7">
              <w:rPr>
                <w:rFonts w:ascii="Calibri" w:hAnsi="Calibri" w:cs="Calibri"/>
                <w:color w:val="000000"/>
                <w:sz w:val="20"/>
                <w:szCs w:val="20"/>
                <w:vertAlign w:val="subscript"/>
                <w:lang w:eastAsia="en-GB"/>
              </w:rPr>
              <w:t>MSY</w:t>
            </w:r>
            <w:r w:rsidRPr="003B69D7">
              <w:rPr>
                <w:rFonts w:ascii="Calibri" w:hAnsi="Calibri" w:cs="Calibri"/>
                <w:color w:val="000000"/>
                <w:sz w:val="20"/>
                <w:szCs w:val="20"/>
                <w:lang w:eastAsia="en-GB"/>
              </w:rPr>
              <w:t xml:space="preserve"> (</w:t>
            </w:r>
            <w:r w:rsidR="00D11701" w:rsidRPr="003B69D7">
              <w:rPr>
                <w:rFonts w:ascii="Calibri" w:hAnsi="Calibri" w:cs="Calibri"/>
                <w:color w:val="000000"/>
                <w:sz w:val="20"/>
                <w:szCs w:val="20"/>
                <w:lang w:eastAsia="en-GB"/>
              </w:rPr>
              <w:t>80</w:t>
            </w:r>
            <w:r w:rsidRPr="003B69D7">
              <w:rPr>
                <w:rFonts w:ascii="Calibri" w:hAnsi="Calibri" w:cs="Calibri"/>
                <w:color w:val="000000"/>
                <w:sz w:val="20"/>
                <w:szCs w:val="20"/>
                <w:lang w:eastAsia="en-GB"/>
              </w:rPr>
              <w:t>% 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F723C2" w14:textId="7C9EAF67" w:rsidR="006A7DC9" w:rsidRPr="003B69D7" w:rsidRDefault="006A7DC9" w:rsidP="00444A1C">
            <w:pPr>
              <w:jc w:val="right"/>
              <w:rPr>
                <w:rFonts w:ascii="Calibri" w:hAnsi="Calibri" w:cs="Calibri"/>
                <w:sz w:val="20"/>
                <w:szCs w:val="20"/>
                <w:lang w:eastAsia="en-GB"/>
              </w:rPr>
            </w:pPr>
            <w:r w:rsidRPr="003B69D7">
              <w:rPr>
                <w:rFonts w:ascii="Calibri" w:hAnsi="Calibri" w:cs="Calibri"/>
                <w:sz w:val="20"/>
                <w:szCs w:val="20"/>
                <w:lang w:eastAsia="en-GB"/>
              </w:rPr>
              <w:t>0.</w:t>
            </w:r>
            <w:r w:rsidR="009A7866" w:rsidRPr="003B69D7">
              <w:rPr>
                <w:rFonts w:ascii="Calibri" w:hAnsi="Calibri" w:cs="Calibri"/>
                <w:sz w:val="20"/>
                <w:szCs w:val="20"/>
                <w:lang w:eastAsia="en-GB"/>
              </w:rPr>
              <w:t>30</w:t>
            </w:r>
            <w:r w:rsidRPr="003B69D7">
              <w:rPr>
                <w:rFonts w:ascii="Calibri" w:hAnsi="Calibri" w:cs="Calibri"/>
                <w:sz w:val="20"/>
                <w:szCs w:val="20"/>
                <w:lang w:eastAsia="en-GB"/>
              </w:rPr>
              <w:t xml:space="preserve"> (0.2</w:t>
            </w:r>
            <w:r w:rsidR="009A7866" w:rsidRPr="003B69D7">
              <w:rPr>
                <w:rFonts w:ascii="Calibri" w:hAnsi="Calibri" w:cs="Calibri"/>
                <w:sz w:val="20"/>
                <w:szCs w:val="20"/>
                <w:lang w:eastAsia="en-GB"/>
              </w:rPr>
              <w:t>1</w:t>
            </w:r>
            <w:r w:rsidRPr="003B69D7">
              <w:rPr>
                <w:rFonts w:ascii="Calibri" w:hAnsi="Calibri" w:cs="Calibri"/>
                <w:sz w:val="20"/>
                <w:szCs w:val="20"/>
                <w:lang w:eastAsia="en-GB"/>
              </w:rPr>
              <w:t xml:space="preserve"> - 0.3</w:t>
            </w:r>
            <w:r w:rsidR="009A7866" w:rsidRPr="003B69D7">
              <w:rPr>
                <w:rFonts w:ascii="Calibri" w:hAnsi="Calibri" w:cs="Calibri"/>
                <w:sz w:val="20"/>
                <w:szCs w:val="20"/>
                <w:lang w:eastAsia="en-GB"/>
              </w:rPr>
              <w:t>8</w:t>
            </w:r>
            <w:r w:rsidRPr="003B69D7">
              <w:rPr>
                <w:rFonts w:ascii="Calibri" w:hAnsi="Calibri" w:cs="Calibri"/>
                <w:sz w:val="20"/>
                <w:szCs w:val="20"/>
                <w:lang w:eastAsia="en-GB"/>
              </w:rPr>
              <w:t>)</w:t>
            </w:r>
          </w:p>
        </w:tc>
      </w:tr>
      <w:tr w:rsidR="006A7DC9" w:rsidRPr="00E8383E" w14:paraId="79955029"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B6EBBA" w14:textId="77777777" w:rsidR="006A7DC9" w:rsidRPr="003B69D7" w:rsidRDefault="006A7DC9" w:rsidP="00444A1C">
            <w:pPr>
              <w:rPr>
                <w:rFonts w:ascii="Calibri" w:hAnsi="Calibri" w:cs="Calibri"/>
                <w:sz w:val="20"/>
                <w:szCs w:val="20"/>
                <w:lang w:eastAsia="en-GB"/>
              </w:rPr>
            </w:pPr>
            <w:r w:rsidRPr="003B69D7">
              <w:rPr>
                <w:rFonts w:ascii="Calibri" w:hAnsi="Calibri" w:cs="Calibri"/>
                <w:color w:val="000000"/>
                <w:sz w:val="20"/>
                <w:szCs w:val="20"/>
                <w:lang w:eastAsia="en-GB"/>
              </w:rPr>
              <w:t>Data period (catch)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7E126A" w14:textId="3DCBBECA" w:rsidR="006A7DC9" w:rsidRPr="003B69D7" w:rsidRDefault="006A7DC9" w:rsidP="00444A1C">
            <w:pPr>
              <w:jc w:val="right"/>
              <w:rPr>
                <w:rFonts w:ascii="Calibri" w:hAnsi="Calibri" w:cs="Calibri"/>
                <w:sz w:val="20"/>
                <w:szCs w:val="20"/>
                <w:lang w:eastAsia="en-GB"/>
              </w:rPr>
            </w:pPr>
            <w:r w:rsidRPr="003B69D7">
              <w:rPr>
                <w:rFonts w:ascii="Calibri" w:hAnsi="Calibri" w:cs="Calibri"/>
                <w:sz w:val="20"/>
                <w:szCs w:val="20"/>
                <w:lang w:eastAsia="en-GB"/>
              </w:rPr>
              <w:t>1950–202</w:t>
            </w:r>
            <w:r w:rsidR="009A7866" w:rsidRPr="003B69D7">
              <w:rPr>
                <w:rFonts w:ascii="Calibri" w:hAnsi="Calibri" w:cs="Calibri"/>
                <w:sz w:val="20"/>
                <w:szCs w:val="20"/>
                <w:lang w:eastAsia="en-GB"/>
              </w:rPr>
              <w:t>3</w:t>
            </w:r>
          </w:p>
        </w:tc>
      </w:tr>
      <w:tr w:rsidR="006A7DC9" w:rsidRPr="00E8383E" w14:paraId="2C780DD9"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31250F" w14:textId="0F72F198" w:rsidR="006A7DC9" w:rsidRPr="003B69D7" w:rsidRDefault="006A7DC9" w:rsidP="00444A1C">
            <w:pPr>
              <w:rPr>
                <w:rFonts w:ascii="Calibri" w:hAnsi="Calibri" w:cs="Calibri"/>
                <w:sz w:val="20"/>
                <w:szCs w:val="20"/>
                <w:lang w:eastAsia="en-GB"/>
              </w:rPr>
            </w:pPr>
            <w:r w:rsidRPr="003B69D7">
              <w:rPr>
                <w:rFonts w:ascii="Calibri" w:hAnsi="Calibri" w:cs="Calibri"/>
                <w:color w:val="000000"/>
                <w:sz w:val="20"/>
                <w:szCs w:val="20"/>
                <w:lang w:eastAsia="en-GB"/>
              </w:rPr>
              <w:t>F</w:t>
            </w:r>
            <w:r w:rsidRPr="003B69D7">
              <w:rPr>
                <w:rFonts w:ascii="Calibri" w:hAnsi="Calibri" w:cs="Calibri"/>
                <w:color w:val="000000"/>
                <w:sz w:val="20"/>
                <w:szCs w:val="20"/>
                <w:vertAlign w:val="subscript"/>
                <w:lang w:eastAsia="en-GB"/>
              </w:rPr>
              <w:t>202</w:t>
            </w:r>
            <w:r w:rsidR="009A7866" w:rsidRPr="003B69D7">
              <w:rPr>
                <w:rFonts w:ascii="Calibri" w:hAnsi="Calibri" w:cs="Calibri"/>
                <w:color w:val="000000"/>
                <w:sz w:val="20"/>
                <w:szCs w:val="20"/>
                <w:vertAlign w:val="subscript"/>
                <w:lang w:eastAsia="en-GB"/>
              </w:rPr>
              <w:t>3</w:t>
            </w:r>
            <w:r w:rsidRPr="003B69D7">
              <w:rPr>
                <w:rFonts w:ascii="Calibri" w:hAnsi="Calibri" w:cs="Calibri"/>
                <w:color w:val="000000"/>
                <w:sz w:val="20"/>
                <w:szCs w:val="20"/>
                <w:lang w:eastAsia="en-GB"/>
              </w:rPr>
              <w:t>/F</w:t>
            </w:r>
            <w:r w:rsidRPr="003B69D7">
              <w:rPr>
                <w:rFonts w:ascii="Calibri" w:hAnsi="Calibri" w:cs="Calibri"/>
                <w:color w:val="000000"/>
                <w:sz w:val="20"/>
                <w:szCs w:val="20"/>
                <w:vertAlign w:val="subscript"/>
                <w:lang w:eastAsia="en-GB"/>
              </w:rPr>
              <w:t>MSY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67AD82" w14:textId="298B9272" w:rsidR="006A7DC9" w:rsidRPr="003B69D7" w:rsidRDefault="00B61268" w:rsidP="00444A1C">
            <w:pPr>
              <w:jc w:val="right"/>
              <w:rPr>
                <w:rFonts w:ascii="Calibri" w:hAnsi="Calibri" w:cs="Calibri"/>
                <w:sz w:val="20"/>
                <w:szCs w:val="20"/>
                <w:lang w:eastAsia="en-GB"/>
              </w:rPr>
            </w:pPr>
            <w:r w:rsidRPr="003B69D7">
              <w:rPr>
                <w:rFonts w:ascii="Calibri" w:hAnsi="Calibri" w:cs="Calibri"/>
                <w:sz w:val="20"/>
                <w:szCs w:val="20"/>
                <w:lang w:eastAsia="en-GB"/>
              </w:rPr>
              <w:t>1.54 (1.16 – 2.06) </w:t>
            </w:r>
          </w:p>
        </w:tc>
      </w:tr>
      <w:tr w:rsidR="006A7DC9" w:rsidRPr="00E8383E" w14:paraId="5257B2BE"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B80B76" w14:textId="07B4C4F1" w:rsidR="006A7DC9" w:rsidRPr="003B69D7" w:rsidRDefault="006A7DC9" w:rsidP="00444A1C">
            <w:pPr>
              <w:rPr>
                <w:rFonts w:ascii="Calibri" w:hAnsi="Calibri" w:cs="Calibri"/>
                <w:sz w:val="20"/>
                <w:szCs w:val="20"/>
                <w:lang w:eastAsia="en-GB"/>
              </w:rPr>
            </w:pPr>
            <w:r w:rsidRPr="003B69D7">
              <w:rPr>
                <w:rFonts w:ascii="Calibri" w:hAnsi="Calibri" w:cs="Calibri"/>
                <w:color w:val="000000"/>
                <w:sz w:val="20"/>
                <w:szCs w:val="20"/>
                <w:lang w:eastAsia="en-GB"/>
              </w:rPr>
              <w:t>B</w:t>
            </w:r>
            <w:r w:rsidRPr="003B69D7">
              <w:rPr>
                <w:rFonts w:ascii="Calibri" w:hAnsi="Calibri" w:cs="Calibri"/>
                <w:color w:val="000000"/>
                <w:sz w:val="20"/>
                <w:szCs w:val="20"/>
                <w:vertAlign w:val="subscript"/>
                <w:lang w:eastAsia="en-GB"/>
              </w:rPr>
              <w:t>202</w:t>
            </w:r>
            <w:r w:rsidR="009A7866" w:rsidRPr="003B69D7">
              <w:rPr>
                <w:rFonts w:ascii="Calibri" w:hAnsi="Calibri" w:cs="Calibri"/>
                <w:color w:val="000000"/>
                <w:sz w:val="20"/>
                <w:szCs w:val="20"/>
                <w:vertAlign w:val="subscript"/>
                <w:lang w:eastAsia="en-GB"/>
              </w:rPr>
              <w:t>3</w:t>
            </w:r>
            <w:r w:rsidRPr="003B69D7">
              <w:rPr>
                <w:rFonts w:ascii="Calibri" w:hAnsi="Calibri" w:cs="Calibri"/>
                <w:color w:val="000000"/>
                <w:sz w:val="20"/>
                <w:szCs w:val="20"/>
                <w:lang w:eastAsia="en-GB"/>
              </w:rPr>
              <w:t>/B</w:t>
            </w:r>
            <w:r w:rsidRPr="003B69D7">
              <w:rPr>
                <w:rFonts w:ascii="Calibri" w:hAnsi="Calibri" w:cs="Calibri"/>
                <w:color w:val="000000"/>
                <w:sz w:val="20"/>
                <w:szCs w:val="20"/>
                <w:vertAlign w:val="subscript"/>
                <w:lang w:eastAsia="en-GB"/>
              </w:rPr>
              <w:t>MSY</w:t>
            </w:r>
            <w:r w:rsidRPr="003B69D7">
              <w:rPr>
                <w:rFonts w:ascii="Calibri" w:hAnsi="Calibri" w:cs="Calibri"/>
                <w:color w:val="000000"/>
                <w:sz w:val="20"/>
                <w:szCs w:val="20"/>
                <w:lang w:eastAsia="en-GB"/>
              </w:rPr>
              <w:t xml:space="preserve"> (</w:t>
            </w:r>
            <w:r w:rsidR="00D11701" w:rsidRPr="003B69D7">
              <w:rPr>
                <w:rFonts w:ascii="Calibri" w:hAnsi="Calibri" w:cs="Calibri"/>
                <w:color w:val="000000"/>
                <w:sz w:val="20"/>
                <w:szCs w:val="20"/>
                <w:lang w:eastAsia="en-GB"/>
              </w:rPr>
              <w:t>80</w:t>
            </w:r>
            <w:r w:rsidRPr="003B69D7">
              <w:rPr>
                <w:rFonts w:ascii="Calibri" w:hAnsi="Calibri" w:cs="Calibri"/>
                <w:color w:val="000000"/>
                <w:sz w:val="20"/>
                <w:szCs w:val="20"/>
                <w:lang w:eastAsia="en-GB"/>
              </w:rPr>
              <w:t>% 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9C683C" w14:textId="49FB2997" w:rsidR="006A7DC9" w:rsidRPr="003B69D7" w:rsidRDefault="00D9791F" w:rsidP="00444A1C">
            <w:pPr>
              <w:jc w:val="right"/>
              <w:rPr>
                <w:rFonts w:ascii="Calibri" w:hAnsi="Calibri" w:cs="Calibri"/>
                <w:sz w:val="20"/>
                <w:szCs w:val="20"/>
                <w:lang w:eastAsia="en-GB"/>
              </w:rPr>
            </w:pPr>
            <w:r w:rsidRPr="003B69D7">
              <w:rPr>
                <w:rFonts w:ascii="Calibri" w:hAnsi="Calibri" w:cs="Calibri"/>
                <w:color w:val="000000"/>
                <w:sz w:val="20"/>
                <w:szCs w:val="20"/>
                <w:lang w:eastAsia="en-GB"/>
              </w:rPr>
              <w:t>0.62 (0.48 – 0.78) </w:t>
            </w:r>
          </w:p>
        </w:tc>
      </w:tr>
      <w:tr w:rsidR="006A7DC9" w:rsidRPr="00E8383E" w14:paraId="43846945"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710110" w14:textId="7A6018F8" w:rsidR="006A7DC9" w:rsidRPr="003B69D7" w:rsidRDefault="006A7DC9" w:rsidP="00444A1C">
            <w:pPr>
              <w:rPr>
                <w:rFonts w:ascii="Calibri" w:hAnsi="Calibri" w:cs="Calibri"/>
                <w:sz w:val="20"/>
                <w:szCs w:val="20"/>
                <w:lang w:eastAsia="en-GB"/>
              </w:rPr>
            </w:pPr>
            <w:r w:rsidRPr="003B69D7">
              <w:rPr>
                <w:rFonts w:ascii="Calibri" w:hAnsi="Calibri" w:cs="Calibri"/>
                <w:color w:val="000000"/>
                <w:sz w:val="20"/>
                <w:szCs w:val="20"/>
                <w:lang w:eastAsia="en-GB"/>
              </w:rPr>
              <w:t>SB</w:t>
            </w:r>
            <w:r w:rsidRPr="003B69D7">
              <w:rPr>
                <w:rFonts w:ascii="Calibri" w:hAnsi="Calibri" w:cs="Calibri"/>
                <w:color w:val="000000"/>
                <w:sz w:val="20"/>
                <w:szCs w:val="20"/>
                <w:vertAlign w:val="subscript"/>
                <w:lang w:eastAsia="en-GB"/>
              </w:rPr>
              <w:t>202</w:t>
            </w:r>
            <w:r w:rsidR="009A7866" w:rsidRPr="003B69D7">
              <w:rPr>
                <w:rFonts w:ascii="Calibri" w:hAnsi="Calibri" w:cs="Calibri"/>
                <w:color w:val="000000"/>
                <w:sz w:val="20"/>
                <w:szCs w:val="20"/>
                <w:vertAlign w:val="subscript"/>
                <w:lang w:eastAsia="en-GB"/>
              </w:rPr>
              <w:t>3</w:t>
            </w:r>
            <w:r w:rsidRPr="003B69D7">
              <w:rPr>
                <w:rFonts w:ascii="Calibri" w:hAnsi="Calibri" w:cs="Calibri"/>
                <w:color w:val="000000"/>
                <w:sz w:val="20"/>
                <w:szCs w:val="20"/>
                <w:lang w:eastAsia="en-GB"/>
              </w:rPr>
              <w:t>/SB</w:t>
            </w:r>
            <w:r w:rsidRPr="003B69D7">
              <w:rPr>
                <w:rFonts w:ascii="Calibri" w:hAnsi="Calibri" w:cs="Calibri"/>
                <w:color w:val="000000"/>
                <w:sz w:val="20"/>
                <w:szCs w:val="20"/>
                <w:vertAlign w:val="subscript"/>
                <w:lang w:eastAsia="en-GB"/>
              </w:rPr>
              <w:t>MSY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4274B7" w14:textId="77777777" w:rsidR="006A7DC9" w:rsidRPr="003B69D7" w:rsidRDefault="006A7DC9" w:rsidP="00444A1C">
            <w:pPr>
              <w:jc w:val="right"/>
              <w:rPr>
                <w:rFonts w:ascii="Calibri" w:hAnsi="Calibri" w:cs="Calibri"/>
                <w:sz w:val="20"/>
                <w:szCs w:val="20"/>
                <w:lang w:eastAsia="en-GB"/>
              </w:rPr>
            </w:pPr>
            <w:r w:rsidRPr="003B69D7">
              <w:rPr>
                <w:rFonts w:ascii="Calibri" w:hAnsi="Calibri" w:cs="Calibri"/>
                <w:color w:val="000000"/>
                <w:sz w:val="20"/>
                <w:szCs w:val="20"/>
                <w:lang w:eastAsia="en-GB"/>
              </w:rPr>
              <w:t>N/A</w:t>
            </w:r>
          </w:p>
        </w:tc>
      </w:tr>
      <w:tr w:rsidR="006A7DC9" w:rsidRPr="00E8383E" w14:paraId="663CFC5C"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C75F45" w14:textId="5AE9AFB0" w:rsidR="006A7DC9" w:rsidRPr="003B69D7" w:rsidRDefault="006A7DC9" w:rsidP="00444A1C">
            <w:pPr>
              <w:rPr>
                <w:rFonts w:ascii="Calibri" w:hAnsi="Calibri" w:cs="Calibri"/>
                <w:sz w:val="20"/>
                <w:szCs w:val="20"/>
                <w:lang w:eastAsia="en-GB"/>
              </w:rPr>
            </w:pPr>
            <w:r w:rsidRPr="003B69D7">
              <w:rPr>
                <w:rFonts w:ascii="Calibri" w:hAnsi="Calibri" w:cs="Calibri"/>
                <w:color w:val="000000"/>
                <w:sz w:val="20"/>
                <w:szCs w:val="20"/>
                <w:lang w:eastAsia="en-GB"/>
              </w:rPr>
              <w:t>B</w:t>
            </w:r>
            <w:r w:rsidRPr="003B69D7">
              <w:rPr>
                <w:rFonts w:ascii="Calibri" w:hAnsi="Calibri" w:cs="Calibri"/>
                <w:color w:val="000000"/>
                <w:sz w:val="20"/>
                <w:szCs w:val="20"/>
                <w:vertAlign w:val="subscript"/>
                <w:lang w:eastAsia="en-GB"/>
              </w:rPr>
              <w:t>202</w:t>
            </w:r>
            <w:r w:rsidR="009A7866" w:rsidRPr="003B69D7">
              <w:rPr>
                <w:rFonts w:ascii="Calibri" w:hAnsi="Calibri" w:cs="Calibri"/>
                <w:color w:val="000000"/>
                <w:sz w:val="20"/>
                <w:szCs w:val="20"/>
                <w:vertAlign w:val="subscript"/>
                <w:lang w:eastAsia="en-GB"/>
              </w:rPr>
              <w:t>3</w:t>
            </w:r>
            <w:r w:rsidRPr="003B69D7">
              <w:rPr>
                <w:rFonts w:ascii="Calibri" w:hAnsi="Calibri" w:cs="Calibri"/>
                <w:color w:val="000000"/>
                <w:sz w:val="20"/>
                <w:szCs w:val="20"/>
                <w:lang w:eastAsia="en-GB"/>
              </w:rPr>
              <w:t>/B</w:t>
            </w:r>
            <w:r w:rsidRPr="003B69D7">
              <w:rPr>
                <w:rFonts w:ascii="Calibri" w:hAnsi="Calibri" w:cs="Calibri"/>
                <w:color w:val="000000"/>
                <w:sz w:val="20"/>
                <w:szCs w:val="20"/>
                <w:vertAlign w:val="subscript"/>
                <w:lang w:eastAsia="en-GB"/>
              </w:rPr>
              <w:t>0</w:t>
            </w:r>
            <w:r w:rsidRPr="003B69D7">
              <w:rPr>
                <w:rFonts w:ascii="Calibri" w:hAnsi="Calibri" w:cs="Calibri"/>
                <w:color w:val="000000"/>
                <w:sz w:val="20"/>
                <w:szCs w:val="20"/>
                <w:lang w:eastAsia="en-GB"/>
              </w:rPr>
              <w:t xml:space="preserve"> (</w:t>
            </w:r>
            <w:r w:rsidR="00D11701" w:rsidRPr="003B69D7">
              <w:rPr>
                <w:rFonts w:ascii="Calibri" w:hAnsi="Calibri" w:cs="Calibri"/>
                <w:color w:val="000000"/>
                <w:sz w:val="20"/>
                <w:szCs w:val="20"/>
                <w:lang w:eastAsia="en-GB"/>
              </w:rPr>
              <w:t>80</w:t>
            </w:r>
            <w:r w:rsidRPr="003B69D7">
              <w:rPr>
                <w:rFonts w:ascii="Calibri" w:hAnsi="Calibri" w:cs="Calibri"/>
                <w:color w:val="000000"/>
                <w:sz w:val="20"/>
                <w:szCs w:val="20"/>
                <w:lang w:eastAsia="en-GB"/>
              </w:rPr>
              <w:t>% 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9EC6CB" w14:textId="2641F4E4" w:rsidR="006A7DC9" w:rsidRPr="003B69D7" w:rsidRDefault="00D9791F" w:rsidP="00444A1C">
            <w:pPr>
              <w:jc w:val="right"/>
              <w:rPr>
                <w:rFonts w:ascii="Calibri" w:hAnsi="Calibri" w:cs="Calibri"/>
                <w:sz w:val="20"/>
                <w:szCs w:val="20"/>
                <w:lang w:eastAsia="en-GB"/>
              </w:rPr>
            </w:pPr>
            <w:r w:rsidRPr="003B69D7">
              <w:rPr>
                <w:rFonts w:ascii="Calibri" w:hAnsi="Calibri" w:cs="Calibri"/>
                <w:color w:val="000000"/>
                <w:sz w:val="20"/>
                <w:szCs w:val="20"/>
                <w:lang w:eastAsia="en-GB"/>
              </w:rPr>
              <w:t>0.23 (0.18 – 0.29)</w:t>
            </w:r>
          </w:p>
        </w:tc>
      </w:tr>
      <w:tr w:rsidR="006A7DC9" w:rsidRPr="00E8383E" w14:paraId="3553544E"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AA527A" w14:textId="43B31E49" w:rsidR="006A7DC9" w:rsidRPr="003B69D7" w:rsidRDefault="006A7DC9" w:rsidP="00444A1C">
            <w:pPr>
              <w:rPr>
                <w:rFonts w:ascii="Calibri" w:hAnsi="Calibri" w:cs="Calibri"/>
                <w:sz w:val="20"/>
                <w:szCs w:val="20"/>
                <w:lang w:eastAsia="en-GB"/>
              </w:rPr>
            </w:pPr>
            <w:r w:rsidRPr="003B69D7">
              <w:rPr>
                <w:rFonts w:ascii="Calibri" w:hAnsi="Calibri" w:cs="Calibri"/>
                <w:color w:val="000000"/>
                <w:sz w:val="20"/>
                <w:szCs w:val="20"/>
                <w:lang w:eastAsia="en-GB"/>
              </w:rPr>
              <w:t>SB</w:t>
            </w:r>
            <w:r w:rsidRPr="003B69D7">
              <w:rPr>
                <w:rFonts w:ascii="Calibri" w:hAnsi="Calibri" w:cs="Calibri"/>
                <w:color w:val="000000"/>
                <w:sz w:val="20"/>
                <w:szCs w:val="20"/>
                <w:vertAlign w:val="subscript"/>
                <w:lang w:eastAsia="en-GB"/>
              </w:rPr>
              <w:t>202</w:t>
            </w:r>
            <w:r w:rsidR="009A7866" w:rsidRPr="003B69D7">
              <w:rPr>
                <w:rFonts w:ascii="Calibri" w:hAnsi="Calibri" w:cs="Calibri"/>
                <w:color w:val="000000"/>
                <w:sz w:val="20"/>
                <w:szCs w:val="20"/>
                <w:vertAlign w:val="subscript"/>
                <w:lang w:eastAsia="en-GB"/>
              </w:rPr>
              <w:t>3</w:t>
            </w:r>
            <w:r w:rsidRPr="003B69D7">
              <w:rPr>
                <w:rFonts w:ascii="Calibri" w:hAnsi="Calibri" w:cs="Calibri"/>
                <w:color w:val="000000"/>
                <w:sz w:val="20"/>
                <w:szCs w:val="20"/>
                <w:lang w:eastAsia="en-GB"/>
              </w:rPr>
              <w:t>/SB</w:t>
            </w:r>
            <w:r w:rsidRPr="003B69D7">
              <w:rPr>
                <w:rFonts w:ascii="Calibri" w:hAnsi="Calibri" w:cs="Calibri"/>
                <w:color w:val="000000"/>
                <w:sz w:val="20"/>
                <w:szCs w:val="20"/>
                <w:vertAlign w:val="subscript"/>
                <w:lang w:eastAsia="en-GB"/>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2AFDB1" w14:textId="77777777" w:rsidR="006A7DC9" w:rsidRPr="003B69D7" w:rsidRDefault="006A7DC9" w:rsidP="00444A1C">
            <w:pPr>
              <w:jc w:val="right"/>
              <w:rPr>
                <w:rFonts w:ascii="Calibri" w:hAnsi="Calibri" w:cs="Calibri"/>
                <w:sz w:val="20"/>
                <w:szCs w:val="20"/>
                <w:lang w:eastAsia="en-GB"/>
              </w:rPr>
            </w:pPr>
            <w:r w:rsidRPr="003B69D7">
              <w:rPr>
                <w:rFonts w:ascii="Calibri" w:hAnsi="Calibri" w:cs="Calibri"/>
                <w:color w:val="000000"/>
                <w:sz w:val="20"/>
                <w:szCs w:val="20"/>
                <w:lang w:eastAsia="en-GB"/>
              </w:rPr>
              <w:t>N/A</w:t>
            </w:r>
          </w:p>
        </w:tc>
      </w:tr>
    </w:tbl>
    <w:p w14:paraId="58D6087B" w14:textId="77777777" w:rsidR="006A7DC9" w:rsidRPr="00E8383E" w:rsidRDefault="006A7DC9" w:rsidP="006A7DC9">
      <w:pPr>
        <w:pStyle w:val="IOTCReportNormalNumbered"/>
        <w:numPr>
          <w:ilvl w:val="0"/>
          <w:numId w:val="0"/>
        </w:numPr>
        <w:ind w:left="772"/>
      </w:pPr>
    </w:p>
    <w:p w14:paraId="26102FDA" w14:textId="3097C726" w:rsidR="006A7DC9" w:rsidRPr="00AB0095" w:rsidRDefault="005C7CA6" w:rsidP="004636DB">
      <w:pPr>
        <w:pStyle w:val="IOTCReportNormalNumbered"/>
        <w:numPr>
          <w:ilvl w:val="0"/>
          <w:numId w:val="0"/>
        </w:numPr>
        <w:ind w:left="772"/>
        <w:jc w:val="center"/>
        <w:rPr>
          <w:highlight w:val="yellow"/>
        </w:rPr>
      </w:pPr>
      <w:r>
        <w:rPr>
          <w:noProof/>
        </w:rPr>
        <w:drawing>
          <wp:inline distT="0" distB="0" distL="0" distR="0" wp14:anchorId="7081FE75" wp14:editId="49BFBFF1">
            <wp:extent cx="4114800" cy="4114800"/>
            <wp:effectExtent l="0" t="0" r="0" b="0"/>
            <wp:docPr id="553356824" name="Picture 1" descr="A graph of a graph showing a line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356824" name="Picture 1" descr="A graph of a graph showing a line of different colors&#10;&#10;AI-generated content may be incorrect."/>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114800" cy="4114800"/>
                    </a:xfrm>
                    <a:prstGeom prst="rect">
                      <a:avLst/>
                    </a:prstGeom>
                    <a:noFill/>
                    <a:ln>
                      <a:noFill/>
                    </a:ln>
                  </pic:spPr>
                </pic:pic>
              </a:graphicData>
            </a:graphic>
          </wp:inline>
        </w:drawing>
      </w:r>
    </w:p>
    <w:p w14:paraId="6803454A" w14:textId="7C1C29A2" w:rsidR="006A7DC9" w:rsidRPr="00EB2AD4" w:rsidRDefault="005C7CA6" w:rsidP="006A7DC9">
      <w:pPr>
        <w:rPr>
          <w:rFonts w:ascii="Calibri" w:hAnsi="Calibri" w:cs="Calibri"/>
        </w:rPr>
      </w:pPr>
      <w:r w:rsidRPr="00EB2AD4">
        <w:rPr>
          <w:rFonts w:ascii="Calibri" w:hAnsi="Calibri" w:cs="Calibri"/>
          <w:b/>
          <w:bCs/>
          <w:snapToGrid w:val="0"/>
          <w:color w:val="000000"/>
          <w:sz w:val="20"/>
          <w:szCs w:val="20"/>
          <w:lang w:eastAsia="en-US"/>
        </w:rPr>
        <w:t xml:space="preserve">Fig. </w:t>
      </w:r>
      <w:r w:rsidR="003226AF">
        <w:rPr>
          <w:rFonts w:ascii="Calibri" w:hAnsi="Calibri" w:cs="Calibri"/>
          <w:b/>
          <w:bCs/>
          <w:snapToGrid w:val="0"/>
          <w:color w:val="000000"/>
          <w:sz w:val="20"/>
          <w:szCs w:val="20"/>
          <w:lang w:eastAsia="en-US"/>
        </w:rPr>
        <w:t>1</w:t>
      </w:r>
      <w:r w:rsidRPr="00EB2AD4">
        <w:rPr>
          <w:rFonts w:ascii="Calibri" w:hAnsi="Calibri" w:cs="Calibri"/>
          <w:b/>
          <w:bCs/>
          <w:snapToGrid w:val="0"/>
          <w:color w:val="000000"/>
          <w:sz w:val="20"/>
          <w:szCs w:val="20"/>
          <w:lang w:eastAsia="en-US"/>
        </w:rPr>
        <w:t>. JABBA Indian Ocean assessment Kobe plots for blue marlin (contours are the 50, 80 and 95 percentiles of the 2023 estimate). Black line indicates the trajectory of the point estimates for the total biomass ratio (B/BMSY) and fishing mortality ratio (F/FMSY) for each year 1950–2023 </w:t>
      </w:r>
    </w:p>
    <w:p w14:paraId="0819CE46" w14:textId="7EE20CA8" w:rsidR="75F39CE8" w:rsidRDefault="75F39CE8" w:rsidP="75F39CE8">
      <w:pPr>
        <w:pStyle w:val="ListParagraph"/>
      </w:pPr>
    </w:p>
    <w:p w14:paraId="04537AC5" w14:textId="77EEEC59" w:rsidR="2CAA08E4" w:rsidRPr="00D01654" w:rsidRDefault="00020A1C" w:rsidP="00D01654">
      <w:pPr>
        <w:pStyle w:val="IOTCReportNormalNumbered"/>
        <w:spacing w:after="120"/>
        <w:ind w:left="540" w:hanging="540"/>
        <w:rPr>
          <w:rFonts w:ascii="Calibri" w:hAnsi="Calibri" w:cs="Calibri"/>
          <w:lang w:eastAsia="en-GB"/>
        </w:rPr>
      </w:pPr>
      <w:r w:rsidRPr="00D01654">
        <w:rPr>
          <w:rFonts w:ascii="Calibri" w:hAnsi="Calibri" w:cs="Calibri"/>
          <w:lang w:eastAsia="en-GB"/>
        </w:rPr>
        <w:t xml:space="preserve">The WPB </w:t>
      </w:r>
      <w:r w:rsidRPr="00D01654">
        <w:rPr>
          <w:rFonts w:ascii="Calibri" w:hAnsi="Calibri" w:cs="Calibri"/>
          <w:b/>
          <w:bCs/>
          <w:lang w:eastAsia="en-GB"/>
        </w:rPr>
        <w:t>NOTED</w:t>
      </w:r>
      <w:r w:rsidRPr="00D01654">
        <w:rPr>
          <w:rFonts w:ascii="Calibri" w:hAnsi="Calibri" w:cs="Calibri"/>
          <w:lang w:eastAsia="en-GB"/>
        </w:rPr>
        <w:t xml:space="preserve"> the presentation of several scenarios by the </w:t>
      </w:r>
      <w:r w:rsidR="000A72E3" w:rsidRPr="00D01654">
        <w:rPr>
          <w:rFonts w:ascii="Calibri" w:hAnsi="Calibri" w:cs="Calibri"/>
          <w:lang w:eastAsia="en-GB"/>
        </w:rPr>
        <w:t>modeller and</w:t>
      </w:r>
      <w:r w:rsidR="00BD1D89" w:rsidRPr="00D01654">
        <w:rPr>
          <w:rFonts w:ascii="Calibri" w:hAnsi="Calibri" w:cs="Calibri"/>
          <w:lang w:eastAsia="en-GB"/>
        </w:rPr>
        <w:t xml:space="preserve"> </w:t>
      </w:r>
      <w:r w:rsidR="00BD1D89" w:rsidRPr="00D01654">
        <w:rPr>
          <w:rFonts w:ascii="Calibri" w:hAnsi="Calibri" w:cs="Calibri"/>
          <w:b/>
          <w:bCs/>
          <w:lang w:eastAsia="en-GB"/>
        </w:rPr>
        <w:t>DISCUSSED</w:t>
      </w:r>
      <w:r w:rsidR="00AB082F" w:rsidRPr="00D01654">
        <w:rPr>
          <w:rFonts w:ascii="Calibri" w:hAnsi="Calibri" w:cs="Calibri"/>
          <w:lang w:eastAsia="en-GB"/>
        </w:rPr>
        <w:t xml:space="preserve"> them with </w:t>
      </w:r>
      <w:r w:rsidR="000A72E3" w:rsidRPr="00D01654">
        <w:rPr>
          <w:rFonts w:ascii="Calibri" w:hAnsi="Calibri" w:cs="Calibri"/>
          <w:lang w:eastAsia="en-GB"/>
        </w:rPr>
        <w:t>regards</w:t>
      </w:r>
      <w:r w:rsidR="00AB082F" w:rsidRPr="00D01654">
        <w:rPr>
          <w:rFonts w:ascii="Calibri" w:hAnsi="Calibri" w:cs="Calibri"/>
          <w:lang w:eastAsia="en-GB"/>
        </w:rPr>
        <w:t xml:space="preserve"> to the abundance indice</w:t>
      </w:r>
      <w:r w:rsidR="000A72E3" w:rsidRPr="00D01654">
        <w:rPr>
          <w:rFonts w:ascii="Calibri" w:hAnsi="Calibri" w:cs="Calibri"/>
          <w:lang w:eastAsia="en-GB"/>
        </w:rPr>
        <w:t xml:space="preserve">s included in the model. There were 10 scenarios presented to the WPB, but none investigated removing </w:t>
      </w:r>
      <w:r w:rsidR="00894320">
        <w:rPr>
          <w:rFonts w:ascii="Calibri" w:hAnsi="Calibri" w:cs="Calibri"/>
          <w:lang w:eastAsia="en-GB"/>
        </w:rPr>
        <w:t xml:space="preserve">any of the individual </w:t>
      </w:r>
      <w:r w:rsidR="00342FE8" w:rsidRPr="00D01654">
        <w:rPr>
          <w:rFonts w:ascii="Calibri" w:hAnsi="Calibri" w:cs="Calibri"/>
          <w:lang w:eastAsia="en-GB"/>
        </w:rPr>
        <w:t xml:space="preserve">CPUE indices. </w:t>
      </w:r>
      <w:r w:rsidR="00E45099" w:rsidRPr="00D01654">
        <w:rPr>
          <w:rFonts w:ascii="Calibri" w:hAnsi="Calibri" w:cs="Calibri"/>
          <w:lang w:eastAsia="en-GB"/>
        </w:rPr>
        <w:t xml:space="preserve">The JPN early index was </w:t>
      </w:r>
      <w:r w:rsidR="00E45099" w:rsidRPr="00D01654">
        <w:rPr>
          <w:rFonts w:ascii="Calibri" w:hAnsi="Calibri" w:cs="Calibri"/>
          <w:b/>
          <w:bCs/>
          <w:lang w:eastAsia="en-GB"/>
        </w:rPr>
        <w:t>NOTED</w:t>
      </w:r>
      <w:r w:rsidR="00E45099" w:rsidRPr="00D01654">
        <w:rPr>
          <w:rFonts w:ascii="Calibri" w:hAnsi="Calibri" w:cs="Calibri"/>
          <w:lang w:eastAsia="en-GB"/>
        </w:rPr>
        <w:t xml:space="preserve"> as being particularly important to include</w:t>
      </w:r>
      <w:r w:rsidR="00487905" w:rsidRPr="00D01654">
        <w:rPr>
          <w:rFonts w:ascii="Calibri" w:hAnsi="Calibri" w:cs="Calibri"/>
          <w:lang w:eastAsia="en-GB"/>
        </w:rPr>
        <w:t xml:space="preserve"> as it is the only </w:t>
      </w:r>
      <w:r w:rsidR="00EA2C05" w:rsidRPr="00D01654">
        <w:rPr>
          <w:rFonts w:ascii="Calibri" w:hAnsi="Calibri" w:cs="Calibri"/>
          <w:lang w:eastAsia="en-GB"/>
        </w:rPr>
        <w:t xml:space="preserve">abundance index that provides information prior to 2010, however the JPN late index </w:t>
      </w:r>
      <w:r w:rsidR="00051470" w:rsidRPr="00D01654">
        <w:rPr>
          <w:rFonts w:ascii="Calibri" w:hAnsi="Calibri" w:cs="Calibri"/>
          <w:lang w:eastAsia="en-GB"/>
        </w:rPr>
        <w:t xml:space="preserve">may not be </w:t>
      </w:r>
      <w:r w:rsidR="00A16DAA" w:rsidRPr="00D01654">
        <w:rPr>
          <w:rFonts w:ascii="Calibri" w:hAnsi="Calibri" w:cs="Calibri"/>
          <w:lang w:eastAsia="en-GB"/>
        </w:rPr>
        <w:t xml:space="preserve">representative of the abundance index as the fleet </w:t>
      </w:r>
      <w:r w:rsidR="00532823" w:rsidRPr="00D01654">
        <w:rPr>
          <w:rFonts w:ascii="Calibri" w:hAnsi="Calibri" w:cs="Calibri"/>
          <w:lang w:eastAsia="en-GB"/>
        </w:rPr>
        <w:t xml:space="preserve">has </w:t>
      </w:r>
      <w:r w:rsidR="005D777D" w:rsidRPr="00D01654">
        <w:rPr>
          <w:rFonts w:ascii="Calibri" w:hAnsi="Calibri" w:cs="Calibri"/>
          <w:lang w:eastAsia="en-GB"/>
        </w:rPr>
        <w:t>reduced significantly in recent years</w:t>
      </w:r>
      <w:r w:rsidR="008630E6" w:rsidRPr="00D01654">
        <w:rPr>
          <w:rFonts w:ascii="Calibri" w:hAnsi="Calibri" w:cs="Calibri"/>
          <w:lang w:eastAsia="en-GB"/>
        </w:rPr>
        <w:t xml:space="preserve">, and the subsequent increase in CPUE may not be representative of an abundance change, but </w:t>
      </w:r>
      <w:r w:rsidR="00845E4B" w:rsidRPr="00D01654">
        <w:rPr>
          <w:rFonts w:ascii="Calibri" w:hAnsi="Calibri" w:cs="Calibri"/>
          <w:lang w:eastAsia="en-GB"/>
        </w:rPr>
        <w:t xml:space="preserve">a change in </w:t>
      </w:r>
      <w:r w:rsidR="008630E6" w:rsidRPr="00D01654">
        <w:rPr>
          <w:rFonts w:ascii="Calibri" w:hAnsi="Calibri" w:cs="Calibri"/>
          <w:lang w:eastAsia="en-GB"/>
        </w:rPr>
        <w:t>fleet dynamics.</w:t>
      </w:r>
    </w:p>
    <w:p w14:paraId="3A331385" w14:textId="726BCD1E" w:rsidR="008630E6" w:rsidRPr="00D01654" w:rsidRDefault="00845E4B" w:rsidP="00D01654">
      <w:pPr>
        <w:pStyle w:val="IOTCReportNormalNumbered"/>
        <w:spacing w:after="120"/>
        <w:ind w:left="540" w:hanging="540"/>
        <w:rPr>
          <w:rFonts w:ascii="Calibri" w:hAnsi="Calibri" w:cs="Calibri"/>
          <w:lang w:eastAsia="en-GB"/>
        </w:rPr>
      </w:pPr>
      <w:r w:rsidRPr="00D01654">
        <w:rPr>
          <w:rFonts w:ascii="Calibri" w:hAnsi="Calibri" w:cs="Calibri"/>
          <w:lang w:eastAsia="en-GB"/>
        </w:rPr>
        <w:t xml:space="preserve">The WPB </w:t>
      </w:r>
      <w:r w:rsidRPr="00D01654">
        <w:rPr>
          <w:rFonts w:ascii="Calibri" w:hAnsi="Calibri" w:cs="Calibri"/>
          <w:b/>
          <w:bCs/>
          <w:lang w:eastAsia="en-GB"/>
        </w:rPr>
        <w:t>NOTED</w:t>
      </w:r>
      <w:r w:rsidRPr="00D01654">
        <w:rPr>
          <w:rFonts w:ascii="Calibri" w:hAnsi="Calibri" w:cs="Calibri"/>
          <w:lang w:eastAsia="en-GB"/>
        </w:rPr>
        <w:t xml:space="preserve"> that the scenarios presented to the group also included </w:t>
      </w:r>
      <w:r w:rsidR="00AC6AF5" w:rsidRPr="00D01654">
        <w:rPr>
          <w:rFonts w:ascii="Calibri" w:hAnsi="Calibri" w:cs="Calibri"/>
          <w:lang w:eastAsia="en-GB"/>
        </w:rPr>
        <w:t xml:space="preserve">testing two production functions (Fox vs. Schaefer models), but not the Pella-Tomlinson function. It was </w:t>
      </w:r>
      <w:r w:rsidR="00AC6AF5" w:rsidRPr="00D01654">
        <w:rPr>
          <w:rFonts w:ascii="Calibri" w:hAnsi="Calibri" w:cs="Calibri"/>
          <w:b/>
          <w:bCs/>
          <w:lang w:eastAsia="en-GB"/>
        </w:rPr>
        <w:t>SUGGESTED</w:t>
      </w:r>
      <w:r w:rsidR="00AC6AF5" w:rsidRPr="00D01654">
        <w:rPr>
          <w:rFonts w:ascii="Calibri" w:hAnsi="Calibri" w:cs="Calibri"/>
          <w:lang w:eastAsia="en-GB"/>
        </w:rPr>
        <w:t xml:space="preserve"> that further scenarios were run that included this additional production function, along with testing of </w:t>
      </w:r>
      <w:r w:rsidR="00154998" w:rsidRPr="00D01654">
        <w:rPr>
          <w:rFonts w:ascii="Calibri" w:hAnsi="Calibri" w:cs="Calibri"/>
          <w:lang w:eastAsia="en-GB"/>
        </w:rPr>
        <w:t>removal of CPUEs.</w:t>
      </w:r>
    </w:p>
    <w:p w14:paraId="67091DB9" w14:textId="4B565BDD" w:rsidR="7A35EA51" w:rsidRPr="00D01654" w:rsidRDefault="009D3CD0" w:rsidP="00D01654">
      <w:pPr>
        <w:pStyle w:val="IOTCReportNormalNumbered"/>
        <w:spacing w:after="120"/>
        <w:ind w:left="540" w:hanging="540"/>
        <w:rPr>
          <w:rFonts w:ascii="Calibri" w:hAnsi="Calibri" w:cs="Calibri"/>
          <w:lang w:eastAsia="en-GB"/>
        </w:rPr>
      </w:pPr>
      <w:r w:rsidRPr="00D01654">
        <w:rPr>
          <w:rFonts w:ascii="Calibri" w:hAnsi="Calibri" w:cs="Calibri"/>
          <w:lang w:eastAsia="en-GB"/>
        </w:rPr>
        <w:lastRenderedPageBreak/>
        <w:t xml:space="preserve">The WPB </w:t>
      </w:r>
      <w:r w:rsidRPr="00D01654">
        <w:rPr>
          <w:rFonts w:ascii="Calibri" w:hAnsi="Calibri" w:cs="Calibri"/>
          <w:b/>
          <w:bCs/>
          <w:lang w:eastAsia="en-GB"/>
        </w:rPr>
        <w:t>DISCUSSED</w:t>
      </w:r>
      <w:r w:rsidRPr="00D01654">
        <w:rPr>
          <w:rFonts w:ascii="Calibri" w:hAnsi="Calibri" w:cs="Calibri"/>
          <w:lang w:eastAsia="en-GB"/>
        </w:rPr>
        <w:t xml:space="preserve"> the ‘wiggliness’ of </w:t>
      </w:r>
      <w:r w:rsidR="003B0818" w:rsidRPr="00D01654">
        <w:rPr>
          <w:rFonts w:ascii="Calibri" w:hAnsi="Calibri" w:cs="Calibri"/>
          <w:lang w:eastAsia="en-GB"/>
        </w:rPr>
        <w:t>the posterior distribution of the carrying capacity parameter (</w:t>
      </w:r>
      <w:r w:rsidR="00BD26C8">
        <w:rPr>
          <w:rFonts w:ascii="Calibri" w:hAnsi="Calibri" w:cs="Calibri"/>
          <w:lang w:eastAsia="en-GB"/>
        </w:rPr>
        <w:t>K</w:t>
      </w:r>
      <w:r w:rsidR="003B0818" w:rsidRPr="00D01654">
        <w:rPr>
          <w:rFonts w:ascii="Calibri" w:hAnsi="Calibri" w:cs="Calibri"/>
          <w:lang w:eastAsia="en-GB"/>
        </w:rPr>
        <w:t xml:space="preserve">) suggesting that </w:t>
      </w:r>
      <w:r w:rsidR="002B5D2E" w:rsidRPr="002B5D2E">
        <w:rPr>
          <w:rFonts w:ascii="Calibri" w:hAnsi="Calibri" w:cs="Calibri"/>
          <w:lang w:eastAsia="en-GB"/>
        </w:rPr>
        <w:t>this may be due to lack of information in the data to inform the capacity parameter. It was suggested to use alternative priors for this parameter</w:t>
      </w:r>
      <w:r w:rsidR="00D235F5" w:rsidRPr="00D01654">
        <w:rPr>
          <w:rFonts w:ascii="Calibri" w:hAnsi="Calibri" w:cs="Calibri"/>
          <w:lang w:eastAsia="en-GB"/>
        </w:rPr>
        <w:t xml:space="preserve">. The WPB also </w:t>
      </w:r>
      <w:r w:rsidR="00D235F5" w:rsidRPr="00D01654">
        <w:rPr>
          <w:rFonts w:ascii="Calibri" w:hAnsi="Calibri" w:cs="Calibri"/>
          <w:b/>
          <w:bCs/>
          <w:lang w:eastAsia="en-GB"/>
        </w:rPr>
        <w:t>DISCUSSED</w:t>
      </w:r>
      <w:r w:rsidR="00D235F5" w:rsidRPr="00D01654">
        <w:rPr>
          <w:rFonts w:ascii="Calibri" w:hAnsi="Calibri" w:cs="Calibri"/>
          <w:lang w:eastAsia="en-GB"/>
        </w:rPr>
        <w:t xml:space="preserve"> the process error and </w:t>
      </w:r>
      <w:r w:rsidR="00970E8D" w:rsidRPr="00D01654">
        <w:rPr>
          <w:rFonts w:ascii="Calibri" w:hAnsi="Calibri" w:cs="Calibri"/>
          <w:b/>
          <w:bCs/>
          <w:lang w:eastAsia="en-GB"/>
        </w:rPr>
        <w:t>REQUESTED</w:t>
      </w:r>
      <w:r w:rsidR="00970E8D" w:rsidRPr="00D01654">
        <w:rPr>
          <w:rFonts w:ascii="Calibri" w:hAnsi="Calibri" w:cs="Calibri"/>
          <w:lang w:eastAsia="en-GB"/>
        </w:rPr>
        <w:t xml:space="preserve"> that diagnostic plots be provided to the group to determine whether there were any trends in the process error, and how these differed between models, to assist with choosing a base case.</w:t>
      </w:r>
    </w:p>
    <w:p w14:paraId="09CFDC88" w14:textId="77777777" w:rsidR="006B4DB0" w:rsidRPr="00D01654" w:rsidRDefault="00244819" w:rsidP="00D01654">
      <w:pPr>
        <w:pStyle w:val="IOTCReportNormalNumbered"/>
        <w:spacing w:after="120"/>
        <w:ind w:left="540" w:hanging="540"/>
        <w:rPr>
          <w:rFonts w:ascii="Calibri" w:hAnsi="Calibri" w:cs="Calibri"/>
          <w:lang w:eastAsia="en-GB"/>
        </w:rPr>
      </w:pPr>
      <w:r w:rsidRPr="00D01654">
        <w:rPr>
          <w:rFonts w:ascii="Calibri" w:hAnsi="Calibri" w:cs="Calibri"/>
          <w:lang w:eastAsia="en-GB"/>
        </w:rPr>
        <w:t xml:space="preserve">The WPB </w:t>
      </w:r>
      <w:r w:rsidR="001640C2" w:rsidRPr="00D01654">
        <w:rPr>
          <w:rFonts w:ascii="Calibri" w:hAnsi="Calibri" w:cs="Calibri"/>
          <w:b/>
          <w:bCs/>
          <w:lang w:eastAsia="en-GB"/>
        </w:rPr>
        <w:t>REQUESTED</w:t>
      </w:r>
      <w:r w:rsidR="001640C2" w:rsidRPr="00D01654">
        <w:rPr>
          <w:rFonts w:ascii="Calibri" w:hAnsi="Calibri" w:cs="Calibri"/>
          <w:lang w:eastAsia="en-GB"/>
        </w:rPr>
        <w:t xml:space="preserve"> further model diagnostics to allow full comparisons, including retrospective analyses,</w:t>
      </w:r>
      <w:r w:rsidR="0059142C" w:rsidRPr="00D01654">
        <w:rPr>
          <w:rFonts w:ascii="Calibri" w:hAnsi="Calibri" w:cs="Calibri"/>
          <w:lang w:eastAsia="en-GB"/>
        </w:rPr>
        <w:t xml:space="preserve"> process error trends (as JABBA compensates </w:t>
      </w:r>
      <w:r w:rsidR="006B4DB0" w:rsidRPr="00D01654">
        <w:rPr>
          <w:rFonts w:ascii="Calibri" w:hAnsi="Calibri" w:cs="Calibri"/>
          <w:lang w:eastAsia="en-GB"/>
        </w:rPr>
        <w:t>by using process error to reconcile catch and abundance trajectories),</w:t>
      </w:r>
      <w:r w:rsidR="001640C2" w:rsidRPr="00D01654">
        <w:rPr>
          <w:rFonts w:ascii="Calibri" w:hAnsi="Calibri" w:cs="Calibri"/>
          <w:lang w:eastAsia="en-GB"/>
        </w:rPr>
        <w:t xml:space="preserve"> DIC for model selection, and plots of the relative fit of Fox vs. Schaefer production models.</w:t>
      </w:r>
    </w:p>
    <w:p w14:paraId="2B99FD7C" w14:textId="28B78507" w:rsidR="006B4DB0" w:rsidRPr="00D01654" w:rsidRDefault="006B4DB0" w:rsidP="00D01654">
      <w:pPr>
        <w:pStyle w:val="IOTCReportNormalNumbered"/>
        <w:spacing w:after="120"/>
        <w:ind w:left="540" w:hanging="540"/>
        <w:rPr>
          <w:rFonts w:ascii="Calibri" w:hAnsi="Calibri" w:cs="Calibri"/>
          <w:lang w:eastAsia="en-GB"/>
        </w:rPr>
      </w:pPr>
      <w:r w:rsidRPr="00D01654">
        <w:rPr>
          <w:rFonts w:ascii="Calibri" w:hAnsi="Calibri" w:cs="Calibri"/>
          <w:lang w:eastAsia="en-GB"/>
        </w:rPr>
        <w:t xml:space="preserve">The WPB </w:t>
      </w:r>
      <w:r w:rsidRPr="00D01654">
        <w:rPr>
          <w:rFonts w:ascii="Calibri" w:hAnsi="Calibri" w:cs="Calibri"/>
          <w:b/>
          <w:bCs/>
          <w:lang w:eastAsia="en-GB"/>
        </w:rPr>
        <w:t>NOTED</w:t>
      </w:r>
      <w:r w:rsidRPr="00D01654">
        <w:rPr>
          <w:rFonts w:ascii="Calibri" w:hAnsi="Calibri" w:cs="Calibri"/>
          <w:lang w:eastAsia="en-GB"/>
        </w:rPr>
        <w:t xml:space="preserve"> that CPUE indices were weighted equally </w:t>
      </w:r>
      <w:r w:rsidR="00EA7A21" w:rsidRPr="00D01654">
        <w:rPr>
          <w:rFonts w:ascii="Calibri" w:hAnsi="Calibri" w:cs="Calibri"/>
          <w:lang w:eastAsia="en-GB"/>
        </w:rPr>
        <w:t xml:space="preserve">within the model, and it was </w:t>
      </w:r>
      <w:r w:rsidR="00EA7A21" w:rsidRPr="00D01654">
        <w:rPr>
          <w:rFonts w:ascii="Calibri" w:hAnsi="Calibri" w:cs="Calibri"/>
          <w:b/>
          <w:bCs/>
          <w:lang w:eastAsia="en-GB"/>
        </w:rPr>
        <w:t>AGREED</w:t>
      </w:r>
      <w:r w:rsidR="00EA7A21" w:rsidRPr="00D01654">
        <w:rPr>
          <w:rFonts w:ascii="Calibri" w:hAnsi="Calibri" w:cs="Calibri"/>
          <w:lang w:eastAsia="en-GB"/>
        </w:rPr>
        <w:t xml:space="preserve"> that if uncertainty estimates are available, that they should be incorporated into the model, rather than treating all indies as equal.</w:t>
      </w:r>
    </w:p>
    <w:p w14:paraId="12EA071B" w14:textId="3021553D" w:rsidR="0059142C" w:rsidRPr="00D01654" w:rsidRDefault="0059142C" w:rsidP="00D01654">
      <w:pPr>
        <w:pStyle w:val="IOTCReportNormalNumbered"/>
        <w:spacing w:after="120"/>
        <w:ind w:left="540" w:hanging="540"/>
        <w:rPr>
          <w:rFonts w:ascii="Calibri" w:hAnsi="Calibri" w:cs="Calibri"/>
          <w:lang w:eastAsia="en-GB"/>
        </w:rPr>
      </w:pPr>
      <w:r w:rsidRPr="00D01654">
        <w:rPr>
          <w:rFonts w:ascii="Calibri" w:hAnsi="Calibri" w:cs="Calibri"/>
          <w:lang w:eastAsia="en-GB"/>
        </w:rPr>
        <w:t xml:space="preserve">The WPB </w:t>
      </w:r>
      <w:r w:rsidRPr="00D01654">
        <w:rPr>
          <w:rFonts w:ascii="Calibri" w:hAnsi="Calibri" w:cs="Calibri"/>
          <w:b/>
          <w:bCs/>
          <w:lang w:eastAsia="en-GB"/>
        </w:rPr>
        <w:t>AGREED</w:t>
      </w:r>
      <w:r w:rsidRPr="00D01654">
        <w:rPr>
          <w:rFonts w:ascii="Calibri" w:hAnsi="Calibri" w:cs="Calibri"/>
          <w:lang w:eastAsia="en-GB"/>
        </w:rPr>
        <w:t xml:space="preserve"> that model selection for the base case scenario should be based on appropriate diagnostics.</w:t>
      </w:r>
    </w:p>
    <w:p w14:paraId="7FE3413F" w14:textId="26B41494" w:rsidR="00D44897" w:rsidRPr="00D01654" w:rsidRDefault="009902CF" w:rsidP="00D01654">
      <w:pPr>
        <w:pStyle w:val="IOTCReportNormalNumbered"/>
        <w:spacing w:after="120"/>
        <w:ind w:left="540" w:hanging="540"/>
        <w:rPr>
          <w:rFonts w:ascii="Calibri" w:hAnsi="Calibri" w:cs="Calibri"/>
          <w:lang w:eastAsia="en-GB"/>
        </w:rPr>
      </w:pPr>
      <w:r w:rsidRPr="00D01654">
        <w:rPr>
          <w:rFonts w:ascii="Calibri" w:hAnsi="Calibri" w:cs="Calibri"/>
          <w:lang w:eastAsia="en-GB"/>
        </w:rPr>
        <w:t xml:space="preserve">The WPB </w:t>
      </w:r>
      <w:r w:rsidRPr="00D01654">
        <w:rPr>
          <w:rFonts w:ascii="Calibri" w:hAnsi="Calibri" w:cs="Calibri"/>
          <w:b/>
          <w:bCs/>
          <w:lang w:eastAsia="en-GB"/>
        </w:rPr>
        <w:t>NOTED</w:t>
      </w:r>
      <w:r w:rsidRPr="00D01654">
        <w:rPr>
          <w:rFonts w:ascii="Calibri" w:hAnsi="Calibri" w:cs="Calibri"/>
          <w:lang w:eastAsia="en-GB"/>
        </w:rPr>
        <w:t xml:space="preserve"> the diagnostics presented to the group, and </w:t>
      </w:r>
      <w:r w:rsidRPr="00D01654">
        <w:rPr>
          <w:rFonts w:ascii="Calibri" w:hAnsi="Calibri" w:cs="Calibri"/>
          <w:b/>
          <w:bCs/>
          <w:lang w:eastAsia="en-GB"/>
        </w:rPr>
        <w:t>DISCUSSED</w:t>
      </w:r>
      <w:r w:rsidRPr="00D01654">
        <w:rPr>
          <w:rFonts w:ascii="Calibri" w:hAnsi="Calibri" w:cs="Calibri"/>
          <w:lang w:eastAsia="en-GB"/>
        </w:rPr>
        <w:t xml:space="preserve"> the different TWN,China </w:t>
      </w:r>
      <w:r w:rsidR="00B67F4A" w:rsidRPr="00D01654">
        <w:rPr>
          <w:rFonts w:ascii="Calibri" w:hAnsi="Calibri" w:cs="Calibri"/>
          <w:lang w:eastAsia="en-GB"/>
        </w:rPr>
        <w:t xml:space="preserve">CPUE indices to be included in the model (using sdmTMB or GLM for model fitting), and </w:t>
      </w:r>
      <w:r w:rsidR="00B67F4A" w:rsidRPr="00D01654">
        <w:rPr>
          <w:rFonts w:ascii="Calibri" w:hAnsi="Calibri" w:cs="Calibri"/>
          <w:b/>
          <w:bCs/>
          <w:lang w:eastAsia="en-GB"/>
        </w:rPr>
        <w:t>AGREED</w:t>
      </w:r>
      <w:r w:rsidR="00B67F4A" w:rsidRPr="00D01654">
        <w:rPr>
          <w:rFonts w:ascii="Calibri" w:hAnsi="Calibri" w:cs="Calibri"/>
          <w:lang w:eastAsia="en-GB"/>
        </w:rPr>
        <w:t xml:space="preserve"> that the </w:t>
      </w:r>
      <w:r w:rsidR="00422C9B" w:rsidRPr="00D01654">
        <w:rPr>
          <w:rFonts w:ascii="Calibri" w:hAnsi="Calibri" w:cs="Calibri"/>
          <w:lang w:eastAsia="en-GB"/>
        </w:rPr>
        <w:t>models should use sdmTMB.</w:t>
      </w:r>
    </w:p>
    <w:p w14:paraId="694C2ACB" w14:textId="22AF629B" w:rsidR="00422C9B" w:rsidRPr="00D01654" w:rsidRDefault="00422C9B" w:rsidP="00D01654">
      <w:pPr>
        <w:pStyle w:val="IOTCReportNormalNumbered"/>
        <w:spacing w:after="120"/>
        <w:ind w:left="540" w:hanging="540"/>
        <w:rPr>
          <w:rFonts w:ascii="Calibri" w:hAnsi="Calibri" w:cs="Calibri"/>
          <w:lang w:eastAsia="en-GB"/>
        </w:rPr>
      </w:pPr>
      <w:r w:rsidRPr="00D01654">
        <w:rPr>
          <w:rFonts w:ascii="Calibri" w:hAnsi="Calibri" w:cs="Calibri"/>
          <w:lang w:eastAsia="en-GB"/>
        </w:rPr>
        <w:t xml:space="preserve">The WPB </w:t>
      </w:r>
      <w:r w:rsidRPr="00D01654">
        <w:rPr>
          <w:rFonts w:ascii="Calibri" w:hAnsi="Calibri" w:cs="Calibri"/>
          <w:b/>
          <w:bCs/>
          <w:lang w:eastAsia="en-GB"/>
        </w:rPr>
        <w:t>AGREED</w:t>
      </w:r>
      <w:r w:rsidRPr="00D01654">
        <w:rPr>
          <w:rFonts w:ascii="Calibri" w:hAnsi="Calibri" w:cs="Calibri"/>
          <w:lang w:eastAsia="en-GB"/>
        </w:rPr>
        <w:t xml:space="preserve"> that </w:t>
      </w:r>
      <w:r w:rsidR="002653CC" w:rsidRPr="00D01654">
        <w:rPr>
          <w:rFonts w:ascii="Calibri" w:hAnsi="Calibri" w:cs="Calibri"/>
          <w:lang w:eastAsia="en-GB"/>
        </w:rPr>
        <w:t>scenario S10</w:t>
      </w:r>
      <w:r w:rsidR="002653CC">
        <w:rPr>
          <w:rFonts w:ascii="Calibri" w:eastAsiaTheme="minorEastAsia" w:hAnsi="Calibri" w:cs="Calibri" w:hint="eastAsia"/>
          <w:lang w:eastAsia="zh-CN"/>
        </w:rPr>
        <w:t xml:space="preserve"> (</w:t>
      </w:r>
      <w:r w:rsidR="002653CC" w:rsidRPr="00D01654">
        <w:rPr>
          <w:rFonts w:ascii="Calibri" w:hAnsi="Calibri" w:cs="Calibri"/>
          <w:lang w:eastAsia="en-GB"/>
        </w:rPr>
        <w:t xml:space="preserve">Fox model; fixed process error at 0.15; all CPUE indices </w:t>
      </w:r>
      <w:r w:rsidR="004C24D2">
        <w:rPr>
          <w:rFonts w:ascii="Calibri" w:eastAsiaTheme="minorEastAsia" w:hAnsi="Calibri" w:cs="Calibri" w:hint="eastAsia"/>
          <w:lang w:eastAsia="zh-CN"/>
        </w:rPr>
        <w:t>included</w:t>
      </w:r>
      <w:r w:rsidR="002653CC">
        <w:rPr>
          <w:rFonts w:ascii="Calibri" w:eastAsiaTheme="minorEastAsia" w:hAnsi="Calibri" w:cs="Calibri" w:hint="eastAsia"/>
          <w:lang w:eastAsia="zh-CN"/>
        </w:rPr>
        <w:t>)</w:t>
      </w:r>
      <w:r w:rsidR="002653CC" w:rsidRPr="00D01654">
        <w:rPr>
          <w:rFonts w:ascii="Calibri" w:hAnsi="Calibri" w:cs="Calibri"/>
          <w:lang w:eastAsia="en-GB"/>
        </w:rPr>
        <w:t xml:space="preserve"> </w:t>
      </w:r>
      <w:r w:rsidR="002653CC">
        <w:rPr>
          <w:rFonts w:ascii="Calibri" w:eastAsiaTheme="minorEastAsia" w:hAnsi="Calibri" w:cs="Calibri" w:hint="eastAsia"/>
          <w:lang w:eastAsia="zh-CN"/>
        </w:rPr>
        <w:t>would be a good candidate to develop a</w:t>
      </w:r>
      <w:r w:rsidRPr="00D01654">
        <w:rPr>
          <w:rFonts w:ascii="Calibri" w:hAnsi="Calibri" w:cs="Calibri"/>
          <w:lang w:eastAsia="en-GB"/>
        </w:rPr>
        <w:t xml:space="preserve"> </w:t>
      </w:r>
      <w:r w:rsidR="00500238" w:rsidRPr="00D01654">
        <w:rPr>
          <w:rFonts w:ascii="Calibri" w:hAnsi="Calibri" w:cs="Calibri"/>
          <w:lang w:eastAsia="en-GB"/>
        </w:rPr>
        <w:t>base case</w:t>
      </w:r>
      <w:r w:rsidR="00547FC4" w:rsidRPr="00D01654">
        <w:rPr>
          <w:rFonts w:ascii="Calibri" w:hAnsi="Calibri" w:cs="Calibri"/>
          <w:lang w:eastAsia="en-GB"/>
        </w:rPr>
        <w:t>.</w:t>
      </w:r>
    </w:p>
    <w:p w14:paraId="47E7661A" w14:textId="442C472B" w:rsidR="00231A72" w:rsidRPr="00D01654" w:rsidRDefault="00547FC4" w:rsidP="00D01654">
      <w:pPr>
        <w:pStyle w:val="IOTCReportNormalNumbered"/>
        <w:spacing w:after="120"/>
        <w:ind w:left="540" w:hanging="540"/>
        <w:rPr>
          <w:rFonts w:ascii="Calibri" w:hAnsi="Calibri" w:cs="Calibri"/>
          <w:lang w:eastAsia="en-GB"/>
        </w:rPr>
      </w:pPr>
      <w:r w:rsidRPr="00D01654">
        <w:rPr>
          <w:rFonts w:ascii="Calibri" w:hAnsi="Calibri" w:cs="Calibri"/>
          <w:lang w:eastAsia="en-GB"/>
        </w:rPr>
        <w:t xml:space="preserve">The WPB </w:t>
      </w:r>
      <w:r w:rsidRPr="00D01654">
        <w:rPr>
          <w:rFonts w:ascii="Calibri" w:hAnsi="Calibri" w:cs="Calibri"/>
          <w:b/>
          <w:bCs/>
          <w:lang w:eastAsia="en-GB"/>
        </w:rPr>
        <w:t>NOTED</w:t>
      </w:r>
      <w:r w:rsidRPr="00D01654">
        <w:rPr>
          <w:rFonts w:ascii="Calibri" w:hAnsi="Calibri" w:cs="Calibri"/>
          <w:lang w:eastAsia="en-GB"/>
        </w:rPr>
        <w:t xml:space="preserve"> the </w:t>
      </w:r>
      <w:r w:rsidR="00231A72" w:rsidRPr="00D01654">
        <w:rPr>
          <w:rFonts w:ascii="Calibri" w:hAnsi="Calibri" w:cs="Calibri"/>
          <w:lang w:eastAsia="en-GB"/>
        </w:rPr>
        <w:t>additional scenarios that were tested overnight</w:t>
      </w:r>
      <w:r w:rsidR="002B7C06" w:rsidRPr="00D01654">
        <w:rPr>
          <w:rFonts w:ascii="Calibri" w:hAnsi="Calibri" w:cs="Calibri"/>
          <w:lang w:eastAsia="en-GB"/>
        </w:rPr>
        <w:t xml:space="preserve">, including ones that </w:t>
      </w:r>
      <w:r w:rsidR="00231A72" w:rsidRPr="00D01654">
        <w:rPr>
          <w:rFonts w:ascii="Calibri" w:hAnsi="Calibri" w:cs="Calibri"/>
          <w:lang w:eastAsia="en-GB"/>
        </w:rPr>
        <w:t>excluded TWN,</w:t>
      </w:r>
      <w:r w:rsidR="002B7C06" w:rsidRPr="00D01654">
        <w:rPr>
          <w:rFonts w:ascii="Calibri" w:hAnsi="Calibri" w:cs="Calibri"/>
          <w:lang w:eastAsia="en-GB"/>
        </w:rPr>
        <w:t>China CPUE index,</w:t>
      </w:r>
      <w:r w:rsidR="00231A72" w:rsidRPr="00D01654">
        <w:rPr>
          <w:rFonts w:ascii="Calibri" w:hAnsi="Calibri" w:cs="Calibri"/>
          <w:lang w:eastAsia="en-GB"/>
        </w:rPr>
        <w:t xml:space="preserve"> excluded JPN late</w:t>
      </w:r>
      <w:r w:rsidR="008A1479">
        <w:rPr>
          <w:rFonts w:ascii="Calibri" w:hAnsi="Calibri" w:cs="Calibri"/>
          <w:lang w:eastAsia="en-GB"/>
        </w:rPr>
        <w:t xml:space="preserve"> and </w:t>
      </w:r>
      <w:r w:rsidR="00231A72" w:rsidRPr="00D01654">
        <w:rPr>
          <w:rFonts w:ascii="Calibri" w:hAnsi="Calibri" w:cs="Calibri"/>
          <w:lang w:eastAsia="en-GB"/>
        </w:rPr>
        <w:t>IDN</w:t>
      </w:r>
      <w:r w:rsidR="002B7C06" w:rsidRPr="00D01654">
        <w:rPr>
          <w:rFonts w:ascii="Calibri" w:hAnsi="Calibri" w:cs="Calibri"/>
          <w:lang w:eastAsia="en-GB"/>
        </w:rPr>
        <w:t xml:space="preserve"> indices</w:t>
      </w:r>
      <w:r w:rsidR="00231A72" w:rsidRPr="00D01654">
        <w:rPr>
          <w:rFonts w:ascii="Calibri" w:hAnsi="Calibri" w:cs="Calibri"/>
          <w:lang w:eastAsia="en-GB"/>
        </w:rPr>
        <w:t>, applied CV weighting, raised phi to 0.99, and tested the Pella–Tomlinson production function.</w:t>
      </w:r>
    </w:p>
    <w:p w14:paraId="3FBF1C03" w14:textId="234F7812" w:rsidR="005202EA" w:rsidRPr="00D01654" w:rsidRDefault="002B7C06" w:rsidP="00D01654">
      <w:pPr>
        <w:pStyle w:val="IOTCReportNormalNumbered"/>
        <w:spacing w:after="120"/>
        <w:ind w:left="540" w:hanging="540"/>
        <w:rPr>
          <w:rFonts w:ascii="Calibri" w:hAnsi="Calibri" w:cs="Calibri"/>
          <w:lang w:eastAsia="en-GB"/>
        </w:rPr>
      </w:pPr>
      <w:r w:rsidRPr="00D01654">
        <w:rPr>
          <w:rFonts w:ascii="Calibri" w:hAnsi="Calibri" w:cs="Calibri"/>
          <w:lang w:eastAsia="en-GB"/>
        </w:rPr>
        <w:t xml:space="preserve">The WPB </w:t>
      </w:r>
      <w:r w:rsidRPr="00D01654">
        <w:rPr>
          <w:rFonts w:ascii="Calibri" w:hAnsi="Calibri" w:cs="Calibri"/>
          <w:b/>
          <w:bCs/>
          <w:lang w:eastAsia="en-GB"/>
        </w:rPr>
        <w:t>NOTED</w:t>
      </w:r>
      <w:r w:rsidRPr="00D01654">
        <w:rPr>
          <w:rFonts w:ascii="Calibri" w:hAnsi="Calibri" w:cs="Calibri"/>
          <w:lang w:eastAsia="en-GB"/>
        </w:rPr>
        <w:t xml:space="preserve"> that </w:t>
      </w:r>
      <w:r w:rsidR="00231A72" w:rsidRPr="00D01654">
        <w:rPr>
          <w:rFonts w:ascii="Calibri" w:hAnsi="Calibri" w:cs="Calibri"/>
          <w:lang w:eastAsia="en-GB"/>
        </w:rPr>
        <w:t>Scenarios 10b and 10c had the best statistical fits (lowest RMSE) and improved MSY estimates, but overall S10</w:t>
      </w:r>
      <w:r w:rsidR="00FB27E0" w:rsidRPr="00D01654">
        <w:rPr>
          <w:rFonts w:ascii="Calibri" w:hAnsi="Calibri" w:cs="Calibri"/>
          <w:lang w:eastAsia="en-GB"/>
        </w:rPr>
        <w:t>c</w:t>
      </w:r>
      <w:r w:rsidR="00231A72" w:rsidRPr="00D01654">
        <w:rPr>
          <w:rFonts w:ascii="Calibri" w:hAnsi="Calibri" w:cs="Calibri"/>
          <w:lang w:eastAsia="en-GB"/>
        </w:rPr>
        <w:t xml:space="preserve"> </w:t>
      </w:r>
      <w:r w:rsidR="007B01B2">
        <w:rPr>
          <w:rFonts w:ascii="Calibri" w:eastAsiaTheme="minorEastAsia" w:hAnsi="Calibri" w:cs="Calibri" w:hint="eastAsia"/>
          <w:lang w:eastAsia="zh-CN"/>
        </w:rPr>
        <w:t xml:space="preserve">(applied CV weighting) </w:t>
      </w:r>
      <w:r w:rsidR="00231A72" w:rsidRPr="00D01654">
        <w:rPr>
          <w:rFonts w:ascii="Calibri" w:hAnsi="Calibri" w:cs="Calibri"/>
          <w:lang w:eastAsia="en-GB"/>
        </w:rPr>
        <w:t>remained the most balanced scenario</w:t>
      </w:r>
      <w:r w:rsidR="005202EA" w:rsidRPr="00D01654">
        <w:rPr>
          <w:rFonts w:ascii="Calibri" w:hAnsi="Calibri" w:cs="Calibri"/>
          <w:lang w:eastAsia="en-GB"/>
        </w:rPr>
        <w:t xml:space="preserve">, although for all models, process error is trending upwards, </w:t>
      </w:r>
      <w:r w:rsidR="00995153">
        <w:rPr>
          <w:rFonts w:ascii="Calibri" w:hAnsi="Calibri" w:cs="Calibri"/>
          <w:lang w:eastAsia="en-GB"/>
        </w:rPr>
        <w:t>mak</w:t>
      </w:r>
      <w:r w:rsidR="00186EDF">
        <w:rPr>
          <w:rFonts w:ascii="Calibri" w:hAnsi="Calibri" w:cs="Calibri"/>
          <w:lang w:eastAsia="en-GB"/>
        </w:rPr>
        <w:t>ing the possible</w:t>
      </w:r>
      <w:r w:rsidR="005202EA" w:rsidRPr="00D01654">
        <w:rPr>
          <w:rFonts w:ascii="Calibri" w:hAnsi="Calibri" w:cs="Calibri"/>
          <w:lang w:eastAsia="en-GB"/>
        </w:rPr>
        <w:t xml:space="preserve"> outlook from the model </w:t>
      </w:r>
      <w:r w:rsidR="00186EDF">
        <w:rPr>
          <w:rFonts w:ascii="Calibri" w:hAnsi="Calibri" w:cs="Calibri"/>
          <w:lang w:eastAsia="en-GB"/>
        </w:rPr>
        <w:t>relatively more</w:t>
      </w:r>
      <w:r w:rsidR="005202EA" w:rsidRPr="00D01654">
        <w:rPr>
          <w:rFonts w:ascii="Calibri" w:hAnsi="Calibri" w:cs="Calibri"/>
          <w:lang w:eastAsia="en-GB"/>
        </w:rPr>
        <w:t xml:space="preserve"> optimistic. The WPB </w:t>
      </w:r>
      <w:r w:rsidR="005202EA" w:rsidRPr="00D01654">
        <w:rPr>
          <w:rFonts w:ascii="Calibri" w:hAnsi="Calibri" w:cs="Calibri"/>
          <w:b/>
          <w:bCs/>
          <w:lang w:eastAsia="en-GB"/>
        </w:rPr>
        <w:t>REQUESTED</w:t>
      </w:r>
      <w:r w:rsidR="005202EA" w:rsidRPr="00D01654">
        <w:rPr>
          <w:rFonts w:ascii="Calibri" w:hAnsi="Calibri" w:cs="Calibri"/>
          <w:lang w:eastAsia="en-GB"/>
        </w:rPr>
        <w:t xml:space="preserve"> that this be investigated in the future, as the current estimation of stock status is likely </w:t>
      </w:r>
      <w:r w:rsidR="00771EAA">
        <w:rPr>
          <w:rFonts w:ascii="Calibri" w:hAnsi="Calibri" w:cs="Calibri"/>
          <w:lang w:eastAsia="en-GB"/>
        </w:rPr>
        <w:t xml:space="preserve">still overly </w:t>
      </w:r>
      <w:r w:rsidR="005202EA" w:rsidRPr="00D01654">
        <w:rPr>
          <w:rFonts w:ascii="Calibri" w:hAnsi="Calibri" w:cs="Calibri"/>
          <w:lang w:eastAsia="en-GB"/>
        </w:rPr>
        <w:t>optimistic.</w:t>
      </w:r>
    </w:p>
    <w:p w14:paraId="3EC9B5A6" w14:textId="44C85F5A" w:rsidR="005202EA" w:rsidRPr="00D01654" w:rsidRDefault="005202EA" w:rsidP="00D01654">
      <w:pPr>
        <w:pStyle w:val="IOTCReportNormalNumbered"/>
        <w:spacing w:after="120"/>
        <w:ind w:left="540" w:hanging="540"/>
        <w:rPr>
          <w:rFonts w:ascii="Calibri" w:hAnsi="Calibri" w:cs="Calibri"/>
          <w:lang w:eastAsia="en-GB"/>
        </w:rPr>
      </w:pPr>
      <w:r w:rsidRPr="00D01654">
        <w:rPr>
          <w:rFonts w:ascii="Calibri" w:hAnsi="Calibri" w:cs="Calibri"/>
          <w:lang w:eastAsia="en-GB"/>
        </w:rPr>
        <w:t xml:space="preserve">The WPB </w:t>
      </w:r>
      <w:r w:rsidRPr="00D01654">
        <w:rPr>
          <w:rFonts w:ascii="Calibri" w:hAnsi="Calibri" w:cs="Calibri"/>
          <w:b/>
          <w:bCs/>
          <w:lang w:eastAsia="en-GB"/>
        </w:rPr>
        <w:t>AGREED</w:t>
      </w:r>
      <w:r w:rsidRPr="00D01654">
        <w:rPr>
          <w:rFonts w:ascii="Calibri" w:hAnsi="Calibri" w:cs="Calibri"/>
          <w:lang w:eastAsia="en-GB"/>
        </w:rPr>
        <w:t xml:space="preserve"> to use model scenario S10c as the base case,</w:t>
      </w:r>
      <w:r w:rsidR="002C32EC">
        <w:rPr>
          <w:rFonts w:ascii="Calibri" w:hAnsi="Calibri" w:cs="Calibri"/>
          <w:lang w:eastAsia="en-GB"/>
        </w:rPr>
        <w:t xml:space="preserve"> </w:t>
      </w:r>
      <w:r w:rsidRPr="00D01654">
        <w:rPr>
          <w:rFonts w:ascii="Calibri" w:hAnsi="Calibri" w:cs="Calibri"/>
          <w:lang w:eastAsia="en-GB"/>
        </w:rPr>
        <w:t xml:space="preserve">and </w:t>
      </w:r>
      <w:r w:rsidR="002C32EC" w:rsidRPr="00D01654">
        <w:rPr>
          <w:rFonts w:ascii="Calibri" w:hAnsi="Calibri" w:cs="Calibri"/>
          <w:b/>
          <w:bCs/>
          <w:lang w:eastAsia="en-GB"/>
        </w:rPr>
        <w:t>REQUESTED</w:t>
      </w:r>
      <w:r w:rsidR="002C32EC" w:rsidRPr="00D01654">
        <w:rPr>
          <w:rFonts w:ascii="Calibri" w:hAnsi="Calibri" w:cs="Calibri"/>
          <w:lang w:eastAsia="en-GB"/>
        </w:rPr>
        <w:t xml:space="preserve"> </w:t>
      </w:r>
      <w:r w:rsidR="00E052B6" w:rsidRPr="00D01654">
        <w:rPr>
          <w:rFonts w:ascii="Calibri" w:hAnsi="Calibri" w:cs="Calibri"/>
          <w:lang w:eastAsia="en-GB"/>
        </w:rPr>
        <w:t>that projections were completed using this model. Projections started in 2026, while catches in 2024 and 2025 were held constant. Catches for projections were based on the average catch for the final three years of data in the model (</w:t>
      </w:r>
      <w:r w:rsidR="00A8161F" w:rsidRPr="00D01654">
        <w:rPr>
          <w:rFonts w:ascii="Calibri" w:hAnsi="Calibri" w:cs="Calibri"/>
          <w:lang w:eastAsia="en-GB"/>
        </w:rPr>
        <w:t>2021-2023 inclusive), and included 10 years of projections, with values of B/Bmsy and F/Fmsy at 3 years (2028) and 10 years (2035) used for management advice.</w:t>
      </w:r>
    </w:p>
    <w:p w14:paraId="67317206" w14:textId="77777777" w:rsidR="009902CF" w:rsidRPr="00B2040E" w:rsidRDefault="009902CF" w:rsidP="00B2040E">
      <w:pPr>
        <w:pStyle w:val="IOTCReportNormalNumbered"/>
        <w:numPr>
          <w:ilvl w:val="0"/>
          <w:numId w:val="0"/>
        </w:numPr>
        <w:rPr>
          <w:lang w:val="en-AU"/>
        </w:rPr>
      </w:pPr>
    </w:p>
    <w:p w14:paraId="6334B3CF" w14:textId="1CC87592" w:rsidR="00371198" w:rsidRPr="00371198" w:rsidRDefault="00371198" w:rsidP="00371198">
      <w:pPr>
        <w:pStyle w:val="TOC2"/>
      </w:pPr>
      <w:r>
        <w:t>Indo Pacific sailfish</w:t>
      </w:r>
      <w:r w:rsidR="006538D6" w:rsidRPr="00E42F0F">
        <w:t xml:space="preserve"> </w:t>
      </w:r>
    </w:p>
    <w:p w14:paraId="66124E85" w14:textId="77777777" w:rsidR="006538D6" w:rsidRPr="00F97FBE" w:rsidRDefault="006538D6" w:rsidP="006538D6">
      <w:pPr>
        <w:pStyle w:val="IOTCReportNormalNumbered"/>
        <w:numPr>
          <w:ilvl w:val="0"/>
          <w:numId w:val="24"/>
        </w:numPr>
        <w:rPr>
          <w:rFonts w:ascii="Calibri" w:hAnsi="Calibri" w:cs="Calibri"/>
        </w:rPr>
      </w:pPr>
      <w:r w:rsidRPr="00F97FBE">
        <w:rPr>
          <w:rFonts w:ascii="Calibri" w:hAnsi="Calibri" w:cs="Calibri"/>
          <w:b/>
          <w:bCs/>
          <w:szCs w:val="22"/>
        </w:rPr>
        <w:t>Stock assessments</w:t>
      </w:r>
    </w:p>
    <w:p w14:paraId="675B3CA6" w14:textId="77777777" w:rsidR="006538D6" w:rsidRPr="00B15E8F" w:rsidRDefault="006538D6" w:rsidP="006538D6">
      <w:pPr>
        <w:pStyle w:val="IOTCReportNormalNumbered"/>
        <w:numPr>
          <w:ilvl w:val="0"/>
          <w:numId w:val="0"/>
        </w:numPr>
        <w:spacing w:before="240" w:after="120"/>
        <w:ind w:firstLine="284"/>
        <w:rPr>
          <w:rFonts w:ascii="Calibri" w:hAnsi="Calibri" w:cs="Calibri"/>
          <w:b/>
          <w:i/>
          <w:color w:val="auto"/>
        </w:rPr>
      </w:pPr>
      <w:r w:rsidRPr="00B15E8F">
        <w:rPr>
          <w:rFonts w:ascii="Calibri" w:eastAsia="MS Mincho" w:hAnsi="Calibri" w:cs="Calibri"/>
          <w:b/>
          <w:i/>
          <w:color w:val="auto"/>
        </w:rPr>
        <w:t>Bayesian Surplus Production Model (JABBA)</w:t>
      </w:r>
    </w:p>
    <w:p w14:paraId="3232A192" w14:textId="493A1320" w:rsidR="006538D6" w:rsidRPr="00B15E8F" w:rsidRDefault="006538D6" w:rsidP="006538D6">
      <w:pPr>
        <w:pStyle w:val="IOTCReportNormalNumbered"/>
        <w:ind w:left="505" w:hanging="505"/>
        <w:rPr>
          <w:rFonts w:ascii="Calibri" w:hAnsi="Calibri" w:cs="Calibri"/>
          <w:color w:val="auto"/>
        </w:rPr>
      </w:pPr>
      <w:r w:rsidRPr="00B15E8F">
        <w:rPr>
          <w:rFonts w:ascii="Calibri" w:eastAsia="MS Mincho" w:hAnsi="Calibri" w:cs="Calibri"/>
        </w:rPr>
        <w:t xml:space="preserve">The WPB </w:t>
      </w:r>
      <w:r w:rsidRPr="00B15E8F">
        <w:rPr>
          <w:rFonts w:ascii="Calibri" w:eastAsia="MS Mincho" w:hAnsi="Calibri" w:cs="Calibri"/>
          <w:b/>
        </w:rPr>
        <w:t xml:space="preserve">NOTED </w:t>
      </w:r>
      <w:r w:rsidRPr="00B15E8F">
        <w:rPr>
          <w:rFonts w:ascii="Calibri" w:eastAsia="MS Mincho" w:hAnsi="Calibri" w:cs="Calibri"/>
        </w:rPr>
        <w:t xml:space="preserve">document </w:t>
      </w:r>
      <w:r w:rsidR="007F2EDC" w:rsidRPr="00B15E8F">
        <w:rPr>
          <w:rFonts w:ascii="Calibri" w:eastAsia="MS Mincho" w:hAnsi="Calibri" w:cs="Calibri"/>
        </w:rPr>
        <w:t>IOTC-2025-WPB23-20</w:t>
      </w:r>
      <w:r w:rsidRPr="00B15E8F">
        <w:rPr>
          <w:rFonts w:ascii="Calibri" w:eastAsia="MS Mincho" w:hAnsi="Calibri" w:cs="Calibri"/>
        </w:rPr>
        <w:t xml:space="preserve"> </w:t>
      </w:r>
      <w:r w:rsidR="00FA57E7">
        <w:rPr>
          <w:rFonts w:ascii="Calibri" w:eastAsiaTheme="minorEastAsia" w:hAnsi="Calibri" w:cs="Calibri" w:hint="eastAsia"/>
          <w:lang w:eastAsia="zh-CN"/>
        </w:rPr>
        <w:t xml:space="preserve">assesses Indo-Pacific sailfish </w:t>
      </w:r>
      <w:r w:rsidRPr="00B15E8F">
        <w:rPr>
          <w:rFonts w:ascii="Calibri" w:eastAsia="MS Mincho" w:hAnsi="Calibri" w:cs="Calibri"/>
        </w:rPr>
        <w:t>stock using JABBA, including the following abstract as provided by the author:</w:t>
      </w:r>
    </w:p>
    <w:p w14:paraId="5F460BB6" w14:textId="2E07A394" w:rsidR="007D003F" w:rsidRPr="004D3B78" w:rsidRDefault="006538D6" w:rsidP="004D3B78">
      <w:pPr>
        <w:pStyle w:val="IOTCReportNormalNumbered"/>
        <w:numPr>
          <w:ilvl w:val="0"/>
          <w:numId w:val="0"/>
        </w:numPr>
        <w:spacing w:after="120"/>
        <w:ind w:left="851"/>
        <w:rPr>
          <w:rFonts w:ascii="Calibri" w:hAnsi="Calibri" w:cs="Calibri"/>
          <w:i/>
          <w:iCs/>
          <w:lang w:eastAsia="en-GB"/>
        </w:rPr>
      </w:pPr>
      <w:r w:rsidRPr="004D3B78">
        <w:rPr>
          <w:rFonts w:ascii="Calibri" w:hAnsi="Calibri" w:cs="Calibri"/>
          <w:i/>
          <w:iCs/>
          <w:lang w:eastAsia="en-GB"/>
        </w:rPr>
        <w:t>“</w:t>
      </w:r>
      <w:r w:rsidR="007D003F" w:rsidRPr="004D3B78">
        <w:rPr>
          <w:rFonts w:ascii="Calibri" w:hAnsi="Calibri" w:cs="Calibri"/>
          <w:i/>
          <w:iCs/>
          <w:lang w:eastAsia="en-GB"/>
        </w:rPr>
        <w:t>Assessing the status of the Indo-Pacific (IP) sailfish (Istiophorus platypterus) in the Indian Ocean remains challenging due to limited data availability. There is lack of reliable information on stock structure, abundance and biological parameters. This report details the ongoing stock assessment for IP sailfish in the Indian Ocean, building upon the methodological framework established in the 2022 assessment. Given the persistent data constraints for this highly migratory species, this assessment employs alternative approaches suitable for data-limited scenarios. The primary objective is to evaluate stock status relative to sustainability reference points to provide science-based management advice.</w:t>
      </w:r>
      <w:r w:rsidR="002C2473" w:rsidRPr="004D3B78">
        <w:rPr>
          <w:rFonts w:ascii="Calibri" w:hAnsi="Calibri" w:cs="Calibri"/>
          <w:i/>
          <w:iCs/>
          <w:lang w:eastAsia="en-GB"/>
        </w:rPr>
        <w:t xml:space="preserve">” </w:t>
      </w:r>
      <w:r w:rsidR="00D03401" w:rsidRPr="004D3B78">
        <w:rPr>
          <w:rFonts w:ascii="Calibri" w:hAnsi="Calibri" w:cs="Calibri"/>
          <w:i/>
          <w:iCs/>
          <w:lang w:eastAsia="en-GB"/>
        </w:rPr>
        <w:t>S</w:t>
      </w:r>
      <w:r w:rsidR="002C2473" w:rsidRPr="004D3B78">
        <w:rPr>
          <w:rFonts w:ascii="Calibri" w:hAnsi="Calibri" w:cs="Calibri"/>
          <w:i/>
          <w:iCs/>
          <w:lang w:eastAsia="en-GB"/>
        </w:rPr>
        <w:t>ee</w:t>
      </w:r>
      <w:r w:rsidR="00D03401" w:rsidRPr="004D3B78">
        <w:rPr>
          <w:rFonts w:ascii="Calibri" w:hAnsi="Calibri" w:cs="Calibri"/>
          <w:i/>
          <w:iCs/>
          <w:lang w:eastAsia="en-GB"/>
        </w:rPr>
        <w:t xml:space="preserve"> the paper for the full abstract.</w:t>
      </w:r>
    </w:p>
    <w:p w14:paraId="27D16702" w14:textId="367E06A5" w:rsidR="009307A6" w:rsidRDefault="009307A6" w:rsidP="003B0D1B">
      <w:pPr>
        <w:pStyle w:val="IOTCReportNormalNumbered"/>
        <w:ind w:left="540" w:hanging="540"/>
        <w:rPr>
          <w:rFonts w:ascii="Calibri" w:hAnsi="Calibri" w:cs="Calibri"/>
          <w:lang w:eastAsia="en-GB"/>
        </w:rPr>
      </w:pPr>
      <w:r w:rsidRPr="00B15E8F">
        <w:rPr>
          <w:rFonts w:ascii="Calibri" w:hAnsi="Calibri" w:cs="Calibri"/>
          <w:lang w:eastAsia="en-GB"/>
        </w:rPr>
        <w:t xml:space="preserve">The WPB </w:t>
      </w:r>
      <w:r w:rsidRPr="00B15E8F">
        <w:rPr>
          <w:rFonts w:ascii="Calibri" w:hAnsi="Calibri" w:cs="Calibri"/>
          <w:b/>
          <w:bCs/>
          <w:lang w:eastAsia="en-GB"/>
        </w:rPr>
        <w:t>NOTED</w:t>
      </w:r>
      <w:r w:rsidRPr="00B15E8F">
        <w:rPr>
          <w:rFonts w:ascii="Calibri" w:hAnsi="Calibri" w:cs="Calibri"/>
          <w:lang w:eastAsia="en-GB"/>
        </w:rPr>
        <w:t xml:space="preserve"> the key assessment results for the reference case (S6) of the Bayesian State Space Surplus-Production Model (JABBA) for </w:t>
      </w:r>
      <w:r w:rsidR="003A6370">
        <w:rPr>
          <w:rFonts w:ascii="Calibri" w:hAnsi="Calibri" w:cs="Calibri"/>
          <w:lang w:eastAsia="en-GB"/>
        </w:rPr>
        <w:t>Indo-Pacific sailfish</w:t>
      </w:r>
      <w:r w:rsidRPr="00B15E8F">
        <w:rPr>
          <w:rFonts w:ascii="Calibri" w:hAnsi="Calibri" w:cs="Calibri"/>
          <w:lang w:eastAsia="en-GB"/>
        </w:rPr>
        <w:t xml:space="preserve"> as shown below (</w:t>
      </w:r>
      <w:r w:rsidRPr="00B15E8F">
        <w:rPr>
          <w:rFonts w:ascii="Calibri" w:hAnsi="Calibri" w:cs="Calibri"/>
          <w:b/>
          <w:bCs/>
          <w:lang w:eastAsia="en-GB"/>
        </w:rPr>
        <w:t xml:space="preserve">Table </w:t>
      </w:r>
      <w:r w:rsidR="00F84091">
        <w:rPr>
          <w:rFonts w:ascii="Calibri" w:hAnsi="Calibri" w:cs="Calibri"/>
          <w:b/>
          <w:bCs/>
          <w:lang w:eastAsia="en-GB"/>
        </w:rPr>
        <w:t>3</w:t>
      </w:r>
      <w:r w:rsidRPr="00B15E8F">
        <w:rPr>
          <w:rFonts w:ascii="Calibri" w:hAnsi="Calibri" w:cs="Calibri"/>
          <w:b/>
          <w:bCs/>
          <w:lang w:eastAsia="en-GB"/>
        </w:rPr>
        <w:t xml:space="preserve">; Figure </w:t>
      </w:r>
      <w:r w:rsidR="00F84091">
        <w:rPr>
          <w:rFonts w:ascii="Calibri" w:eastAsiaTheme="minorEastAsia" w:hAnsi="Calibri" w:cs="Calibri"/>
          <w:b/>
          <w:bCs/>
          <w:lang w:eastAsia="zh-CN"/>
        </w:rPr>
        <w:t>2</w:t>
      </w:r>
      <w:r w:rsidRPr="00B15E8F">
        <w:rPr>
          <w:rFonts w:ascii="Calibri" w:hAnsi="Calibri" w:cs="Calibri"/>
          <w:lang w:eastAsia="en-GB"/>
        </w:rPr>
        <w:t>).</w:t>
      </w:r>
    </w:p>
    <w:p w14:paraId="0B387137" w14:textId="77777777" w:rsidR="003B0D1B" w:rsidRDefault="003B0D1B" w:rsidP="003B0D1B">
      <w:pPr>
        <w:pStyle w:val="IOTCReportNormalNumbered"/>
        <w:numPr>
          <w:ilvl w:val="0"/>
          <w:numId w:val="0"/>
        </w:numPr>
        <w:ind w:left="772" w:hanging="502"/>
        <w:rPr>
          <w:rFonts w:ascii="Calibri" w:hAnsi="Calibri" w:cs="Calibri"/>
          <w:lang w:eastAsia="en-GB"/>
        </w:rPr>
      </w:pPr>
    </w:p>
    <w:p w14:paraId="5A7F3AAC" w14:textId="77777777" w:rsidR="003B0D1B" w:rsidRDefault="003B0D1B" w:rsidP="003B0D1B">
      <w:pPr>
        <w:pStyle w:val="IOTCReportNormalNumbered"/>
        <w:numPr>
          <w:ilvl w:val="0"/>
          <w:numId w:val="0"/>
        </w:numPr>
        <w:ind w:left="772" w:hanging="502"/>
        <w:rPr>
          <w:rFonts w:ascii="Calibri" w:hAnsi="Calibri" w:cs="Calibri"/>
          <w:lang w:eastAsia="en-GB"/>
        </w:rPr>
      </w:pPr>
    </w:p>
    <w:p w14:paraId="6B4C1C3C" w14:textId="77777777" w:rsidR="003B0D1B" w:rsidRPr="003B0D1B" w:rsidRDefault="003B0D1B" w:rsidP="0052691B">
      <w:pPr>
        <w:pStyle w:val="IOTCReportNormalNumbered"/>
        <w:numPr>
          <w:ilvl w:val="0"/>
          <w:numId w:val="0"/>
        </w:numPr>
        <w:rPr>
          <w:rFonts w:ascii="Calibri" w:hAnsi="Calibri" w:cs="Calibri"/>
          <w:lang w:eastAsia="en-GB"/>
        </w:rPr>
      </w:pPr>
    </w:p>
    <w:p w14:paraId="27698714" w14:textId="0251CCCD" w:rsidR="009307A6" w:rsidRPr="003B0D1B" w:rsidRDefault="009307A6" w:rsidP="009307A6">
      <w:pPr>
        <w:pStyle w:val="IOTCReportNormalNumbered"/>
        <w:numPr>
          <w:ilvl w:val="0"/>
          <w:numId w:val="0"/>
        </w:numPr>
        <w:ind w:left="540"/>
        <w:rPr>
          <w:rFonts w:ascii="Calibri" w:hAnsi="Calibri" w:cs="Calibri"/>
          <w:lang w:eastAsia="en-GB"/>
        </w:rPr>
      </w:pPr>
      <w:r w:rsidRPr="003B0D1B">
        <w:rPr>
          <w:rFonts w:ascii="Calibri" w:hAnsi="Calibri" w:cs="Calibri"/>
          <w:b/>
          <w:bCs/>
          <w:lang w:eastAsia="en-GB"/>
        </w:rPr>
        <w:lastRenderedPageBreak/>
        <w:t xml:space="preserve">Table </w:t>
      </w:r>
      <w:r w:rsidR="00F84091">
        <w:rPr>
          <w:rFonts w:ascii="Calibri" w:hAnsi="Calibri" w:cs="Calibri"/>
          <w:b/>
          <w:bCs/>
          <w:lang w:eastAsia="en-GB"/>
        </w:rPr>
        <w:t>3</w:t>
      </w:r>
      <w:r w:rsidRPr="003B0D1B">
        <w:rPr>
          <w:rFonts w:ascii="Calibri" w:hAnsi="Calibri" w:cs="Calibri"/>
          <w:b/>
          <w:bCs/>
          <w:lang w:eastAsia="en-GB"/>
        </w:rPr>
        <w:t>.</w:t>
      </w:r>
      <w:r w:rsidRPr="003B0D1B">
        <w:rPr>
          <w:rFonts w:ascii="Calibri" w:hAnsi="Calibri" w:cs="Calibri"/>
          <w:lang w:eastAsia="en-GB"/>
        </w:rPr>
        <w:t xml:space="preserve">  Stock status summary table for the </w:t>
      </w:r>
      <w:r w:rsidR="00527B58" w:rsidRPr="003B0D1B">
        <w:rPr>
          <w:rFonts w:ascii="Calibri" w:hAnsi="Calibri" w:cs="Calibri"/>
          <w:lang w:eastAsia="en-GB"/>
        </w:rPr>
        <w:t>Indo Pacific sailfish</w:t>
      </w:r>
      <w:r w:rsidRPr="003B0D1B">
        <w:rPr>
          <w:rFonts w:ascii="Calibri" w:hAnsi="Calibri" w:cs="Calibri"/>
          <w:lang w:eastAsia="en-GB"/>
        </w:rPr>
        <w:t xml:space="preserve"> assessment (JABBA). CI = Confidence interval</w:t>
      </w:r>
      <w:r w:rsidR="00C22423">
        <w:rPr>
          <w:rFonts w:ascii="Calibri" w:hAnsi="Calibri" w:cs="Calibri"/>
          <w:lang w:eastAsia="en-GB"/>
        </w:rPr>
        <w:t xml:space="preserve"> from the model run</w:t>
      </w:r>
    </w:p>
    <w:tbl>
      <w:tblPr>
        <w:tblW w:w="0" w:type="auto"/>
        <w:jc w:val="center"/>
        <w:tblCellMar>
          <w:top w:w="15" w:type="dxa"/>
          <w:left w:w="15" w:type="dxa"/>
          <w:bottom w:w="15" w:type="dxa"/>
          <w:right w:w="15" w:type="dxa"/>
        </w:tblCellMar>
        <w:tblLook w:val="04A0" w:firstRow="1" w:lastRow="0" w:firstColumn="1" w:lastColumn="0" w:noHBand="0" w:noVBand="1"/>
      </w:tblPr>
      <w:tblGrid>
        <w:gridCol w:w="2720"/>
        <w:gridCol w:w="1582"/>
      </w:tblGrid>
      <w:tr w:rsidR="009307A6" w:rsidRPr="003B0D1B" w14:paraId="0DBD7F0C" w14:textId="77777777" w:rsidTr="00444A1C">
        <w:trPr>
          <w:trHeight w:val="20"/>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6FCB75" w14:textId="77777777"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Management quantity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DCFC07" w14:textId="52536CE9"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JABBA</w:t>
            </w:r>
          </w:p>
        </w:tc>
      </w:tr>
      <w:tr w:rsidR="009307A6" w:rsidRPr="003B0D1B" w14:paraId="2863F9C9" w14:textId="77777777" w:rsidTr="00444A1C">
        <w:trPr>
          <w:trHeight w:val="156"/>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BFB56B" w14:textId="01A19C32"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Current catch in assessment</w:t>
            </w:r>
            <w:r w:rsidR="00CD1E72" w:rsidRPr="003B0D1B">
              <w:rPr>
                <w:rFonts w:ascii="Calibri" w:hAnsi="Calibri" w:cs="Calibri"/>
                <w:sz w:val="20"/>
                <w:szCs w:val="20"/>
              </w:rPr>
              <w:t xml:space="preserve"> (t)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A9F9D58" w14:textId="52171365" w:rsidR="009307A6" w:rsidRPr="003B0D1B" w:rsidRDefault="00CD1E72" w:rsidP="006950D6">
            <w:pPr>
              <w:pStyle w:val="NoSpacing"/>
              <w:rPr>
                <w:rFonts w:ascii="Calibri" w:hAnsi="Calibri" w:cs="Calibri"/>
                <w:sz w:val="20"/>
                <w:szCs w:val="20"/>
              </w:rPr>
            </w:pPr>
            <w:r w:rsidRPr="003B0D1B">
              <w:rPr>
                <w:rFonts w:ascii="Calibri" w:hAnsi="Calibri" w:cs="Calibri"/>
                <w:sz w:val="20"/>
                <w:szCs w:val="20"/>
              </w:rPr>
              <w:t>31,898</w:t>
            </w:r>
          </w:p>
        </w:tc>
      </w:tr>
      <w:tr w:rsidR="009307A6" w:rsidRPr="003B0D1B" w14:paraId="35DFADEC"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724C11" w14:textId="7FA1050B"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Mean catch 20</w:t>
            </w:r>
            <w:r w:rsidR="00CD1E72" w:rsidRPr="003B0D1B">
              <w:rPr>
                <w:rFonts w:ascii="Calibri" w:hAnsi="Calibri" w:cs="Calibri"/>
                <w:sz w:val="20"/>
                <w:szCs w:val="20"/>
              </w:rPr>
              <w:t>19</w:t>
            </w:r>
            <w:r w:rsidRPr="003B0D1B">
              <w:rPr>
                <w:rFonts w:ascii="Calibri" w:hAnsi="Calibri" w:cs="Calibri"/>
                <w:sz w:val="20"/>
                <w:szCs w:val="20"/>
              </w:rPr>
              <w:t>–202</w:t>
            </w:r>
            <w:r w:rsidR="00CD1E72" w:rsidRPr="003B0D1B">
              <w:rPr>
                <w:rFonts w:ascii="Calibri" w:hAnsi="Calibri" w:cs="Calibri"/>
                <w:sz w:val="20"/>
                <w:szCs w:val="20"/>
              </w:rPr>
              <w:t>3</w:t>
            </w:r>
            <w:r w:rsidRPr="003B0D1B">
              <w:rPr>
                <w:rFonts w:ascii="Calibri" w:hAnsi="Calibri" w:cs="Calibri"/>
                <w:sz w:val="20"/>
                <w:szCs w:val="20"/>
              </w:rPr>
              <w:t xml:space="preserve"> (t)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1DCFCEC" w14:textId="5C0BC4F9" w:rsidR="009307A6" w:rsidRPr="003B0D1B" w:rsidRDefault="00CD1E72" w:rsidP="006950D6">
            <w:pPr>
              <w:pStyle w:val="NoSpacing"/>
              <w:rPr>
                <w:rFonts w:ascii="Calibri" w:hAnsi="Calibri" w:cs="Calibri"/>
                <w:sz w:val="20"/>
                <w:szCs w:val="20"/>
              </w:rPr>
            </w:pPr>
            <w:r w:rsidRPr="003B0D1B">
              <w:rPr>
                <w:rFonts w:ascii="Calibri" w:hAnsi="Calibri" w:cs="Calibri"/>
                <w:sz w:val="20"/>
                <w:szCs w:val="20"/>
              </w:rPr>
              <w:t>33,888</w:t>
            </w:r>
          </w:p>
        </w:tc>
      </w:tr>
      <w:tr w:rsidR="009307A6" w:rsidRPr="003B0D1B" w14:paraId="11595AE0"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1FF573" w14:textId="04C8B349"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MSY (1,000 t) (</w:t>
            </w:r>
            <w:r w:rsidR="00BD3BDB" w:rsidRPr="003B0D1B">
              <w:rPr>
                <w:rFonts w:ascii="Calibri" w:hAnsi="Calibri" w:cs="Calibri"/>
                <w:sz w:val="20"/>
                <w:szCs w:val="20"/>
              </w:rPr>
              <w:t>80</w:t>
            </w:r>
            <w:r w:rsidRPr="003B0D1B">
              <w:rPr>
                <w:rFonts w:ascii="Calibri" w:hAnsi="Calibri" w:cs="Calibri"/>
                <w:sz w:val="20"/>
                <w:szCs w:val="20"/>
              </w:rPr>
              <w:t>% 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1817E4" w14:textId="43140314" w:rsidR="009307A6" w:rsidRPr="003B0D1B" w:rsidRDefault="00D34820" w:rsidP="006950D6">
            <w:pPr>
              <w:pStyle w:val="NoSpacing"/>
              <w:rPr>
                <w:rFonts w:ascii="Calibri" w:hAnsi="Calibri" w:cs="Calibri"/>
                <w:sz w:val="20"/>
                <w:szCs w:val="20"/>
              </w:rPr>
            </w:pPr>
            <w:r w:rsidRPr="00D34820">
              <w:rPr>
                <w:rFonts w:ascii="Calibri" w:hAnsi="Calibri" w:cs="Calibri"/>
                <w:sz w:val="20"/>
                <w:szCs w:val="20"/>
              </w:rPr>
              <w:t>34.3 (28.7 - 42.2)</w:t>
            </w:r>
          </w:p>
        </w:tc>
      </w:tr>
      <w:tr w:rsidR="009307A6" w:rsidRPr="003B0D1B" w14:paraId="0A86A4F7"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FFFD12" w14:textId="46BBAF56"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F</w:t>
            </w:r>
            <w:r w:rsidRPr="003B0D1B">
              <w:rPr>
                <w:rFonts w:ascii="Calibri" w:hAnsi="Calibri" w:cs="Calibri"/>
                <w:sz w:val="20"/>
                <w:szCs w:val="20"/>
                <w:vertAlign w:val="subscript"/>
              </w:rPr>
              <w:t>MSY</w:t>
            </w:r>
            <w:r w:rsidRPr="003B0D1B">
              <w:rPr>
                <w:rFonts w:ascii="Calibri" w:hAnsi="Calibri" w:cs="Calibri"/>
                <w:sz w:val="20"/>
                <w:szCs w:val="20"/>
              </w:rPr>
              <w:t xml:space="preserve"> (</w:t>
            </w:r>
            <w:r w:rsidR="00BD3BDB" w:rsidRPr="003B0D1B">
              <w:rPr>
                <w:rFonts w:ascii="Calibri" w:hAnsi="Calibri" w:cs="Calibri"/>
                <w:sz w:val="20"/>
                <w:szCs w:val="20"/>
              </w:rPr>
              <w:t>80</w:t>
            </w:r>
            <w:r w:rsidRPr="003B0D1B">
              <w:rPr>
                <w:rFonts w:ascii="Calibri" w:hAnsi="Calibri" w:cs="Calibri"/>
                <w:sz w:val="20"/>
                <w:szCs w:val="20"/>
              </w:rPr>
              <w:t>% 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9C7023" w14:textId="342AC7B5" w:rsidR="009307A6" w:rsidRPr="003B0D1B" w:rsidRDefault="00854D76" w:rsidP="006950D6">
            <w:pPr>
              <w:pStyle w:val="NoSpacing"/>
              <w:rPr>
                <w:rFonts w:ascii="Calibri" w:hAnsi="Calibri" w:cs="Calibri"/>
                <w:sz w:val="20"/>
                <w:szCs w:val="20"/>
              </w:rPr>
            </w:pPr>
            <w:r w:rsidRPr="003B0D1B">
              <w:rPr>
                <w:rFonts w:ascii="Calibri" w:hAnsi="Calibri" w:cs="Calibri"/>
                <w:sz w:val="20"/>
                <w:szCs w:val="20"/>
              </w:rPr>
              <w:t>0.20 (0.17-0.23)</w:t>
            </w:r>
          </w:p>
        </w:tc>
      </w:tr>
      <w:tr w:rsidR="00617888" w:rsidRPr="003B0D1B" w14:paraId="145205B8"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25C01E" w14:textId="2AE33DFF" w:rsidR="00617888" w:rsidRPr="003B0D1B" w:rsidRDefault="00617888" w:rsidP="006950D6">
            <w:pPr>
              <w:pStyle w:val="NoSpacing"/>
              <w:rPr>
                <w:rFonts w:ascii="Calibri" w:hAnsi="Calibri" w:cs="Calibri"/>
                <w:sz w:val="20"/>
                <w:szCs w:val="20"/>
              </w:rPr>
            </w:pPr>
            <w:r w:rsidRPr="003B0D1B">
              <w:rPr>
                <w:rFonts w:ascii="Calibri" w:hAnsi="Calibri" w:cs="Calibri"/>
                <w:sz w:val="20"/>
                <w:szCs w:val="20"/>
              </w:rPr>
              <w:t>B</w:t>
            </w:r>
            <w:r w:rsidRPr="003B0D1B">
              <w:rPr>
                <w:rFonts w:ascii="Calibri" w:hAnsi="Calibri" w:cs="Calibri"/>
                <w:sz w:val="20"/>
                <w:szCs w:val="20"/>
                <w:vertAlign w:val="subscript"/>
              </w:rPr>
              <w:t>MSY</w:t>
            </w:r>
            <w:r w:rsidRPr="003B0D1B">
              <w:rPr>
                <w:rFonts w:ascii="Calibri" w:hAnsi="Calibri" w:cs="Calibri"/>
                <w:sz w:val="20"/>
                <w:szCs w:val="20"/>
              </w:rPr>
              <w:t xml:space="preserve"> (1,000 t) (80 % 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4800C2" w14:textId="2A702985" w:rsidR="00617888" w:rsidRPr="003B0D1B" w:rsidRDefault="00AA1006" w:rsidP="006950D6">
            <w:pPr>
              <w:pStyle w:val="NoSpacing"/>
              <w:rPr>
                <w:rFonts w:ascii="Calibri" w:hAnsi="Calibri" w:cs="Calibri"/>
                <w:sz w:val="20"/>
                <w:szCs w:val="20"/>
              </w:rPr>
            </w:pPr>
            <w:r w:rsidRPr="003B0D1B">
              <w:rPr>
                <w:rFonts w:ascii="Calibri" w:hAnsi="Calibri" w:cs="Calibri"/>
                <w:sz w:val="20"/>
                <w:szCs w:val="20"/>
              </w:rPr>
              <w:t>174 (145-212)</w:t>
            </w:r>
          </w:p>
        </w:tc>
      </w:tr>
      <w:tr w:rsidR="009307A6" w:rsidRPr="003B0D1B" w14:paraId="2DEF4610"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735EAF" w14:textId="403238F7"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Data period (catch)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04604D" w14:textId="66FB9C9C"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1950 – 202</w:t>
            </w:r>
            <w:r w:rsidR="00854D76" w:rsidRPr="003B0D1B">
              <w:rPr>
                <w:rFonts w:ascii="Calibri" w:hAnsi="Calibri" w:cs="Calibri"/>
                <w:sz w:val="20"/>
                <w:szCs w:val="20"/>
              </w:rPr>
              <w:t>3</w:t>
            </w:r>
          </w:p>
        </w:tc>
      </w:tr>
      <w:tr w:rsidR="009307A6" w:rsidRPr="003B0D1B" w14:paraId="303574BF"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5F905B" w14:textId="5D39B7BF"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F</w:t>
            </w:r>
            <w:r w:rsidRPr="003B0D1B">
              <w:rPr>
                <w:rFonts w:ascii="Calibri" w:hAnsi="Calibri" w:cs="Calibri"/>
                <w:sz w:val="20"/>
                <w:szCs w:val="20"/>
                <w:vertAlign w:val="subscript"/>
              </w:rPr>
              <w:t>202</w:t>
            </w:r>
            <w:r w:rsidR="00854D76" w:rsidRPr="003B0D1B">
              <w:rPr>
                <w:rFonts w:ascii="Calibri" w:hAnsi="Calibri" w:cs="Calibri"/>
                <w:sz w:val="20"/>
                <w:szCs w:val="20"/>
                <w:vertAlign w:val="subscript"/>
              </w:rPr>
              <w:t>3</w:t>
            </w:r>
            <w:r w:rsidRPr="003B0D1B">
              <w:rPr>
                <w:rFonts w:ascii="Calibri" w:hAnsi="Calibri" w:cs="Calibri"/>
                <w:sz w:val="20"/>
                <w:szCs w:val="20"/>
              </w:rPr>
              <w:t>/F</w:t>
            </w:r>
            <w:r w:rsidRPr="003B0D1B">
              <w:rPr>
                <w:rFonts w:ascii="Calibri" w:hAnsi="Calibri" w:cs="Calibri"/>
                <w:sz w:val="20"/>
                <w:szCs w:val="20"/>
                <w:vertAlign w:val="subscript"/>
              </w:rPr>
              <w:t>MSY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31C3E9" w14:textId="3927A319" w:rsidR="009307A6" w:rsidRPr="003B0D1B" w:rsidRDefault="00854D76" w:rsidP="006950D6">
            <w:pPr>
              <w:pStyle w:val="NoSpacing"/>
              <w:rPr>
                <w:rFonts w:ascii="Calibri" w:hAnsi="Calibri" w:cs="Calibri"/>
                <w:sz w:val="20"/>
                <w:szCs w:val="20"/>
              </w:rPr>
            </w:pPr>
            <w:r w:rsidRPr="003B0D1B">
              <w:rPr>
                <w:rFonts w:ascii="Calibri" w:hAnsi="Calibri" w:cs="Calibri"/>
                <w:sz w:val="20"/>
                <w:szCs w:val="20"/>
              </w:rPr>
              <w:t>0.69</w:t>
            </w:r>
            <w:r w:rsidR="009307A6" w:rsidRPr="003B0D1B">
              <w:rPr>
                <w:rFonts w:ascii="Calibri" w:hAnsi="Calibri" w:cs="Calibri"/>
                <w:sz w:val="20"/>
                <w:szCs w:val="20"/>
              </w:rPr>
              <w:t xml:space="preserve"> (0.</w:t>
            </w:r>
            <w:r w:rsidRPr="003B0D1B">
              <w:rPr>
                <w:rFonts w:ascii="Calibri" w:hAnsi="Calibri" w:cs="Calibri"/>
                <w:sz w:val="20"/>
                <w:szCs w:val="20"/>
              </w:rPr>
              <w:t>51-0.94</w:t>
            </w:r>
            <w:r w:rsidR="009307A6" w:rsidRPr="003B0D1B">
              <w:rPr>
                <w:rFonts w:ascii="Calibri" w:hAnsi="Calibri" w:cs="Calibri"/>
                <w:sz w:val="20"/>
                <w:szCs w:val="20"/>
              </w:rPr>
              <w:t>)</w:t>
            </w:r>
          </w:p>
        </w:tc>
      </w:tr>
      <w:tr w:rsidR="009307A6" w:rsidRPr="003B0D1B" w14:paraId="76C82C30"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CC9895" w14:textId="049966D7"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B</w:t>
            </w:r>
            <w:r w:rsidRPr="003B0D1B">
              <w:rPr>
                <w:rFonts w:ascii="Calibri" w:hAnsi="Calibri" w:cs="Calibri"/>
                <w:sz w:val="20"/>
                <w:szCs w:val="20"/>
                <w:vertAlign w:val="subscript"/>
              </w:rPr>
              <w:t>202</w:t>
            </w:r>
            <w:r w:rsidR="00854D76" w:rsidRPr="003B0D1B">
              <w:rPr>
                <w:rFonts w:ascii="Calibri" w:hAnsi="Calibri" w:cs="Calibri"/>
                <w:sz w:val="20"/>
                <w:szCs w:val="20"/>
                <w:vertAlign w:val="subscript"/>
              </w:rPr>
              <w:t>3</w:t>
            </w:r>
            <w:r w:rsidRPr="003B0D1B">
              <w:rPr>
                <w:rFonts w:ascii="Calibri" w:hAnsi="Calibri" w:cs="Calibri"/>
                <w:sz w:val="20"/>
                <w:szCs w:val="20"/>
              </w:rPr>
              <w:t>/B</w:t>
            </w:r>
            <w:r w:rsidRPr="003B0D1B">
              <w:rPr>
                <w:rFonts w:ascii="Calibri" w:hAnsi="Calibri" w:cs="Calibri"/>
                <w:sz w:val="20"/>
                <w:szCs w:val="20"/>
                <w:vertAlign w:val="subscript"/>
              </w:rPr>
              <w:t>MSY</w:t>
            </w:r>
            <w:r w:rsidRPr="003B0D1B">
              <w:rPr>
                <w:rFonts w:ascii="Calibri" w:hAnsi="Calibri" w:cs="Calibri"/>
                <w:sz w:val="20"/>
                <w:szCs w:val="20"/>
              </w:rPr>
              <w:t xml:space="preserve"> (</w:t>
            </w:r>
            <w:r w:rsidR="00BD3BDB" w:rsidRPr="003B0D1B">
              <w:rPr>
                <w:rFonts w:ascii="Calibri" w:hAnsi="Calibri" w:cs="Calibri"/>
                <w:sz w:val="20"/>
                <w:szCs w:val="20"/>
              </w:rPr>
              <w:t>80</w:t>
            </w:r>
            <w:r w:rsidRPr="003B0D1B">
              <w:rPr>
                <w:rFonts w:ascii="Calibri" w:hAnsi="Calibri" w:cs="Calibri"/>
                <w:sz w:val="20"/>
                <w:szCs w:val="20"/>
              </w:rPr>
              <w:t>% 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0653C2" w14:textId="0CDE400C"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1.3</w:t>
            </w:r>
            <w:r w:rsidR="00AA1006" w:rsidRPr="003B0D1B">
              <w:rPr>
                <w:rFonts w:ascii="Calibri" w:hAnsi="Calibri" w:cs="Calibri"/>
                <w:sz w:val="20"/>
                <w:szCs w:val="20"/>
              </w:rPr>
              <w:t>4</w:t>
            </w:r>
            <w:r w:rsidRPr="003B0D1B">
              <w:rPr>
                <w:rFonts w:ascii="Calibri" w:hAnsi="Calibri" w:cs="Calibri"/>
                <w:sz w:val="20"/>
                <w:szCs w:val="20"/>
              </w:rPr>
              <w:t xml:space="preserve"> (</w:t>
            </w:r>
            <w:r w:rsidR="00AA1006" w:rsidRPr="003B0D1B">
              <w:rPr>
                <w:rFonts w:ascii="Calibri" w:hAnsi="Calibri" w:cs="Calibri"/>
                <w:sz w:val="20"/>
                <w:szCs w:val="20"/>
              </w:rPr>
              <w:t>1.15-1.53</w:t>
            </w:r>
            <w:r w:rsidRPr="003B0D1B">
              <w:rPr>
                <w:rFonts w:ascii="Calibri" w:hAnsi="Calibri" w:cs="Calibri"/>
                <w:sz w:val="20"/>
                <w:szCs w:val="20"/>
              </w:rPr>
              <w:t>)</w:t>
            </w:r>
          </w:p>
        </w:tc>
      </w:tr>
      <w:tr w:rsidR="009307A6" w:rsidRPr="003B0D1B" w14:paraId="64313156"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54313C" w14:textId="04A116B7"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B</w:t>
            </w:r>
            <w:r w:rsidRPr="003B0D1B">
              <w:rPr>
                <w:rFonts w:ascii="Calibri" w:hAnsi="Calibri" w:cs="Calibri"/>
                <w:sz w:val="20"/>
                <w:szCs w:val="20"/>
                <w:vertAlign w:val="subscript"/>
              </w:rPr>
              <w:t>202</w:t>
            </w:r>
            <w:r w:rsidR="001A1B60" w:rsidRPr="003B0D1B">
              <w:rPr>
                <w:rFonts w:ascii="Calibri" w:hAnsi="Calibri" w:cs="Calibri"/>
                <w:sz w:val="20"/>
                <w:szCs w:val="20"/>
                <w:vertAlign w:val="subscript"/>
              </w:rPr>
              <w:t>3</w:t>
            </w:r>
            <w:r w:rsidRPr="003B0D1B">
              <w:rPr>
                <w:rFonts w:ascii="Calibri" w:hAnsi="Calibri" w:cs="Calibri"/>
                <w:sz w:val="20"/>
                <w:szCs w:val="20"/>
              </w:rPr>
              <w:t>/B</w:t>
            </w:r>
            <w:r w:rsidRPr="003B0D1B">
              <w:rPr>
                <w:rFonts w:ascii="Calibri" w:hAnsi="Calibri" w:cs="Calibri"/>
                <w:sz w:val="20"/>
                <w:szCs w:val="20"/>
                <w:vertAlign w:val="subscript"/>
              </w:rPr>
              <w:t>MSY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F1B81E" w14:textId="77777777"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N/A</w:t>
            </w:r>
          </w:p>
        </w:tc>
      </w:tr>
      <w:tr w:rsidR="009307A6" w:rsidRPr="003B0D1B" w14:paraId="5B6058EA"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3E934C" w14:textId="6459B13B"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B</w:t>
            </w:r>
            <w:r w:rsidRPr="003B0D1B">
              <w:rPr>
                <w:rFonts w:ascii="Calibri" w:hAnsi="Calibri" w:cs="Calibri"/>
                <w:sz w:val="20"/>
                <w:szCs w:val="20"/>
                <w:vertAlign w:val="subscript"/>
              </w:rPr>
              <w:t>202</w:t>
            </w:r>
            <w:r w:rsidR="00AA1006" w:rsidRPr="003B0D1B">
              <w:rPr>
                <w:rFonts w:ascii="Calibri" w:hAnsi="Calibri" w:cs="Calibri"/>
                <w:sz w:val="20"/>
                <w:szCs w:val="20"/>
                <w:vertAlign w:val="subscript"/>
              </w:rPr>
              <w:t>3</w:t>
            </w:r>
            <w:r w:rsidRPr="003B0D1B">
              <w:rPr>
                <w:rFonts w:ascii="Calibri" w:hAnsi="Calibri" w:cs="Calibri"/>
                <w:sz w:val="20"/>
                <w:szCs w:val="20"/>
              </w:rPr>
              <w:t>/B</w:t>
            </w:r>
            <w:r w:rsidRPr="003B0D1B">
              <w:rPr>
                <w:rFonts w:ascii="Calibri" w:hAnsi="Calibri" w:cs="Calibri"/>
                <w:sz w:val="20"/>
                <w:szCs w:val="20"/>
                <w:vertAlign w:val="subscript"/>
              </w:rPr>
              <w:t>0</w:t>
            </w:r>
            <w:r w:rsidRPr="003B0D1B">
              <w:rPr>
                <w:rFonts w:ascii="Calibri" w:hAnsi="Calibri" w:cs="Calibri"/>
                <w:sz w:val="20"/>
                <w:szCs w:val="20"/>
              </w:rPr>
              <w:t xml:space="preserve"> (</w:t>
            </w:r>
            <w:r w:rsidR="00BD3BDB" w:rsidRPr="003B0D1B">
              <w:rPr>
                <w:rFonts w:ascii="Calibri" w:hAnsi="Calibri" w:cs="Calibri"/>
                <w:sz w:val="20"/>
                <w:szCs w:val="20"/>
              </w:rPr>
              <w:t>80</w:t>
            </w:r>
            <w:r w:rsidRPr="003B0D1B">
              <w:rPr>
                <w:rFonts w:ascii="Calibri" w:hAnsi="Calibri" w:cs="Calibri"/>
                <w:sz w:val="20"/>
                <w:szCs w:val="20"/>
              </w:rPr>
              <w:t>% 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A5A965" w14:textId="28A2D7A7" w:rsidR="009307A6" w:rsidRPr="003B0D1B" w:rsidRDefault="00AA1006" w:rsidP="006950D6">
            <w:pPr>
              <w:pStyle w:val="NoSpacing"/>
              <w:rPr>
                <w:rFonts w:ascii="Calibri" w:hAnsi="Calibri" w:cs="Calibri"/>
                <w:sz w:val="20"/>
                <w:szCs w:val="20"/>
              </w:rPr>
            </w:pPr>
            <w:r w:rsidRPr="003B0D1B">
              <w:rPr>
                <w:rFonts w:ascii="Calibri" w:hAnsi="Calibri" w:cs="Calibri"/>
                <w:sz w:val="20"/>
                <w:szCs w:val="20"/>
              </w:rPr>
              <w:t>N/A</w:t>
            </w:r>
          </w:p>
        </w:tc>
      </w:tr>
      <w:tr w:rsidR="009307A6" w:rsidRPr="003B0D1B" w14:paraId="33115BF0" w14:textId="77777777" w:rsidTr="00444A1C">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3FDEF4" w14:textId="1E5480F0" w:rsidR="009307A6" w:rsidRPr="003B0D1B" w:rsidRDefault="009307A6" w:rsidP="006950D6">
            <w:pPr>
              <w:pStyle w:val="NoSpacing"/>
              <w:rPr>
                <w:rFonts w:ascii="Calibri" w:hAnsi="Calibri" w:cs="Calibri"/>
                <w:sz w:val="20"/>
                <w:szCs w:val="20"/>
              </w:rPr>
            </w:pPr>
            <w:r w:rsidRPr="003B0D1B">
              <w:rPr>
                <w:rFonts w:ascii="Calibri" w:hAnsi="Calibri" w:cs="Calibri"/>
                <w:sz w:val="20"/>
                <w:szCs w:val="20"/>
              </w:rPr>
              <w:t>B</w:t>
            </w:r>
            <w:r w:rsidRPr="003B0D1B">
              <w:rPr>
                <w:rFonts w:ascii="Calibri" w:hAnsi="Calibri" w:cs="Calibri"/>
                <w:sz w:val="20"/>
                <w:szCs w:val="20"/>
                <w:vertAlign w:val="subscript"/>
              </w:rPr>
              <w:t>202</w:t>
            </w:r>
            <w:r w:rsidR="00AA1006" w:rsidRPr="003B0D1B">
              <w:rPr>
                <w:rFonts w:ascii="Calibri" w:hAnsi="Calibri" w:cs="Calibri"/>
                <w:sz w:val="20"/>
                <w:szCs w:val="20"/>
                <w:vertAlign w:val="subscript"/>
              </w:rPr>
              <w:t>3</w:t>
            </w:r>
            <w:r w:rsidRPr="003B0D1B">
              <w:rPr>
                <w:rFonts w:ascii="Calibri" w:hAnsi="Calibri" w:cs="Calibri"/>
                <w:sz w:val="20"/>
                <w:szCs w:val="20"/>
              </w:rPr>
              <w:t>/B</w:t>
            </w:r>
            <w:r w:rsidRPr="003B0D1B">
              <w:rPr>
                <w:rFonts w:ascii="Calibri" w:hAnsi="Calibri" w:cs="Calibri"/>
                <w:sz w:val="20"/>
                <w:szCs w:val="20"/>
                <w:vertAlign w:val="subscript"/>
              </w:rPr>
              <w:t>0</w:t>
            </w:r>
            <w:r w:rsidR="00AA1006" w:rsidRPr="003B0D1B">
              <w:rPr>
                <w:rFonts w:ascii="Calibri" w:hAnsi="Calibri" w:cs="Calibri"/>
                <w:sz w:val="20"/>
                <w:szCs w:val="20"/>
                <w:vertAlign w:val="subscript"/>
              </w:rPr>
              <w:t xml:space="preserve"> </w:t>
            </w:r>
            <w:r w:rsidR="00AA1006" w:rsidRPr="003B0D1B">
              <w:rPr>
                <w:rFonts w:ascii="Calibri" w:hAnsi="Calibri" w:cs="Calibri"/>
                <w:sz w:val="20"/>
                <w:szCs w:val="20"/>
              </w:rPr>
              <w:t>(80% CI)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58F73B" w14:textId="2528C233" w:rsidR="009307A6" w:rsidRPr="003B0D1B" w:rsidRDefault="00AA1006" w:rsidP="006950D6">
            <w:pPr>
              <w:pStyle w:val="NoSpacing"/>
              <w:rPr>
                <w:rFonts w:ascii="Calibri" w:hAnsi="Calibri" w:cs="Calibri"/>
                <w:sz w:val="20"/>
                <w:szCs w:val="20"/>
              </w:rPr>
            </w:pPr>
            <w:r w:rsidRPr="003B0D1B">
              <w:rPr>
                <w:rFonts w:ascii="Calibri" w:hAnsi="Calibri" w:cs="Calibri"/>
                <w:sz w:val="20"/>
                <w:szCs w:val="20"/>
              </w:rPr>
              <w:t>0.67 (0.58-0.76)</w:t>
            </w:r>
          </w:p>
        </w:tc>
      </w:tr>
    </w:tbl>
    <w:p w14:paraId="09B611AD" w14:textId="77777777" w:rsidR="009307A6" w:rsidRPr="00B15E8F" w:rsidRDefault="009307A6" w:rsidP="009A2488">
      <w:pPr>
        <w:pStyle w:val="IOTCReportNormalNumbered"/>
        <w:numPr>
          <w:ilvl w:val="0"/>
          <w:numId w:val="0"/>
        </w:numPr>
        <w:rPr>
          <w:lang w:eastAsia="en-GB"/>
        </w:rPr>
      </w:pPr>
    </w:p>
    <w:p w14:paraId="6368DF13" w14:textId="7A633301" w:rsidR="003E362B" w:rsidRPr="00B15E8F" w:rsidRDefault="00475FA5" w:rsidP="003E362B">
      <w:pPr>
        <w:pStyle w:val="IOTCReportNormalNumbered"/>
        <w:numPr>
          <w:ilvl w:val="0"/>
          <w:numId w:val="0"/>
        </w:numPr>
        <w:jc w:val="center"/>
        <w:rPr>
          <w:rFonts w:ascii="Calibri" w:hAnsi="Calibri" w:cs="Calibri"/>
          <w:b/>
          <w:bCs/>
          <w:sz w:val="20"/>
          <w:lang w:eastAsia="en-GB"/>
        </w:rPr>
      </w:pPr>
      <w:r>
        <w:rPr>
          <w:noProof/>
        </w:rPr>
        <w:drawing>
          <wp:inline distT="0" distB="0" distL="0" distR="0" wp14:anchorId="29C14C5E" wp14:editId="57AF47D2">
            <wp:extent cx="3622675" cy="3258185"/>
            <wp:effectExtent l="0" t="0" r="0" b="0"/>
            <wp:docPr id="314444150" name="Picture 2" descr="Kobe_IO_SFA_SA_Schae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obe_IO_SFA_SA_Schaefe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622675" cy="3258185"/>
                    </a:xfrm>
                    <a:prstGeom prst="rect">
                      <a:avLst/>
                    </a:prstGeom>
                    <a:noFill/>
                    <a:ln>
                      <a:noFill/>
                    </a:ln>
                  </pic:spPr>
                </pic:pic>
              </a:graphicData>
            </a:graphic>
          </wp:inline>
        </w:drawing>
      </w:r>
    </w:p>
    <w:p w14:paraId="6AE67767" w14:textId="1F6DF95E" w:rsidR="009307A6" w:rsidRDefault="009307A6" w:rsidP="00475FA5">
      <w:pPr>
        <w:pStyle w:val="IOTCReportNormalNumbered"/>
        <w:numPr>
          <w:ilvl w:val="0"/>
          <w:numId w:val="0"/>
        </w:numPr>
        <w:rPr>
          <w:rFonts w:ascii="Calibri" w:hAnsi="Calibri" w:cs="Calibri"/>
          <w:sz w:val="20"/>
          <w:lang w:eastAsia="en-GB"/>
        </w:rPr>
      </w:pPr>
      <w:r w:rsidRPr="00B15E8F">
        <w:rPr>
          <w:rFonts w:ascii="Calibri" w:hAnsi="Calibri" w:cs="Calibri"/>
          <w:b/>
          <w:bCs/>
          <w:sz w:val="20"/>
          <w:lang w:eastAsia="en-GB"/>
        </w:rPr>
        <w:t xml:space="preserve">Figure </w:t>
      </w:r>
      <w:r w:rsidR="00F84091">
        <w:rPr>
          <w:rFonts w:ascii="Calibri" w:eastAsiaTheme="minorEastAsia" w:hAnsi="Calibri" w:cs="Calibri"/>
          <w:b/>
          <w:bCs/>
          <w:sz w:val="20"/>
          <w:lang w:eastAsia="zh-CN"/>
        </w:rPr>
        <w:t>2</w:t>
      </w:r>
      <w:r w:rsidRPr="00B15E8F">
        <w:rPr>
          <w:rFonts w:ascii="Calibri" w:hAnsi="Calibri" w:cs="Calibri"/>
          <w:b/>
          <w:bCs/>
          <w:sz w:val="20"/>
          <w:lang w:eastAsia="en-GB"/>
        </w:rPr>
        <w:t>:</w:t>
      </w:r>
      <w:r w:rsidRPr="00B15E8F">
        <w:rPr>
          <w:rFonts w:ascii="Calibri" w:hAnsi="Calibri" w:cs="Calibri"/>
          <w:sz w:val="20"/>
          <w:lang w:eastAsia="en-GB"/>
        </w:rPr>
        <w:t xml:space="preserve"> JABBA: </w:t>
      </w:r>
      <w:r w:rsidR="00475FA5" w:rsidRPr="00475FA5">
        <w:rPr>
          <w:rFonts w:ascii="Calibri" w:hAnsi="Calibri" w:cs="Calibri"/>
          <w:sz w:val="20"/>
          <w:lang w:eastAsia="en-GB"/>
        </w:rPr>
        <w:t>Kobe plot showing estimated trajectories (1950-2023) of</w:t>
      </w:r>
      <w:r w:rsidR="00475FA5" w:rsidRPr="00475FA5">
        <w:rPr>
          <w:rFonts w:ascii="Calibri" w:hAnsi="Calibri" w:cs="Calibri"/>
          <w:i/>
          <w:iCs/>
          <w:sz w:val="20"/>
          <w:lang w:eastAsia="en-GB"/>
        </w:rPr>
        <w:t xml:space="preserve"> B/B</w:t>
      </w:r>
      <w:r w:rsidR="00475FA5" w:rsidRPr="00475FA5">
        <w:rPr>
          <w:rFonts w:ascii="Calibri" w:hAnsi="Calibri" w:cs="Calibri"/>
          <w:i/>
          <w:iCs/>
          <w:sz w:val="20"/>
          <w:vertAlign w:val="subscript"/>
          <w:lang w:eastAsia="en-GB"/>
        </w:rPr>
        <w:t>MSY</w:t>
      </w:r>
      <w:r w:rsidR="00475FA5" w:rsidRPr="00475FA5">
        <w:rPr>
          <w:rFonts w:ascii="Calibri" w:hAnsi="Calibri" w:cs="Calibri"/>
          <w:i/>
          <w:iCs/>
          <w:sz w:val="20"/>
          <w:lang w:eastAsia="en-GB"/>
        </w:rPr>
        <w:t xml:space="preserve"> </w:t>
      </w:r>
      <w:r w:rsidR="00475FA5" w:rsidRPr="00475FA5">
        <w:rPr>
          <w:rFonts w:ascii="Calibri" w:hAnsi="Calibri" w:cs="Calibri"/>
          <w:sz w:val="20"/>
          <w:lang w:eastAsia="en-GB"/>
        </w:rPr>
        <w:t xml:space="preserve">and </w:t>
      </w:r>
      <w:r w:rsidR="00475FA5" w:rsidRPr="00475FA5">
        <w:rPr>
          <w:rFonts w:ascii="Calibri" w:hAnsi="Calibri" w:cs="Calibri"/>
          <w:i/>
          <w:iCs/>
          <w:sz w:val="20"/>
          <w:lang w:eastAsia="en-GB"/>
        </w:rPr>
        <w:t>F/F</w:t>
      </w:r>
      <w:r w:rsidR="00475FA5" w:rsidRPr="00475FA5">
        <w:rPr>
          <w:rFonts w:ascii="Calibri" w:hAnsi="Calibri" w:cs="Calibri"/>
          <w:i/>
          <w:iCs/>
          <w:sz w:val="20"/>
          <w:vertAlign w:val="subscript"/>
          <w:lang w:eastAsia="en-GB"/>
        </w:rPr>
        <w:t>MSY</w:t>
      </w:r>
      <w:r w:rsidR="00475FA5" w:rsidRPr="00475FA5">
        <w:rPr>
          <w:rFonts w:ascii="Calibri" w:hAnsi="Calibri" w:cs="Calibri"/>
          <w:sz w:val="20"/>
          <w:vertAlign w:val="subscript"/>
          <w:lang w:eastAsia="en-GB"/>
        </w:rPr>
        <w:t xml:space="preserve"> </w:t>
      </w:r>
      <w:r w:rsidR="00475FA5" w:rsidRPr="00475FA5">
        <w:rPr>
          <w:rFonts w:ascii="Calibri" w:hAnsi="Calibri" w:cs="Calibri"/>
          <w:sz w:val="20"/>
          <w:lang w:eastAsia="en-GB"/>
        </w:rPr>
        <w:t>for</w:t>
      </w:r>
      <w:r w:rsidR="00475FA5" w:rsidRPr="00475FA5">
        <w:rPr>
          <w:rFonts w:ascii="Calibri" w:hAnsi="Calibri" w:cs="Calibri"/>
          <w:sz w:val="20"/>
          <w:lang w:val="en-US" w:eastAsia="en-GB"/>
        </w:rPr>
        <w:t xml:space="preserve"> </w:t>
      </w:r>
      <w:r w:rsidR="00475FA5" w:rsidRPr="00475FA5">
        <w:rPr>
          <w:rFonts w:ascii="Calibri" w:hAnsi="Calibri" w:cs="Calibri"/>
          <w:sz w:val="20"/>
          <w:lang w:eastAsia="en-GB"/>
        </w:rPr>
        <w:t>JABBA model of Indian Ocean IP sailfish. Different grey shaded areas denote the 50%, 80%, and 95% credibility interval for the terminal assessment year. The probability of terminal year points falling within each quadrant is indicated in the figure legend. </w:t>
      </w:r>
    </w:p>
    <w:p w14:paraId="30CB0681" w14:textId="77777777" w:rsidR="00EC020B" w:rsidRDefault="00EC020B" w:rsidP="00475FA5">
      <w:pPr>
        <w:pStyle w:val="IOTCReportNormalNumbered"/>
        <w:numPr>
          <w:ilvl w:val="0"/>
          <w:numId w:val="0"/>
        </w:numPr>
        <w:rPr>
          <w:rFonts w:ascii="Calibri" w:hAnsi="Calibri" w:cs="Calibri"/>
          <w:sz w:val="20"/>
          <w:lang w:eastAsia="en-GB"/>
        </w:rPr>
      </w:pPr>
    </w:p>
    <w:p w14:paraId="6585C4F9" w14:textId="43260858" w:rsidR="00EC020B" w:rsidRPr="00BA6386" w:rsidRDefault="001839B3" w:rsidP="00BA6386">
      <w:pPr>
        <w:pStyle w:val="IOTCReportNormalNumbered"/>
        <w:spacing w:after="120"/>
        <w:ind w:left="540" w:hanging="540"/>
        <w:rPr>
          <w:rFonts w:ascii="Calibri" w:hAnsi="Calibri" w:cs="Calibri"/>
          <w:lang w:eastAsia="en-GB"/>
        </w:rPr>
      </w:pPr>
      <w:r w:rsidRPr="00BA6386">
        <w:rPr>
          <w:rFonts w:ascii="Calibri" w:hAnsi="Calibri" w:cs="Calibri"/>
          <w:lang w:eastAsia="en-GB"/>
        </w:rPr>
        <w:t xml:space="preserve">The WPB </w:t>
      </w:r>
      <w:r w:rsidR="006A7612" w:rsidRPr="00BA6386">
        <w:rPr>
          <w:rFonts w:ascii="Calibri" w:hAnsi="Calibri" w:cs="Calibri"/>
          <w:b/>
          <w:bCs/>
          <w:lang w:eastAsia="en-GB"/>
        </w:rPr>
        <w:t>COMMENDED</w:t>
      </w:r>
      <w:r w:rsidR="006A7612" w:rsidRPr="00BA6386">
        <w:rPr>
          <w:rFonts w:ascii="Calibri" w:hAnsi="Calibri" w:cs="Calibri"/>
          <w:lang w:eastAsia="en-GB"/>
        </w:rPr>
        <w:t xml:space="preserve"> the analysts for their first stock assessment for the IOTC. The WPB </w:t>
      </w:r>
      <w:r w:rsidR="006A7612" w:rsidRPr="00BA6386">
        <w:rPr>
          <w:rFonts w:ascii="Calibri" w:hAnsi="Calibri" w:cs="Calibri"/>
          <w:b/>
          <w:bCs/>
          <w:lang w:eastAsia="en-GB"/>
        </w:rPr>
        <w:t>NOTED</w:t>
      </w:r>
      <w:r w:rsidR="006A7612" w:rsidRPr="00BA6386">
        <w:rPr>
          <w:rFonts w:ascii="Calibri" w:hAnsi="Calibri" w:cs="Calibri"/>
          <w:lang w:eastAsia="en-GB"/>
        </w:rPr>
        <w:t xml:space="preserve"> that this assessment was the second time that a formal assessment had been completed for the Indo-Pacific sailfish in the IOTC Area of Competence. </w:t>
      </w:r>
    </w:p>
    <w:p w14:paraId="36A4EA9E" w14:textId="7C1BDA1B" w:rsidR="006A7612" w:rsidRPr="00BA6386" w:rsidRDefault="006A7612" w:rsidP="00BA6386">
      <w:pPr>
        <w:pStyle w:val="IOTCReportNormalNumbered"/>
        <w:spacing w:after="120"/>
        <w:ind w:left="540" w:hanging="540"/>
        <w:rPr>
          <w:rFonts w:ascii="Calibri" w:hAnsi="Calibri" w:cs="Calibri"/>
          <w:lang w:eastAsia="en-GB"/>
        </w:rPr>
      </w:pPr>
      <w:r w:rsidRPr="00BA6386">
        <w:rPr>
          <w:rFonts w:ascii="Calibri" w:hAnsi="Calibri" w:cs="Calibri"/>
          <w:lang w:eastAsia="en-GB"/>
        </w:rPr>
        <w:t xml:space="preserve">The WPB </w:t>
      </w:r>
      <w:r w:rsidRPr="00BA6386">
        <w:rPr>
          <w:rFonts w:ascii="Calibri" w:hAnsi="Calibri" w:cs="Calibri"/>
          <w:b/>
          <w:bCs/>
          <w:lang w:eastAsia="en-GB"/>
        </w:rPr>
        <w:t>NOTED</w:t>
      </w:r>
      <w:r w:rsidRPr="00BA6386">
        <w:rPr>
          <w:rFonts w:ascii="Calibri" w:hAnsi="Calibri" w:cs="Calibri"/>
          <w:lang w:eastAsia="en-GB"/>
        </w:rPr>
        <w:t xml:space="preserve"> that the assessment used length-based spawning potential ratio (LBSPR) outputs as a proxy for an abundance index, as the previous assessment had done</w:t>
      </w:r>
      <w:r w:rsidR="00B70CBB" w:rsidRPr="00BA6386">
        <w:rPr>
          <w:rFonts w:ascii="Calibri" w:hAnsi="Calibri" w:cs="Calibri"/>
          <w:lang w:eastAsia="en-GB"/>
        </w:rPr>
        <w:t xml:space="preserve"> </w:t>
      </w:r>
      <w:r w:rsidR="00BA6386" w:rsidRPr="00BA6386">
        <w:rPr>
          <w:rFonts w:ascii="Calibri" w:hAnsi="Calibri" w:cs="Calibri"/>
          <w:lang w:eastAsia="en-GB"/>
        </w:rPr>
        <w:t>(</w:t>
      </w:r>
      <w:hyperlink r:id="rId51" w:history="1">
        <w:r w:rsidR="0087372F" w:rsidRPr="00BA6386">
          <w:rPr>
            <w:rFonts w:ascii="Calibri" w:hAnsi="Calibri" w:cs="Calibri"/>
            <w:lang w:eastAsia="en-GB"/>
          </w:rPr>
          <w:t>IOTC-2022-WPB20-15</w:t>
        </w:r>
      </w:hyperlink>
      <w:r w:rsidR="00BA6386" w:rsidRPr="00BA6386">
        <w:rPr>
          <w:rFonts w:ascii="Calibri" w:hAnsi="Calibri" w:cs="Calibri"/>
          <w:lang w:eastAsia="en-GB"/>
        </w:rPr>
        <w:t>)</w:t>
      </w:r>
      <w:r w:rsidR="00237DCA" w:rsidRPr="00BA6386">
        <w:rPr>
          <w:rFonts w:ascii="Calibri" w:hAnsi="Calibri" w:cs="Calibri"/>
          <w:lang w:eastAsia="en-GB"/>
        </w:rPr>
        <w:t>.</w:t>
      </w:r>
    </w:p>
    <w:p w14:paraId="3A26F91E" w14:textId="3F937D78" w:rsidR="00C60B66" w:rsidRPr="00BA6386" w:rsidRDefault="00C60B66" w:rsidP="00BA6386">
      <w:pPr>
        <w:pStyle w:val="IOTCReportNormalNumbered"/>
        <w:spacing w:after="120"/>
        <w:ind w:left="540" w:hanging="540"/>
        <w:rPr>
          <w:rFonts w:ascii="Calibri" w:hAnsi="Calibri" w:cs="Calibri"/>
          <w:lang w:eastAsia="en-GB"/>
        </w:rPr>
      </w:pPr>
      <w:r w:rsidRPr="00BA6386">
        <w:rPr>
          <w:rFonts w:ascii="Calibri" w:hAnsi="Calibri" w:cs="Calibri"/>
          <w:lang w:eastAsia="en-GB"/>
        </w:rPr>
        <w:lastRenderedPageBreak/>
        <w:t xml:space="preserve">The WPB </w:t>
      </w:r>
      <w:r w:rsidRPr="00BA6386">
        <w:rPr>
          <w:rFonts w:ascii="Calibri" w:hAnsi="Calibri" w:cs="Calibri"/>
          <w:b/>
          <w:bCs/>
          <w:lang w:eastAsia="en-GB"/>
        </w:rPr>
        <w:t>NOTED</w:t>
      </w:r>
      <w:r w:rsidRPr="00BA6386">
        <w:rPr>
          <w:rFonts w:ascii="Calibri" w:hAnsi="Calibri" w:cs="Calibri"/>
          <w:lang w:eastAsia="en-GB"/>
        </w:rPr>
        <w:t xml:space="preserve"> that the LBSPR-derived spawning potential ratio (SPR) was provided as a biomass input index into a secondary model – the Just Another Redlist Assessment model (JARA) that then provided a normalised </w:t>
      </w:r>
      <w:r w:rsidR="007B18A7" w:rsidRPr="00BA6386">
        <w:rPr>
          <w:rFonts w:ascii="Calibri" w:hAnsi="Calibri" w:cs="Calibri"/>
          <w:lang w:eastAsia="en-GB"/>
        </w:rPr>
        <w:t xml:space="preserve">SPR </w:t>
      </w:r>
      <w:r w:rsidR="0008748E" w:rsidRPr="00BA6386">
        <w:rPr>
          <w:rFonts w:ascii="Calibri" w:hAnsi="Calibri" w:cs="Calibri"/>
          <w:lang w:eastAsia="en-GB"/>
        </w:rPr>
        <w:t xml:space="preserve">for input into the Just Another Bayesian Biomass </w:t>
      </w:r>
      <w:r w:rsidR="00F53202" w:rsidRPr="00BA6386">
        <w:rPr>
          <w:rFonts w:ascii="Calibri" w:hAnsi="Calibri" w:cs="Calibri"/>
          <w:lang w:eastAsia="en-GB"/>
        </w:rPr>
        <w:t xml:space="preserve">Assessment (JABBA) model. </w:t>
      </w:r>
    </w:p>
    <w:p w14:paraId="1B388C29" w14:textId="51DE770C" w:rsidR="00F53202" w:rsidRPr="00BA6386" w:rsidRDefault="00F53202" w:rsidP="00BA6386">
      <w:pPr>
        <w:pStyle w:val="IOTCReportNormalNumbered"/>
        <w:spacing w:after="120"/>
        <w:ind w:left="540" w:hanging="540"/>
        <w:rPr>
          <w:rFonts w:ascii="Calibri" w:hAnsi="Calibri" w:cs="Calibri"/>
          <w:lang w:eastAsia="en-GB"/>
        </w:rPr>
      </w:pPr>
      <w:r w:rsidRPr="00BA6386">
        <w:rPr>
          <w:rFonts w:ascii="Calibri" w:hAnsi="Calibri" w:cs="Calibri"/>
          <w:lang w:eastAsia="en-GB"/>
        </w:rPr>
        <w:t xml:space="preserve">The WPB </w:t>
      </w:r>
      <w:r w:rsidRPr="00BA6386">
        <w:rPr>
          <w:rFonts w:ascii="Calibri" w:hAnsi="Calibri" w:cs="Calibri"/>
          <w:b/>
          <w:bCs/>
          <w:lang w:eastAsia="en-GB"/>
        </w:rPr>
        <w:t>NOTED</w:t>
      </w:r>
      <w:r w:rsidRPr="00BA6386">
        <w:rPr>
          <w:rFonts w:ascii="Calibri" w:hAnsi="Calibri" w:cs="Calibri"/>
          <w:lang w:eastAsia="en-GB"/>
        </w:rPr>
        <w:t xml:space="preserve"> that the authors provided ten scenarios that differed in their priors, and process error assumptions, as there </w:t>
      </w:r>
      <w:r w:rsidR="007C2F7F" w:rsidRPr="00BA6386">
        <w:rPr>
          <w:rFonts w:ascii="Calibri" w:hAnsi="Calibri" w:cs="Calibri"/>
          <w:lang w:eastAsia="en-GB"/>
        </w:rPr>
        <w:t xml:space="preserve">were no alternative abundance indices available for this species. Indeed, the WPB </w:t>
      </w:r>
      <w:r w:rsidR="007C2F7F" w:rsidRPr="00BA6386">
        <w:rPr>
          <w:rFonts w:ascii="Calibri" w:hAnsi="Calibri" w:cs="Calibri"/>
          <w:b/>
          <w:bCs/>
          <w:lang w:eastAsia="en-GB"/>
        </w:rPr>
        <w:t>NOTED</w:t>
      </w:r>
      <w:r w:rsidR="007C2F7F" w:rsidRPr="00BA6386">
        <w:rPr>
          <w:rFonts w:ascii="Calibri" w:hAnsi="Calibri" w:cs="Calibri"/>
          <w:lang w:eastAsia="en-GB"/>
        </w:rPr>
        <w:t xml:space="preserve"> that in previous assessments, catch-only methods had been used due to the lack of CPUE indices to provide any additional biomass information.</w:t>
      </w:r>
    </w:p>
    <w:p w14:paraId="6AADF1E7" w14:textId="25FD8A8D" w:rsidR="007C2F7F" w:rsidRPr="00BA6386" w:rsidRDefault="007C2F7F" w:rsidP="00BA6386">
      <w:pPr>
        <w:pStyle w:val="IOTCReportNormalNumbered"/>
        <w:spacing w:after="120"/>
        <w:ind w:left="540" w:hanging="540"/>
        <w:rPr>
          <w:rFonts w:ascii="Calibri" w:hAnsi="Calibri" w:cs="Calibri"/>
          <w:b/>
          <w:bCs/>
          <w:lang w:eastAsia="en-GB"/>
        </w:rPr>
      </w:pPr>
      <w:r w:rsidRPr="00BA6386">
        <w:rPr>
          <w:rFonts w:ascii="Calibri" w:hAnsi="Calibri" w:cs="Calibri"/>
          <w:lang w:eastAsia="en-GB"/>
        </w:rPr>
        <w:t xml:space="preserve">The WPB </w:t>
      </w:r>
      <w:r w:rsidRPr="00BA6386">
        <w:rPr>
          <w:rFonts w:ascii="Calibri" w:hAnsi="Calibri" w:cs="Calibri"/>
          <w:b/>
          <w:bCs/>
          <w:lang w:eastAsia="en-GB"/>
        </w:rPr>
        <w:t>NOTED</w:t>
      </w:r>
      <w:r w:rsidRPr="00BA6386">
        <w:rPr>
          <w:rFonts w:ascii="Calibri" w:hAnsi="Calibri" w:cs="Calibri"/>
          <w:lang w:eastAsia="en-GB"/>
        </w:rPr>
        <w:t xml:space="preserve"> that </w:t>
      </w:r>
      <w:r w:rsidR="00427CCE" w:rsidRPr="00BA6386">
        <w:rPr>
          <w:rFonts w:ascii="Calibri" w:hAnsi="Calibri" w:cs="Calibri"/>
          <w:lang w:eastAsia="en-GB"/>
        </w:rPr>
        <w:t xml:space="preserve">the scenarios presented all suggested the stock was in the ‘green’ quadrant of the </w:t>
      </w:r>
      <w:r w:rsidR="00403996">
        <w:rPr>
          <w:rFonts w:ascii="Calibri" w:hAnsi="Calibri" w:cs="Calibri"/>
          <w:lang w:eastAsia="en-GB"/>
        </w:rPr>
        <w:t>Kobe</w:t>
      </w:r>
      <w:r w:rsidR="00427CCE" w:rsidRPr="00BA6386">
        <w:rPr>
          <w:rFonts w:ascii="Calibri" w:hAnsi="Calibri" w:cs="Calibri"/>
          <w:lang w:eastAsia="en-GB"/>
        </w:rPr>
        <w:t xml:space="preserve"> plot (not overfished and not subject to overfishing)</w:t>
      </w:r>
      <w:r w:rsidR="002A09E5" w:rsidRPr="00BA6386">
        <w:rPr>
          <w:rFonts w:ascii="Calibri" w:hAnsi="Calibri" w:cs="Calibri"/>
          <w:lang w:eastAsia="en-GB"/>
        </w:rPr>
        <w:t xml:space="preserve">, however some scenarios indicated that the trajectory of the stock status was moving closer to the threshold for being subject to overfishing. The WPB </w:t>
      </w:r>
      <w:r w:rsidR="002A09E5" w:rsidRPr="00BA6386">
        <w:rPr>
          <w:rFonts w:ascii="Calibri" w:hAnsi="Calibri" w:cs="Calibri"/>
          <w:b/>
          <w:bCs/>
          <w:lang w:eastAsia="en-GB"/>
        </w:rPr>
        <w:t>NOTED</w:t>
      </w:r>
      <w:r w:rsidR="002A09E5" w:rsidRPr="00BA6386">
        <w:rPr>
          <w:rFonts w:ascii="Calibri" w:hAnsi="Calibri" w:cs="Calibri"/>
          <w:lang w:eastAsia="en-GB"/>
        </w:rPr>
        <w:t xml:space="preserve"> the caveats presented by the authors, and the novelty of the approach.</w:t>
      </w:r>
    </w:p>
    <w:p w14:paraId="4DCBB2ED" w14:textId="1BEEB2CB" w:rsidR="00AE3118" w:rsidRDefault="002A09E5" w:rsidP="00BA6386">
      <w:pPr>
        <w:pStyle w:val="IOTCReportNormalNumbered"/>
        <w:spacing w:after="120"/>
        <w:ind w:left="540" w:hanging="540"/>
        <w:rPr>
          <w:rFonts w:ascii="Calibri" w:hAnsi="Calibri" w:cs="Calibri"/>
          <w:lang w:eastAsia="en-GB"/>
        </w:rPr>
      </w:pPr>
      <w:r w:rsidRPr="00BA6386">
        <w:rPr>
          <w:rFonts w:ascii="Calibri" w:hAnsi="Calibri" w:cs="Calibri"/>
          <w:lang w:eastAsia="en-GB"/>
        </w:rPr>
        <w:t xml:space="preserve">The WPB </w:t>
      </w:r>
      <w:r w:rsidR="00D711E1" w:rsidRPr="007C2133">
        <w:rPr>
          <w:rFonts w:ascii="Calibri" w:hAnsi="Calibri" w:cs="Calibri"/>
          <w:b/>
          <w:bCs/>
          <w:lang w:eastAsia="en-GB"/>
        </w:rPr>
        <w:t>CONGRATULATED</w:t>
      </w:r>
      <w:r w:rsidR="00D711E1" w:rsidRPr="00BA6386">
        <w:rPr>
          <w:rFonts w:ascii="Calibri" w:hAnsi="Calibri" w:cs="Calibri"/>
          <w:lang w:eastAsia="en-GB"/>
        </w:rPr>
        <w:t xml:space="preserve"> the assessors for tackling a challenging </w:t>
      </w:r>
      <w:r w:rsidR="00136F24" w:rsidRPr="00BA6386">
        <w:rPr>
          <w:rFonts w:ascii="Calibri" w:hAnsi="Calibri" w:cs="Calibri"/>
          <w:lang w:eastAsia="en-GB"/>
        </w:rPr>
        <w:t>species and</w:t>
      </w:r>
      <w:r w:rsidR="00D711E1" w:rsidRPr="00BA6386">
        <w:rPr>
          <w:rFonts w:ascii="Calibri" w:hAnsi="Calibri" w:cs="Calibri"/>
          <w:lang w:eastAsia="en-GB"/>
        </w:rPr>
        <w:t xml:space="preserve"> </w:t>
      </w:r>
      <w:r w:rsidR="00136F24" w:rsidRPr="00BA6386">
        <w:rPr>
          <w:rFonts w:ascii="Calibri" w:hAnsi="Calibri" w:cs="Calibri"/>
          <w:b/>
          <w:bCs/>
          <w:lang w:eastAsia="en-GB"/>
        </w:rPr>
        <w:t>NOTED</w:t>
      </w:r>
      <w:r w:rsidR="00136F24" w:rsidRPr="00BA6386">
        <w:rPr>
          <w:rFonts w:ascii="Calibri" w:hAnsi="Calibri" w:cs="Calibri"/>
          <w:lang w:eastAsia="en-GB"/>
        </w:rPr>
        <w:t xml:space="preserve"> </w:t>
      </w:r>
      <w:r w:rsidR="00D711E1" w:rsidRPr="00BA6386">
        <w:rPr>
          <w:rFonts w:ascii="Calibri" w:hAnsi="Calibri" w:cs="Calibri"/>
          <w:lang w:eastAsia="en-GB"/>
        </w:rPr>
        <w:t>the significance of attempting this assessment</w:t>
      </w:r>
      <w:r w:rsidR="00723456">
        <w:rPr>
          <w:rFonts w:ascii="Calibri" w:hAnsi="Calibri" w:cs="Calibri"/>
          <w:lang w:eastAsia="en-GB"/>
        </w:rPr>
        <w:t xml:space="preserve"> in a very data poor situation</w:t>
      </w:r>
      <w:r w:rsidR="00D711E1" w:rsidRPr="00BA6386">
        <w:rPr>
          <w:rFonts w:ascii="Calibri" w:hAnsi="Calibri" w:cs="Calibri"/>
          <w:lang w:eastAsia="en-GB"/>
        </w:rPr>
        <w:t xml:space="preserve">. </w:t>
      </w:r>
    </w:p>
    <w:p w14:paraId="4AF54653" w14:textId="6995BB21" w:rsidR="008D2007" w:rsidRPr="00BA6386" w:rsidRDefault="008D2007" w:rsidP="008D2007">
      <w:pPr>
        <w:pStyle w:val="IOTCReportNormalNumbered"/>
        <w:spacing w:after="120"/>
        <w:ind w:left="540" w:hanging="540"/>
        <w:rPr>
          <w:rFonts w:ascii="Calibri" w:hAnsi="Calibri" w:cs="Calibri"/>
          <w:lang w:eastAsia="en-GB"/>
        </w:rPr>
      </w:pPr>
      <w:r w:rsidRPr="00BA6386">
        <w:rPr>
          <w:rFonts w:ascii="Calibri" w:hAnsi="Calibri" w:cs="Calibri"/>
          <w:lang w:eastAsia="en-GB"/>
        </w:rPr>
        <w:t xml:space="preserve">The WPB </w:t>
      </w:r>
      <w:r w:rsidRPr="007C2133">
        <w:rPr>
          <w:rFonts w:ascii="Calibri" w:hAnsi="Calibri" w:cs="Calibri"/>
          <w:b/>
          <w:bCs/>
          <w:lang w:eastAsia="en-GB"/>
        </w:rPr>
        <w:t>DISCUSSED</w:t>
      </w:r>
      <w:r w:rsidRPr="00BA6386">
        <w:rPr>
          <w:rFonts w:ascii="Calibri" w:hAnsi="Calibri" w:cs="Calibri"/>
          <w:lang w:eastAsia="en-GB"/>
        </w:rPr>
        <w:t xml:space="preserve"> at length the reliance on length-frequency data as an input into the LBSPR method, and it was </w:t>
      </w:r>
      <w:r w:rsidRPr="00294735">
        <w:rPr>
          <w:rFonts w:ascii="Calibri" w:hAnsi="Calibri" w:cs="Calibri"/>
          <w:b/>
          <w:bCs/>
          <w:lang w:eastAsia="en-GB"/>
        </w:rPr>
        <w:t>NOTED</w:t>
      </w:r>
      <w:r w:rsidRPr="00BA6386">
        <w:rPr>
          <w:rFonts w:ascii="Calibri" w:hAnsi="Calibri" w:cs="Calibri"/>
          <w:lang w:eastAsia="en-GB"/>
        </w:rPr>
        <w:t xml:space="preserve"> that most of the length data were from longline fleets, when </w:t>
      </w:r>
      <w:r w:rsidR="00136F24" w:rsidRPr="00BA6386">
        <w:rPr>
          <w:rFonts w:ascii="Calibri" w:hAnsi="Calibri" w:cs="Calibri"/>
          <w:lang w:eastAsia="en-GB"/>
        </w:rPr>
        <w:t>most of</w:t>
      </w:r>
      <w:r w:rsidRPr="00BA6386">
        <w:rPr>
          <w:rFonts w:ascii="Calibri" w:hAnsi="Calibri" w:cs="Calibri"/>
          <w:lang w:eastAsia="en-GB"/>
        </w:rPr>
        <w:t xml:space="preserve"> the reported catch was from gillnet fisheries. These fisheries catch substantially different portions of the size distribution of sailfish (gillnet would have dome-shaped selectivity, while longline would have logistic / asymptotic selectivity).</w:t>
      </w:r>
    </w:p>
    <w:p w14:paraId="76BCFAFA" w14:textId="586C9FBF" w:rsidR="008D2007" w:rsidRPr="008D2007" w:rsidRDefault="008D2007" w:rsidP="008D2007">
      <w:pPr>
        <w:pStyle w:val="IOTCReportNormalNumbered"/>
        <w:spacing w:after="120"/>
        <w:ind w:left="540" w:hanging="540"/>
        <w:rPr>
          <w:rFonts w:ascii="Calibri" w:hAnsi="Calibri" w:cs="Calibri"/>
          <w:lang w:eastAsia="en-GB"/>
        </w:rPr>
      </w:pPr>
      <w:r w:rsidRPr="00BA6386">
        <w:rPr>
          <w:rFonts w:ascii="Calibri" w:hAnsi="Calibri" w:cs="Calibri"/>
          <w:lang w:eastAsia="en-GB"/>
        </w:rPr>
        <w:t xml:space="preserve">The WPB </w:t>
      </w:r>
      <w:r w:rsidRPr="007C2133">
        <w:rPr>
          <w:rFonts w:ascii="Calibri" w:hAnsi="Calibri" w:cs="Calibri"/>
          <w:b/>
          <w:bCs/>
          <w:lang w:eastAsia="en-GB"/>
        </w:rPr>
        <w:t>NOTED</w:t>
      </w:r>
      <w:r w:rsidRPr="00BA6386">
        <w:rPr>
          <w:rFonts w:ascii="Calibri" w:hAnsi="Calibri" w:cs="Calibri"/>
          <w:lang w:eastAsia="en-GB"/>
        </w:rPr>
        <w:t xml:space="preserve"> that, due to the issues in the point above relating to the representativeness of the length data, it was possible that the B/BMSY values are likely </w:t>
      </w:r>
      <w:r w:rsidR="00D95247">
        <w:rPr>
          <w:rFonts w:ascii="Calibri" w:hAnsi="Calibri" w:cs="Calibri"/>
          <w:lang w:eastAsia="en-GB"/>
        </w:rPr>
        <w:t xml:space="preserve">overly </w:t>
      </w:r>
      <w:r w:rsidRPr="00BA6386">
        <w:rPr>
          <w:rFonts w:ascii="Calibri" w:hAnsi="Calibri" w:cs="Calibri"/>
          <w:lang w:eastAsia="en-GB"/>
        </w:rPr>
        <w:t>optimistic.</w:t>
      </w:r>
    </w:p>
    <w:p w14:paraId="7E9BA12C" w14:textId="0941A9C3" w:rsidR="002A09E5" w:rsidRPr="00BA6386" w:rsidRDefault="00AE3118" w:rsidP="00BA6386">
      <w:pPr>
        <w:pStyle w:val="IOTCReportNormalNumbered"/>
        <w:spacing w:after="120"/>
        <w:ind w:left="540" w:hanging="540"/>
        <w:rPr>
          <w:rFonts w:ascii="Calibri" w:hAnsi="Calibri" w:cs="Calibri"/>
          <w:lang w:eastAsia="en-GB"/>
        </w:rPr>
      </w:pPr>
      <w:r w:rsidRPr="00BA6386">
        <w:rPr>
          <w:rFonts w:ascii="Calibri" w:hAnsi="Calibri" w:cs="Calibri"/>
          <w:lang w:eastAsia="en-GB"/>
        </w:rPr>
        <w:t xml:space="preserve">The WPB </w:t>
      </w:r>
      <w:r w:rsidRPr="007C2133">
        <w:rPr>
          <w:rFonts w:ascii="Calibri" w:hAnsi="Calibri" w:cs="Calibri"/>
          <w:b/>
          <w:bCs/>
          <w:lang w:eastAsia="en-GB"/>
        </w:rPr>
        <w:t>DISCUSSED</w:t>
      </w:r>
      <w:r w:rsidRPr="00BA6386">
        <w:rPr>
          <w:rFonts w:ascii="Calibri" w:hAnsi="Calibri" w:cs="Calibri"/>
          <w:lang w:eastAsia="en-GB"/>
        </w:rPr>
        <w:t xml:space="preserve"> at length</w:t>
      </w:r>
      <w:r w:rsidR="002A09E5" w:rsidRPr="00BA6386">
        <w:rPr>
          <w:rFonts w:ascii="Calibri" w:hAnsi="Calibri" w:cs="Calibri"/>
          <w:lang w:eastAsia="en-GB"/>
        </w:rPr>
        <w:t xml:space="preserve"> </w:t>
      </w:r>
      <w:r w:rsidR="00D95247">
        <w:rPr>
          <w:rFonts w:ascii="Calibri" w:hAnsi="Calibri" w:cs="Calibri"/>
          <w:lang w:eastAsia="en-GB"/>
        </w:rPr>
        <w:t xml:space="preserve">a number of </w:t>
      </w:r>
      <w:r w:rsidR="002A09E5" w:rsidRPr="00BA6386">
        <w:rPr>
          <w:rFonts w:ascii="Calibri" w:hAnsi="Calibri" w:cs="Calibri"/>
          <w:lang w:eastAsia="en-GB"/>
        </w:rPr>
        <w:t>major concerns with the assessment</w:t>
      </w:r>
      <w:r w:rsidR="00F97920">
        <w:rPr>
          <w:rFonts w:ascii="Calibri" w:hAnsi="Calibri" w:cs="Calibri"/>
          <w:lang w:eastAsia="en-GB"/>
        </w:rPr>
        <w:t xml:space="preserve"> and</w:t>
      </w:r>
      <w:r w:rsidRPr="00BA6386">
        <w:rPr>
          <w:rFonts w:ascii="Calibri" w:hAnsi="Calibri" w:cs="Calibri"/>
          <w:lang w:eastAsia="en-GB"/>
        </w:rPr>
        <w:t xml:space="preserve"> </w:t>
      </w:r>
      <w:r w:rsidR="00F97920" w:rsidRPr="00BA6386">
        <w:rPr>
          <w:rFonts w:ascii="Calibri" w:hAnsi="Calibri" w:cs="Calibri"/>
          <w:lang w:eastAsia="en-GB"/>
        </w:rPr>
        <w:t>it</w:t>
      </w:r>
      <w:r w:rsidRPr="00BA6386">
        <w:rPr>
          <w:rFonts w:ascii="Calibri" w:hAnsi="Calibri" w:cs="Calibri"/>
          <w:lang w:eastAsia="en-GB"/>
        </w:rPr>
        <w:t xml:space="preserve"> was </w:t>
      </w:r>
      <w:r w:rsidRPr="007766B1">
        <w:rPr>
          <w:rFonts w:ascii="Calibri" w:hAnsi="Calibri" w:cs="Calibri"/>
          <w:b/>
          <w:bCs/>
          <w:lang w:eastAsia="en-GB"/>
        </w:rPr>
        <w:t>AGREED</w:t>
      </w:r>
      <w:r w:rsidRPr="00BA6386">
        <w:rPr>
          <w:rFonts w:ascii="Calibri" w:hAnsi="Calibri" w:cs="Calibri"/>
          <w:lang w:eastAsia="en-GB"/>
        </w:rPr>
        <w:t xml:space="preserve"> that using the normalised SPR as an abundance index was un-</w:t>
      </w:r>
      <w:r w:rsidR="00136F24" w:rsidRPr="00BA6386">
        <w:rPr>
          <w:rFonts w:ascii="Calibri" w:hAnsi="Calibri" w:cs="Calibri"/>
          <w:lang w:eastAsia="en-GB"/>
        </w:rPr>
        <w:t>tested and</w:t>
      </w:r>
      <w:r w:rsidRPr="00BA6386">
        <w:rPr>
          <w:rFonts w:ascii="Calibri" w:hAnsi="Calibri" w:cs="Calibri"/>
          <w:lang w:eastAsia="en-GB"/>
        </w:rPr>
        <w:t xml:space="preserve"> not used elsewhere in fisheries stock assessments.</w:t>
      </w:r>
      <w:r w:rsidR="00D76A1D" w:rsidRPr="00BA6386">
        <w:rPr>
          <w:rFonts w:ascii="Calibri" w:hAnsi="Calibri" w:cs="Calibri"/>
          <w:lang w:eastAsia="en-GB"/>
        </w:rPr>
        <w:t xml:space="preserve"> The WPB </w:t>
      </w:r>
      <w:r w:rsidR="00D76A1D" w:rsidRPr="00294735">
        <w:rPr>
          <w:rFonts w:ascii="Calibri" w:hAnsi="Calibri" w:cs="Calibri"/>
          <w:b/>
          <w:bCs/>
          <w:lang w:eastAsia="en-GB"/>
        </w:rPr>
        <w:t>NOTED</w:t>
      </w:r>
      <w:r w:rsidR="00D76A1D" w:rsidRPr="00BA6386">
        <w:rPr>
          <w:rFonts w:ascii="Calibri" w:hAnsi="Calibri" w:cs="Calibri"/>
          <w:lang w:eastAsia="en-GB"/>
        </w:rPr>
        <w:t xml:space="preserve"> that</w:t>
      </w:r>
      <w:r w:rsidR="00F97920" w:rsidRPr="00BA6386">
        <w:rPr>
          <w:rFonts w:ascii="Calibri" w:hAnsi="Calibri" w:cs="Calibri"/>
          <w:lang w:eastAsia="en-GB"/>
        </w:rPr>
        <w:t xml:space="preserve"> significant</w:t>
      </w:r>
      <w:r w:rsidR="00D76A1D" w:rsidRPr="00BA6386">
        <w:rPr>
          <w:rFonts w:ascii="Calibri" w:hAnsi="Calibri" w:cs="Calibri"/>
          <w:lang w:eastAsia="en-GB"/>
        </w:rPr>
        <w:t xml:space="preserve"> biases may exist in the method if recruitment varies (as this method assumes constant recruitment through time).</w:t>
      </w:r>
    </w:p>
    <w:p w14:paraId="2797F6D4" w14:textId="11908E9E" w:rsidR="00B516B5" w:rsidRPr="00BA6386" w:rsidRDefault="00B516B5" w:rsidP="00BA6386">
      <w:pPr>
        <w:pStyle w:val="IOTCReportNormalNumbered"/>
        <w:spacing w:after="120"/>
        <w:ind w:left="540" w:hanging="540"/>
        <w:rPr>
          <w:rFonts w:ascii="Calibri" w:hAnsi="Calibri" w:cs="Calibri"/>
          <w:lang w:eastAsia="en-GB"/>
        </w:rPr>
      </w:pPr>
      <w:r w:rsidRPr="00BA6386">
        <w:rPr>
          <w:rFonts w:ascii="Calibri" w:hAnsi="Calibri" w:cs="Calibri"/>
          <w:lang w:eastAsia="en-GB"/>
        </w:rPr>
        <w:t xml:space="preserve">The WPB </w:t>
      </w:r>
      <w:r w:rsidRPr="007C2133">
        <w:rPr>
          <w:rFonts w:ascii="Calibri" w:hAnsi="Calibri" w:cs="Calibri"/>
          <w:b/>
          <w:bCs/>
          <w:lang w:eastAsia="en-GB"/>
        </w:rPr>
        <w:t>NOTED</w:t>
      </w:r>
      <w:r w:rsidRPr="00BA6386">
        <w:rPr>
          <w:rFonts w:ascii="Calibri" w:hAnsi="Calibri" w:cs="Calibri"/>
          <w:lang w:eastAsia="en-GB"/>
        </w:rPr>
        <w:t xml:space="preserve"> </w:t>
      </w:r>
      <w:r w:rsidR="005D5E8A">
        <w:rPr>
          <w:rFonts w:ascii="Calibri" w:hAnsi="Calibri" w:cs="Calibri"/>
          <w:lang w:eastAsia="en-GB"/>
        </w:rPr>
        <w:t xml:space="preserve">some </w:t>
      </w:r>
      <w:r w:rsidRPr="00BA6386">
        <w:rPr>
          <w:rFonts w:ascii="Calibri" w:hAnsi="Calibri" w:cs="Calibri"/>
          <w:lang w:eastAsia="en-GB"/>
        </w:rPr>
        <w:t>strong criticism of the use of SPR in this way</w:t>
      </w:r>
      <w:r w:rsidR="008D2007">
        <w:rPr>
          <w:rFonts w:ascii="Calibri" w:hAnsi="Calibri" w:cs="Calibri"/>
          <w:lang w:eastAsia="en-GB"/>
        </w:rPr>
        <w:t>:</w:t>
      </w:r>
      <w:r w:rsidRPr="00BA6386">
        <w:rPr>
          <w:rFonts w:ascii="Calibri" w:hAnsi="Calibri" w:cs="Calibri"/>
          <w:lang w:eastAsia="en-GB"/>
        </w:rPr>
        <w:t xml:space="preserve"> SPR assumes constant recruitment, which is not realistic for a stock that is subject to environmental variability and potentially fluctuating recruitment. Under variable recruitment, the resulting index is likely to be </w:t>
      </w:r>
      <w:r w:rsidR="00F97920" w:rsidRPr="00BA6386">
        <w:rPr>
          <w:rFonts w:ascii="Calibri" w:hAnsi="Calibri" w:cs="Calibri"/>
          <w:lang w:eastAsia="en-GB"/>
        </w:rPr>
        <w:t>biased and</w:t>
      </w:r>
      <w:r w:rsidRPr="00BA6386">
        <w:rPr>
          <w:rFonts w:ascii="Calibri" w:hAnsi="Calibri" w:cs="Calibri"/>
          <w:lang w:eastAsia="en-GB"/>
        </w:rPr>
        <w:t xml:space="preserve"> could be diametrically opposed to the one currently used in the JABBA model.</w:t>
      </w:r>
      <w:r w:rsidR="00D80F11" w:rsidRPr="00BA6386">
        <w:rPr>
          <w:rFonts w:ascii="Calibri" w:hAnsi="Calibri" w:cs="Calibri"/>
          <w:lang w:eastAsia="en-GB"/>
        </w:rPr>
        <w:t xml:space="preserve"> This criticism also included a suggestion to pause the use of this method until simulation studies have been conducted to test its </w:t>
      </w:r>
      <w:r w:rsidR="00A7527C">
        <w:rPr>
          <w:rFonts w:ascii="Calibri" w:hAnsi="Calibri" w:cs="Calibri"/>
          <w:lang w:eastAsia="en-GB"/>
        </w:rPr>
        <w:t>robustness</w:t>
      </w:r>
      <w:r w:rsidR="00D80F11" w:rsidRPr="00BA6386">
        <w:rPr>
          <w:rFonts w:ascii="Calibri" w:hAnsi="Calibri" w:cs="Calibri"/>
          <w:lang w:eastAsia="en-GB"/>
        </w:rPr>
        <w:t xml:space="preserve"> to a variety of likely scenarios in the IO.</w:t>
      </w:r>
    </w:p>
    <w:p w14:paraId="4D35EAD7" w14:textId="0BD56EA2" w:rsidR="00D80F11" w:rsidRPr="00BA6386" w:rsidRDefault="00D80F11" w:rsidP="00BA6386">
      <w:pPr>
        <w:pStyle w:val="IOTCReportNormalNumbered"/>
        <w:spacing w:after="120"/>
        <w:ind w:left="540" w:hanging="540"/>
        <w:rPr>
          <w:rFonts w:ascii="Calibri" w:hAnsi="Calibri" w:cs="Calibri"/>
          <w:lang w:eastAsia="en-GB"/>
        </w:rPr>
      </w:pPr>
      <w:r w:rsidRPr="00BA6386">
        <w:rPr>
          <w:rFonts w:ascii="Calibri" w:hAnsi="Calibri" w:cs="Calibri"/>
          <w:lang w:eastAsia="en-GB"/>
        </w:rPr>
        <w:t xml:space="preserve">The WPB </w:t>
      </w:r>
      <w:r w:rsidRPr="007C2133">
        <w:rPr>
          <w:rFonts w:ascii="Calibri" w:hAnsi="Calibri" w:cs="Calibri"/>
          <w:b/>
          <w:bCs/>
          <w:lang w:eastAsia="en-GB"/>
        </w:rPr>
        <w:t>NOTED</w:t>
      </w:r>
      <w:r w:rsidRPr="00BA6386">
        <w:rPr>
          <w:rFonts w:ascii="Calibri" w:hAnsi="Calibri" w:cs="Calibri"/>
          <w:lang w:eastAsia="en-GB"/>
        </w:rPr>
        <w:t>, however there were differing opinions over whether the assessment could be used for management advice, with some participants noting that it was the current best available science on the stock, and did represent an improvement on catch-only based methods.</w:t>
      </w:r>
    </w:p>
    <w:p w14:paraId="749F5B34" w14:textId="764DDA89" w:rsidR="001033E0" w:rsidRDefault="001033E0" w:rsidP="007C2133">
      <w:pPr>
        <w:pStyle w:val="IOTCReportNormalNumbered"/>
        <w:spacing w:after="120"/>
        <w:ind w:left="540" w:hanging="540"/>
      </w:pPr>
      <w:r w:rsidRPr="007C2133">
        <w:rPr>
          <w:rFonts w:ascii="Calibri" w:hAnsi="Calibri" w:cs="Calibri"/>
          <w:lang w:eastAsia="en-GB"/>
        </w:rPr>
        <w:t xml:space="preserve">The WPB </w:t>
      </w:r>
      <w:r w:rsidRPr="007C2133">
        <w:rPr>
          <w:rFonts w:ascii="Calibri" w:hAnsi="Calibri" w:cs="Calibri"/>
          <w:b/>
          <w:bCs/>
          <w:lang w:eastAsia="en-GB"/>
        </w:rPr>
        <w:t>NOTED</w:t>
      </w:r>
      <w:r w:rsidRPr="007C2133">
        <w:rPr>
          <w:rFonts w:ascii="Calibri" w:hAnsi="Calibri" w:cs="Calibri"/>
          <w:lang w:eastAsia="en-GB"/>
        </w:rPr>
        <w:t xml:space="preserve"> other improvements for the next iteration of this model, in particular</w:t>
      </w:r>
      <w:r w:rsidR="00A35F47" w:rsidRPr="007C2133">
        <w:rPr>
          <w:rFonts w:ascii="Calibri" w:hAnsi="Calibri" w:cs="Calibri"/>
          <w:lang w:eastAsia="en-GB"/>
        </w:rPr>
        <w:t>:</w:t>
      </w:r>
    </w:p>
    <w:p w14:paraId="7453ED94" w14:textId="0007CE7C" w:rsidR="00A35F47" w:rsidRPr="00E01D60" w:rsidRDefault="00A35F47" w:rsidP="00A35F47">
      <w:pPr>
        <w:pStyle w:val="IOTCReportNormalNumbered"/>
        <w:numPr>
          <w:ilvl w:val="1"/>
          <w:numId w:val="1"/>
        </w:numPr>
        <w:rPr>
          <w:rFonts w:ascii="Calibri" w:hAnsi="Calibri" w:cs="Calibri"/>
        </w:rPr>
      </w:pPr>
      <w:r w:rsidRPr="00E01D60">
        <w:rPr>
          <w:rFonts w:ascii="Calibri" w:hAnsi="Calibri" w:cs="Calibri"/>
        </w:rPr>
        <w:t xml:space="preserve">Exploration of alternative priors (e.g. less informative prior for </w:t>
      </w:r>
      <w:r w:rsidRPr="00E01D60">
        <w:rPr>
          <w:rFonts w:ascii="Calibri" w:hAnsi="Calibri" w:cs="Calibri"/>
          <w:i/>
          <w:iCs/>
        </w:rPr>
        <w:t>k</w:t>
      </w:r>
      <w:r w:rsidRPr="00E01D60">
        <w:rPr>
          <w:rFonts w:ascii="Calibri" w:hAnsi="Calibri" w:cs="Calibri"/>
        </w:rPr>
        <w:t xml:space="preserve"> (carrying capacity)</w:t>
      </w:r>
    </w:p>
    <w:p w14:paraId="15538D22" w14:textId="4139C335" w:rsidR="00A35F47" w:rsidRPr="00E01D60" w:rsidRDefault="00A35F47" w:rsidP="00A35F47">
      <w:pPr>
        <w:pStyle w:val="IOTCReportNormalNumbered"/>
        <w:numPr>
          <w:ilvl w:val="1"/>
          <w:numId w:val="1"/>
        </w:numPr>
        <w:rPr>
          <w:rFonts w:ascii="Calibri" w:hAnsi="Calibri" w:cs="Calibri"/>
        </w:rPr>
      </w:pPr>
      <w:r w:rsidRPr="00E01D60">
        <w:rPr>
          <w:rFonts w:ascii="Calibri" w:hAnsi="Calibri" w:cs="Calibri"/>
        </w:rPr>
        <w:t xml:space="preserve">Consider </w:t>
      </w:r>
      <w:r w:rsidR="00C5588F">
        <w:rPr>
          <w:rFonts w:ascii="Calibri" w:hAnsi="Calibri" w:cs="Calibri"/>
        </w:rPr>
        <w:t>weighting</w:t>
      </w:r>
      <w:r w:rsidRPr="00E01D60">
        <w:rPr>
          <w:rFonts w:ascii="Calibri" w:hAnsi="Calibri" w:cs="Calibri"/>
        </w:rPr>
        <w:t xml:space="preserve"> the length data by the catch to better reflect fishery removals</w:t>
      </w:r>
    </w:p>
    <w:p w14:paraId="126450AB" w14:textId="39879E01" w:rsidR="00287AC2" w:rsidRPr="00CB1CA5" w:rsidRDefault="00287AC2" w:rsidP="00CB1CA5">
      <w:pPr>
        <w:pStyle w:val="IOTCReportNormalNumbered"/>
        <w:numPr>
          <w:ilvl w:val="1"/>
          <w:numId w:val="1"/>
        </w:numPr>
        <w:rPr>
          <w:rFonts w:ascii="Calibri" w:hAnsi="Calibri" w:cs="Calibri"/>
        </w:rPr>
      </w:pPr>
      <w:r w:rsidRPr="00E01D60">
        <w:rPr>
          <w:rFonts w:ascii="Calibri" w:hAnsi="Calibri" w:cs="Calibri"/>
        </w:rPr>
        <w:t>Re-examine reliance on longline data, and investigate the incorporation of gillnet length-frequency data, which the Secretariat does hold</w:t>
      </w:r>
    </w:p>
    <w:p w14:paraId="1EF9B3A5" w14:textId="5F511693" w:rsidR="00CA3C76" w:rsidRPr="00CA3C76" w:rsidRDefault="00CA3C76" w:rsidP="00CA3C76">
      <w:pPr>
        <w:pStyle w:val="IOTCReportNormalNumbered"/>
        <w:spacing w:after="120"/>
        <w:ind w:left="540" w:hanging="540"/>
        <w:rPr>
          <w:rFonts w:ascii="Calibri" w:hAnsi="Calibri" w:cs="Calibri"/>
          <w:lang w:eastAsia="en-GB"/>
        </w:rPr>
      </w:pPr>
      <w:r w:rsidRPr="00CA3C76">
        <w:rPr>
          <w:rFonts w:ascii="Calibri" w:hAnsi="Calibri" w:cs="Calibri"/>
          <w:lang w:eastAsia="en-GB"/>
        </w:rPr>
        <w:t xml:space="preserve">The WPB </w:t>
      </w:r>
      <w:r w:rsidRPr="003665F1">
        <w:rPr>
          <w:rFonts w:ascii="Calibri" w:hAnsi="Calibri" w:cs="Calibri"/>
          <w:b/>
          <w:bCs/>
          <w:lang w:eastAsia="en-GB"/>
        </w:rPr>
        <w:t>AGREED</w:t>
      </w:r>
      <w:r w:rsidRPr="00CA3C76">
        <w:rPr>
          <w:rFonts w:ascii="Calibri" w:hAnsi="Calibri" w:cs="Calibri"/>
          <w:lang w:eastAsia="en-GB"/>
        </w:rPr>
        <w:t xml:space="preserve"> that the stock status for SFA would remain unchanged from the previous assessment in 2022. This was based on a weight-of-evidence approach, using both the results of the 2025 JABBA assessment (stock is not overfished and not subject to overfishing, with an estimated likelihood of 92</w:t>
      </w:r>
      <w:r w:rsidR="006E3616">
        <w:rPr>
          <w:rFonts w:ascii="Calibri" w:hAnsi="Calibri" w:cs="Calibri"/>
          <w:lang w:eastAsia="en-GB"/>
        </w:rPr>
        <w:t>.3</w:t>
      </w:r>
      <w:r w:rsidRPr="00CA3C76">
        <w:rPr>
          <w:rFonts w:ascii="Calibri" w:hAnsi="Calibri" w:cs="Calibri"/>
          <w:lang w:eastAsia="en-GB"/>
        </w:rPr>
        <w:t xml:space="preserve"> %), and the results of the LBSPR which indicates that the SPR has declined to 45.5 % since 1970.</w:t>
      </w:r>
    </w:p>
    <w:p w14:paraId="6C6D7277" w14:textId="1EC6AAF3" w:rsidR="00CA3C76" w:rsidRPr="00CA3C76" w:rsidRDefault="00CA3C76" w:rsidP="00CA3C76">
      <w:pPr>
        <w:pStyle w:val="IOTCReportNormalNumbered"/>
        <w:spacing w:after="120"/>
        <w:ind w:left="540" w:hanging="540"/>
        <w:rPr>
          <w:rFonts w:ascii="Calibri" w:hAnsi="Calibri" w:cs="Calibri"/>
          <w:lang w:eastAsia="en-GB"/>
        </w:rPr>
      </w:pPr>
      <w:r w:rsidRPr="00CA3C76">
        <w:rPr>
          <w:rFonts w:ascii="Calibri" w:hAnsi="Calibri" w:cs="Calibri"/>
          <w:lang w:eastAsia="en-GB"/>
        </w:rPr>
        <w:t xml:space="preserve">The WPB </w:t>
      </w:r>
      <w:r w:rsidRPr="003665F1">
        <w:rPr>
          <w:rFonts w:ascii="Calibri" w:hAnsi="Calibri" w:cs="Calibri"/>
          <w:b/>
          <w:bCs/>
          <w:lang w:eastAsia="en-GB"/>
        </w:rPr>
        <w:t>AGREED</w:t>
      </w:r>
      <w:r w:rsidRPr="00CA3C76">
        <w:rPr>
          <w:rFonts w:ascii="Calibri" w:hAnsi="Calibri" w:cs="Calibri"/>
          <w:lang w:eastAsia="en-GB"/>
        </w:rPr>
        <w:t xml:space="preserve"> that there was no evidence to suggest that the stock status had moved to a different quadrant of the </w:t>
      </w:r>
      <w:r w:rsidR="006E3616">
        <w:rPr>
          <w:rFonts w:ascii="Calibri" w:hAnsi="Calibri" w:cs="Calibri"/>
          <w:lang w:eastAsia="en-GB"/>
        </w:rPr>
        <w:t>Kobe</w:t>
      </w:r>
      <w:r w:rsidRPr="00CA3C76">
        <w:rPr>
          <w:rFonts w:ascii="Calibri" w:hAnsi="Calibri" w:cs="Calibri"/>
          <w:lang w:eastAsia="en-GB"/>
        </w:rPr>
        <w:t xml:space="preserve"> plot but </w:t>
      </w:r>
      <w:r w:rsidRPr="003665F1">
        <w:rPr>
          <w:rFonts w:ascii="Calibri" w:hAnsi="Calibri" w:cs="Calibri"/>
          <w:b/>
          <w:bCs/>
          <w:lang w:eastAsia="en-GB"/>
        </w:rPr>
        <w:t>NOTED</w:t>
      </w:r>
      <w:r w:rsidRPr="00CA3C76">
        <w:rPr>
          <w:rFonts w:ascii="Calibri" w:hAnsi="Calibri" w:cs="Calibri"/>
          <w:lang w:eastAsia="en-GB"/>
        </w:rPr>
        <w:t xml:space="preserve"> that there was concern regarding the consistently high level of catches, that have been above or close to the estimated MSY for several years.</w:t>
      </w:r>
    </w:p>
    <w:p w14:paraId="3DCD41E8" w14:textId="77777777" w:rsidR="00CA3C76" w:rsidRPr="00CA3C76" w:rsidRDefault="00CA3C76" w:rsidP="00CA3C76">
      <w:pPr>
        <w:pStyle w:val="IOTCReportNormalNumbered"/>
        <w:spacing w:after="120"/>
        <w:ind w:left="540" w:hanging="540"/>
        <w:rPr>
          <w:rFonts w:ascii="Calibri" w:hAnsi="Calibri" w:cs="Calibri"/>
          <w:lang w:eastAsia="en-GB"/>
        </w:rPr>
      </w:pPr>
      <w:r w:rsidRPr="00CA3C76">
        <w:rPr>
          <w:rFonts w:ascii="Calibri" w:hAnsi="Calibri" w:cs="Calibri"/>
          <w:lang w:eastAsia="en-GB"/>
        </w:rPr>
        <w:t xml:space="preserve">The WPB </w:t>
      </w:r>
      <w:r w:rsidRPr="003665F1">
        <w:rPr>
          <w:rFonts w:ascii="Calibri" w:hAnsi="Calibri" w:cs="Calibri"/>
          <w:b/>
          <w:bCs/>
          <w:lang w:eastAsia="en-GB"/>
        </w:rPr>
        <w:t>NOTED</w:t>
      </w:r>
      <w:r w:rsidRPr="00CA3C76">
        <w:rPr>
          <w:rFonts w:ascii="Calibri" w:hAnsi="Calibri" w:cs="Calibri"/>
          <w:lang w:eastAsia="en-GB"/>
        </w:rPr>
        <w:t xml:space="preserve"> that the methods used in the 2025 assessment had been used in the 2022 assessment, but that there were substantial concerns regarding the utilisation of the annual trend in SPR as an abundance index within the JABBA model. These issues were identified in 2022, and were presented to the SC.</w:t>
      </w:r>
    </w:p>
    <w:p w14:paraId="066632BB" w14:textId="77777777" w:rsidR="00CA3C76" w:rsidRPr="00CA3C76" w:rsidRDefault="00CA3C76" w:rsidP="00CA3C76">
      <w:pPr>
        <w:pStyle w:val="IOTCReportNormalNumbered"/>
        <w:spacing w:after="120"/>
        <w:ind w:left="540" w:hanging="540"/>
        <w:rPr>
          <w:rFonts w:ascii="Calibri" w:hAnsi="Calibri" w:cs="Calibri"/>
          <w:lang w:eastAsia="en-GB"/>
        </w:rPr>
      </w:pPr>
      <w:r w:rsidRPr="00CA3C76">
        <w:rPr>
          <w:rFonts w:ascii="Calibri" w:hAnsi="Calibri" w:cs="Calibri"/>
          <w:lang w:eastAsia="en-GB"/>
        </w:rPr>
        <w:t xml:space="preserve">In 2022, “The SC </w:t>
      </w:r>
      <w:r w:rsidRPr="003665F1">
        <w:rPr>
          <w:rFonts w:ascii="Calibri" w:hAnsi="Calibri" w:cs="Calibri"/>
          <w:b/>
          <w:bCs/>
          <w:lang w:eastAsia="en-GB"/>
        </w:rPr>
        <w:t>NOTED</w:t>
      </w:r>
      <w:r w:rsidRPr="00CA3C76">
        <w:rPr>
          <w:rFonts w:ascii="Calibri" w:hAnsi="Calibri" w:cs="Calibri"/>
          <w:lang w:eastAsia="en-GB"/>
        </w:rPr>
        <w:t xml:space="preserve"> that the new assessment used the Just Another Red-List Assessment(JARA) model to link the LB-SPR and the JABBA model. It was NOTED that the JARA model was incorporated as an additional modelling step that acts as a smoother over the time series obtained from the LB-SPR and normalizes the time series with respect to the initial state, in order to calculate an estimate of depletion. However, the inclusion of </w:t>
      </w:r>
      <w:r w:rsidRPr="00CA3C76">
        <w:rPr>
          <w:rFonts w:ascii="Calibri" w:hAnsi="Calibri" w:cs="Calibri"/>
          <w:lang w:eastAsia="en-GB"/>
        </w:rPr>
        <w:lastRenderedPageBreak/>
        <w:t>the “JARA” model has a negligible influence on the outcomes of the JABBA assessment. The SC also AGREED that the methodology of converting the length data into an index of relative abundance, requires further review.”</w:t>
      </w:r>
    </w:p>
    <w:p w14:paraId="19B4F46C" w14:textId="0CAB36EC" w:rsidR="00CA3C76" w:rsidRPr="00CA3C76" w:rsidRDefault="00CA3C76" w:rsidP="00CA3C76">
      <w:pPr>
        <w:pStyle w:val="IOTCReportNormalNumbered"/>
        <w:spacing w:after="120"/>
        <w:ind w:left="540" w:hanging="540"/>
        <w:rPr>
          <w:rFonts w:ascii="Calibri" w:hAnsi="Calibri" w:cs="Calibri"/>
          <w:lang w:eastAsia="en-GB"/>
        </w:rPr>
      </w:pPr>
      <w:r w:rsidRPr="003665F1">
        <w:rPr>
          <w:rFonts w:ascii="Calibri" w:hAnsi="Calibri" w:cs="Calibri"/>
          <w:b/>
          <w:bCs/>
          <w:lang w:eastAsia="en-GB"/>
        </w:rPr>
        <w:t>NOTING</w:t>
      </w:r>
      <w:r w:rsidRPr="00CA3C76">
        <w:rPr>
          <w:rFonts w:ascii="Calibri" w:hAnsi="Calibri" w:cs="Calibri"/>
          <w:lang w:eastAsia="en-GB"/>
        </w:rPr>
        <w:t xml:space="preserve"> </w:t>
      </w:r>
      <w:r w:rsidR="000E71FD" w:rsidRPr="00CA3C76">
        <w:rPr>
          <w:rFonts w:ascii="Calibri" w:hAnsi="Calibri" w:cs="Calibri"/>
          <w:lang w:eastAsia="en-GB"/>
        </w:rPr>
        <w:t xml:space="preserve">concern from the WPB </w:t>
      </w:r>
      <w:r w:rsidRPr="00CA3C76">
        <w:rPr>
          <w:rFonts w:ascii="Calibri" w:hAnsi="Calibri" w:cs="Calibri"/>
          <w:lang w:eastAsia="en-GB"/>
        </w:rPr>
        <w:t xml:space="preserve">that the methodology was not reviewed prior to the 2025 assessment, the WPB </w:t>
      </w:r>
      <w:r w:rsidRPr="003665F1">
        <w:rPr>
          <w:rFonts w:ascii="Calibri" w:hAnsi="Calibri" w:cs="Calibri"/>
          <w:b/>
          <w:bCs/>
          <w:lang w:eastAsia="en-GB"/>
        </w:rPr>
        <w:t>RECOMMENDED</w:t>
      </w:r>
      <w:r w:rsidRPr="00CA3C76">
        <w:rPr>
          <w:rFonts w:ascii="Calibri" w:hAnsi="Calibri" w:cs="Calibri"/>
          <w:lang w:eastAsia="en-GB"/>
        </w:rPr>
        <w:t xml:space="preserve"> that simulation testing be carried out prior to the next WPB in 2026 to understand whether the SPR index can be used as an abundance index in the JABBA model.</w:t>
      </w:r>
    </w:p>
    <w:p w14:paraId="7A7C4F2F" w14:textId="34DDF5B3" w:rsidR="006538D6" w:rsidRDefault="00CA3C76" w:rsidP="00451DDE">
      <w:pPr>
        <w:pStyle w:val="IOTCReportNormalNumbered"/>
        <w:spacing w:after="120"/>
        <w:ind w:left="540" w:hanging="540"/>
        <w:rPr>
          <w:rFonts w:ascii="Calibri" w:hAnsi="Calibri" w:cs="Calibri"/>
          <w:lang w:eastAsia="en-GB"/>
        </w:rPr>
      </w:pPr>
      <w:r w:rsidRPr="00CA3C76">
        <w:rPr>
          <w:rFonts w:ascii="Calibri" w:hAnsi="Calibri" w:cs="Calibri"/>
          <w:lang w:eastAsia="en-GB"/>
        </w:rPr>
        <w:t xml:space="preserve">The WPB </w:t>
      </w:r>
      <w:r w:rsidRPr="003665F1">
        <w:rPr>
          <w:rFonts w:ascii="Calibri" w:hAnsi="Calibri" w:cs="Calibri"/>
          <w:b/>
          <w:bCs/>
          <w:lang w:eastAsia="en-GB"/>
        </w:rPr>
        <w:t>RECOMMENDED</w:t>
      </w:r>
      <w:r w:rsidRPr="00CA3C76">
        <w:rPr>
          <w:rFonts w:ascii="Calibri" w:hAnsi="Calibri" w:cs="Calibri"/>
          <w:lang w:eastAsia="en-GB"/>
        </w:rPr>
        <w:t xml:space="preserve"> that the stock assessment be revisited at the next WPB after simulation testing has been completed, and an updated stock status be presented to the SC in 2026.</w:t>
      </w:r>
    </w:p>
    <w:p w14:paraId="034BD8C7" w14:textId="77777777" w:rsidR="001F5FFC" w:rsidRPr="00451DDE" w:rsidRDefault="001F5FFC" w:rsidP="001F5FFC">
      <w:pPr>
        <w:pStyle w:val="IOTCReportNormalNumbered"/>
        <w:numPr>
          <w:ilvl w:val="0"/>
          <w:numId w:val="0"/>
        </w:numPr>
        <w:spacing w:after="120"/>
        <w:ind w:left="540"/>
        <w:rPr>
          <w:rFonts w:ascii="Calibri" w:hAnsi="Calibri" w:cs="Calibri"/>
          <w:lang w:eastAsia="en-GB"/>
        </w:rPr>
      </w:pPr>
    </w:p>
    <w:p w14:paraId="0DF6B823" w14:textId="39ACDB51" w:rsidR="006538D6" w:rsidRDefault="006538D6" w:rsidP="006538D6">
      <w:pPr>
        <w:pStyle w:val="IOTCsubheading2"/>
        <w:ind w:left="1134" w:hanging="654"/>
        <w:rPr>
          <w:rFonts w:ascii="Calibri" w:hAnsi="Calibri" w:cs="Calibri"/>
        </w:rPr>
      </w:pPr>
      <w:r w:rsidRPr="00AA5D21">
        <w:rPr>
          <w:rFonts w:ascii="Calibri" w:hAnsi="Calibri" w:cs="Calibri"/>
        </w:rPr>
        <w:t xml:space="preserve">Development of management advice for </w:t>
      </w:r>
      <w:r w:rsidR="00527B58">
        <w:rPr>
          <w:rFonts w:ascii="Calibri" w:hAnsi="Calibri" w:cs="Calibri"/>
        </w:rPr>
        <w:t>blue marlin</w:t>
      </w:r>
      <w:r w:rsidRPr="00AA5D21">
        <w:rPr>
          <w:rFonts w:ascii="Calibri" w:hAnsi="Calibri" w:cs="Calibri"/>
        </w:rPr>
        <w:t xml:space="preserve"> and </w:t>
      </w:r>
      <w:r w:rsidR="005B5FF3">
        <w:rPr>
          <w:rFonts w:ascii="Calibri" w:hAnsi="Calibri" w:cs="Calibri"/>
        </w:rPr>
        <w:t xml:space="preserve">Indo Pacific sailfish </w:t>
      </w:r>
      <w:r w:rsidRPr="00AA5D21">
        <w:rPr>
          <w:rFonts w:ascii="Calibri" w:hAnsi="Calibri" w:cs="Calibri"/>
        </w:rPr>
        <w:t>and update of species Executive Summaries for the consideration of the Scientific Committee, including discussion on current catch limits as per standing IOTC Resolutions</w:t>
      </w:r>
    </w:p>
    <w:p w14:paraId="062273C9" w14:textId="1991D209" w:rsidR="009B26C1" w:rsidRPr="009B26C1" w:rsidRDefault="005B5FF3" w:rsidP="009B26C1">
      <w:pPr>
        <w:pStyle w:val="IOTCReportNormalNumbered"/>
        <w:numPr>
          <w:ilvl w:val="0"/>
          <w:numId w:val="0"/>
        </w:numPr>
        <w:ind w:left="540"/>
        <w:rPr>
          <w:rFonts w:ascii="Calibri" w:hAnsi="Calibri" w:cs="Calibri"/>
          <w:b/>
          <w:bCs/>
          <w:i/>
          <w:iCs/>
          <w:lang w:eastAsia="en-GB"/>
        </w:rPr>
      </w:pPr>
      <w:r>
        <w:rPr>
          <w:rFonts w:ascii="Calibri" w:hAnsi="Calibri" w:cs="Calibri"/>
          <w:b/>
          <w:bCs/>
          <w:i/>
          <w:iCs/>
          <w:lang w:eastAsia="en-GB"/>
        </w:rPr>
        <w:t>Blue</w:t>
      </w:r>
      <w:r w:rsidR="00671AB1" w:rsidRPr="00F97FBE">
        <w:rPr>
          <w:rFonts w:ascii="Calibri" w:hAnsi="Calibri" w:cs="Calibri"/>
          <w:b/>
          <w:bCs/>
          <w:i/>
          <w:iCs/>
          <w:lang w:eastAsia="en-GB"/>
        </w:rPr>
        <w:t xml:space="preserve"> marlin</w:t>
      </w:r>
    </w:p>
    <w:p w14:paraId="476BB8A8" w14:textId="194B0EE9" w:rsidR="00344A2F" w:rsidRPr="00344A2F" w:rsidRDefault="009B26C1" w:rsidP="00344A2F">
      <w:pPr>
        <w:pStyle w:val="IOTCReportNormalNumbered"/>
        <w:ind w:left="540" w:hanging="540"/>
        <w:rPr>
          <w:rFonts w:ascii="Calibri" w:hAnsi="Calibri" w:cs="Calibri"/>
          <w:lang w:eastAsia="en-GB"/>
        </w:rPr>
      </w:pPr>
      <w:r w:rsidRPr="3F1DEBE1">
        <w:rPr>
          <w:rFonts w:ascii="Calibri" w:hAnsi="Calibri" w:cs="Calibri"/>
          <w:lang w:eastAsia="en-GB"/>
        </w:rPr>
        <w:t xml:space="preserve">The WPB </w:t>
      </w:r>
      <w:r w:rsidRPr="3F1DEBE1">
        <w:rPr>
          <w:rFonts w:ascii="Calibri" w:hAnsi="Calibri" w:cs="Calibri"/>
          <w:b/>
          <w:bCs/>
          <w:lang w:eastAsia="en-GB"/>
        </w:rPr>
        <w:t>ADOPTED</w:t>
      </w:r>
      <w:r w:rsidRPr="3F1DEBE1">
        <w:rPr>
          <w:rFonts w:ascii="Calibri" w:hAnsi="Calibri" w:cs="Calibri"/>
          <w:lang w:eastAsia="en-GB"/>
        </w:rPr>
        <w:t xml:space="preserve"> the management advice developed for </w:t>
      </w:r>
      <w:r w:rsidR="00475FA5">
        <w:rPr>
          <w:rFonts w:ascii="Calibri" w:hAnsi="Calibri" w:cs="Calibri"/>
          <w:lang w:eastAsia="en-GB"/>
        </w:rPr>
        <w:t>blue</w:t>
      </w:r>
      <w:r w:rsidRPr="3F1DEBE1">
        <w:rPr>
          <w:rFonts w:ascii="Calibri" w:hAnsi="Calibri" w:cs="Calibri"/>
          <w:lang w:eastAsia="en-GB"/>
        </w:rPr>
        <w:t xml:space="preserve"> marlin, as provided in the draft status summary and </w:t>
      </w:r>
      <w:r w:rsidRPr="3F1DEBE1">
        <w:rPr>
          <w:rFonts w:ascii="Calibri" w:hAnsi="Calibri" w:cs="Calibri"/>
          <w:b/>
          <w:bCs/>
          <w:lang w:eastAsia="en-GB"/>
        </w:rPr>
        <w:t>REQUESTED</w:t>
      </w:r>
      <w:r w:rsidRPr="3F1DEBE1">
        <w:rPr>
          <w:rFonts w:ascii="Calibri" w:hAnsi="Calibri" w:cs="Calibri"/>
          <w:lang w:eastAsia="en-GB"/>
        </w:rPr>
        <w:t xml:space="preserve"> that the IOTC Secretariat update the draft stock status summary with the latest 20</w:t>
      </w:r>
      <w:r w:rsidR="00CC35EF">
        <w:rPr>
          <w:rFonts w:ascii="Calibri" w:hAnsi="Calibri" w:cs="Calibri"/>
          <w:lang w:eastAsia="en-GB"/>
        </w:rPr>
        <w:t>2</w:t>
      </w:r>
      <w:r w:rsidR="005F5C86">
        <w:rPr>
          <w:rFonts w:ascii="Calibri" w:hAnsi="Calibri" w:cs="Calibri"/>
          <w:lang w:eastAsia="en-GB"/>
        </w:rPr>
        <w:t>5</w:t>
      </w:r>
      <w:r w:rsidRPr="3F1DEBE1">
        <w:rPr>
          <w:rFonts w:ascii="Calibri" w:hAnsi="Calibri" w:cs="Calibri"/>
          <w:lang w:eastAsia="en-GB"/>
        </w:rPr>
        <w:t xml:space="preserve"> interaction data and the JABBA to be provided to the SC as part of the draft Executive Summary, for its consideration</w:t>
      </w:r>
      <w:r w:rsidR="00671AB1" w:rsidRPr="3F1DEBE1">
        <w:rPr>
          <w:rFonts w:ascii="Calibri" w:hAnsi="Calibri" w:cs="Calibri"/>
          <w:lang w:eastAsia="en-GB"/>
        </w:rPr>
        <w:t>.</w:t>
      </w:r>
    </w:p>
    <w:p w14:paraId="39392651" w14:textId="1D718C65" w:rsidR="00671AB1" w:rsidRPr="00D03EC7" w:rsidRDefault="005B5FF3" w:rsidP="00E01D60">
      <w:pPr>
        <w:numPr>
          <w:ilvl w:val="1"/>
          <w:numId w:val="1"/>
        </w:numPr>
        <w:jc w:val="both"/>
        <w:rPr>
          <w:rFonts w:ascii="Calibri" w:eastAsia="MS Mincho" w:hAnsi="Calibri" w:cs="Calibri"/>
          <w:snapToGrid w:val="0"/>
          <w:lang w:eastAsia="en-US"/>
        </w:rPr>
      </w:pPr>
      <w:r w:rsidRPr="001F5FFC">
        <w:rPr>
          <w:rFonts w:ascii="Calibri" w:hAnsi="Calibri" w:cs="Calibri"/>
          <w:i/>
          <w:iCs/>
          <w:lang w:eastAsia="en-GB"/>
        </w:rPr>
        <w:t>Blue</w:t>
      </w:r>
      <w:r w:rsidRPr="00D03EC7">
        <w:rPr>
          <w:rFonts w:ascii="Calibri" w:hAnsi="Calibri" w:cs="Calibri"/>
          <w:b/>
          <w:bCs/>
          <w:i/>
          <w:iCs/>
          <w:lang w:eastAsia="en-GB"/>
        </w:rPr>
        <w:t xml:space="preserve"> </w:t>
      </w:r>
      <w:r w:rsidR="00671AB1" w:rsidRPr="00D03EC7">
        <w:rPr>
          <w:rFonts w:ascii="Calibri" w:eastAsia="MS Mincho" w:hAnsi="Calibri" w:cs="Calibri"/>
          <w:snapToGrid w:val="0"/>
          <w:lang w:eastAsia="en-US"/>
        </w:rPr>
        <w:t>marlin (</w:t>
      </w:r>
      <w:r w:rsidR="00344A2F" w:rsidRPr="00D03EC7">
        <w:rPr>
          <w:rFonts w:ascii="Calibri" w:eastAsia="MS Mincho" w:hAnsi="Calibri" w:cs="Calibri"/>
          <w:i/>
          <w:snapToGrid w:val="0"/>
          <w:lang w:eastAsia="en-US"/>
        </w:rPr>
        <w:t>Makaira nigricans</w:t>
      </w:r>
      <w:r w:rsidR="00671AB1" w:rsidRPr="00D03EC7">
        <w:rPr>
          <w:rFonts w:ascii="Calibri" w:eastAsia="MS Mincho" w:hAnsi="Calibri" w:cs="Calibri"/>
          <w:snapToGrid w:val="0"/>
          <w:lang w:eastAsia="en-US"/>
        </w:rPr>
        <w:t xml:space="preserve">) </w:t>
      </w:r>
      <w:r w:rsidR="00671AB1" w:rsidRPr="00D03EC7">
        <w:rPr>
          <w:rFonts w:ascii="Calibri" w:hAnsi="Calibri" w:cs="Calibri"/>
        </w:rPr>
        <w:t xml:space="preserve">– </w:t>
      </w:r>
      <w:hyperlink w:anchor="APP7" w:history="1">
        <w:r w:rsidR="00671AB1" w:rsidRPr="00D03EC7">
          <w:rPr>
            <w:rStyle w:val="Hyperlink"/>
            <w:rFonts w:ascii="Calibri" w:hAnsi="Calibri" w:cs="Calibri"/>
          </w:rPr>
          <w:t>Appendix V</w:t>
        </w:r>
      </w:hyperlink>
      <w:r w:rsidR="009B26C1" w:rsidRPr="00D03EC7">
        <w:rPr>
          <w:rStyle w:val="Hyperlink"/>
          <w:rFonts w:ascii="Calibri" w:hAnsi="Calibri" w:cs="Calibri"/>
        </w:rPr>
        <w:t>II</w:t>
      </w:r>
    </w:p>
    <w:p w14:paraId="0A0335D0" w14:textId="43ECD040" w:rsidR="00710933" w:rsidRPr="00710933" w:rsidRDefault="005F5C86" w:rsidP="00E01D60">
      <w:pPr>
        <w:pStyle w:val="IOTCReportNormalNumbered"/>
        <w:numPr>
          <w:ilvl w:val="0"/>
          <w:numId w:val="0"/>
        </w:numPr>
        <w:spacing w:after="120"/>
        <w:ind w:left="540"/>
        <w:rPr>
          <w:rFonts w:ascii="Calibri" w:hAnsi="Calibri" w:cs="Calibri"/>
          <w:lang w:eastAsia="en-GB"/>
        </w:rPr>
      </w:pPr>
      <w:r>
        <w:rPr>
          <w:rFonts w:ascii="Calibri" w:hAnsi="Calibri" w:cs="Calibri"/>
          <w:b/>
          <w:bCs/>
          <w:i/>
          <w:iCs/>
          <w:lang w:eastAsia="en-GB"/>
        </w:rPr>
        <w:t>Indo-Pacific sailfish</w:t>
      </w:r>
    </w:p>
    <w:p w14:paraId="38342A87" w14:textId="46963E60" w:rsidR="00710933" w:rsidRPr="00710933" w:rsidRDefault="00710933" w:rsidP="00710933">
      <w:pPr>
        <w:pStyle w:val="IOTCReportNormalNumbered"/>
        <w:ind w:left="540" w:hanging="540"/>
        <w:rPr>
          <w:rFonts w:ascii="Calibri" w:hAnsi="Calibri" w:cs="Calibri"/>
          <w:lang w:eastAsia="en-GB"/>
        </w:rPr>
      </w:pPr>
      <w:r w:rsidRPr="3F1DEBE1">
        <w:rPr>
          <w:rFonts w:ascii="Calibri" w:hAnsi="Calibri" w:cs="Calibri"/>
          <w:lang w:eastAsia="en-GB"/>
        </w:rPr>
        <w:t xml:space="preserve">The WPB </w:t>
      </w:r>
      <w:r w:rsidRPr="3F1DEBE1">
        <w:rPr>
          <w:rFonts w:ascii="Calibri" w:hAnsi="Calibri" w:cs="Calibri"/>
          <w:b/>
          <w:bCs/>
          <w:lang w:eastAsia="en-GB"/>
        </w:rPr>
        <w:t>ADOPT</w:t>
      </w:r>
      <w:r w:rsidR="00287AC2">
        <w:rPr>
          <w:rFonts w:ascii="Calibri" w:hAnsi="Calibri" w:cs="Calibri"/>
          <w:b/>
          <w:bCs/>
          <w:lang w:eastAsia="en-GB"/>
        </w:rPr>
        <w:t>ED</w:t>
      </w:r>
      <w:r w:rsidRPr="3F1DEBE1">
        <w:rPr>
          <w:rFonts w:ascii="Calibri" w:hAnsi="Calibri" w:cs="Calibri"/>
          <w:lang w:eastAsia="en-GB"/>
        </w:rPr>
        <w:t xml:space="preserve"> the management advice developed for </w:t>
      </w:r>
      <w:r w:rsidR="005F5C86">
        <w:rPr>
          <w:rFonts w:ascii="Calibri" w:hAnsi="Calibri" w:cs="Calibri"/>
          <w:lang w:eastAsia="en-GB"/>
        </w:rPr>
        <w:t>Indo-Pacific sailfish</w:t>
      </w:r>
      <w:r w:rsidRPr="3F1DEBE1">
        <w:rPr>
          <w:rFonts w:ascii="Calibri" w:hAnsi="Calibri" w:cs="Calibri"/>
          <w:lang w:eastAsia="en-GB"/>
        </w:rPr>
        <w:t xml:space="preserve">, as provided in the draft status summary and </w:t>
      </w:r>
      <w:r w:rsidRPr="3F1DEBE1">
        <w:rPr>
          <w:rFonts w:ascii="Calibri" w:hAnsi="Calibri" w:cs="Calibri"/>
          <w:b/>
          <w:bCs/>
          <w:lang w:eastAsia="en-GB"/>
        </w:rPr>
        <w:t>REQUESTED</w:t>
      </w:r>
      <w:r w:rsidRPr="3F1DEBE1">
        <w:rPr>
          <w:rFonts w:ascii="Calibri" w:hAnsi="Calibri" w:cs="Calibri"/>
          <w:lang w:eastAsia="en-GB"/>
        </w:rPr>
        <w:t xml:space="preserve"> that the IOTC Secretariat update the draft stock status summary with the latest 202</w:t>
      </w:r>
      <w:r w:rsidR="00C95A40">
        <w:rPr>
          <w:rFonts w:ascii="Calibri" w:hAnsi="Calibri" w:cs="Calibri"/>
          <w:lang w:eastAsia="en-GB"/>
        </w:rPr>
        <w:t>5</w:t>
      </w:r>
      <w:r w:rsidRPr="3F1DEBE1">
        <w:rPr>
          <w:rFonts w:ascii="Calibri" w:hAnsi="Calibri" w:cs="Calibri"/>
          <w:lang w:eastAsia="en-GB"/>
        </w:rPr>
        <w:t xml:space="preserve"> interaction data to be provided to the SC as part of the draft Executive Summary, for its consideration:</w:t>
      </w:r>
    </w:p>
    <w:p w14:paraId="44505F33" w14:textId="03B3D096" w:rsidR="00710933" w:rsidRPr="0075251F" w:rsidRDefault="00344A2F" w:rsidP="00710933">
      <w:pPr>
        <w:numPr>
          <w:ilvl w:val="1"/>
          <w:numId w:val="1"/>
        </w:numPr>
        <w:jc w:val="both"/>
        <w:rPr>
          <w:rFonts w:ascii="Calibri" w:eastAsia="MS Mincho" w:hAnsi="Calibri" w:cs="Calibri"/>
          <w:snapToGrid w:val="0"/>
          <w:color w:val="0000FF"/>
          <w:u w:val="single"/>
        </w:rPr>
      </w:pPr>
      <w:r>
        <w:rPr>
          <w:rFonts w:ascii="Calibri" w:eastAsia="MS Mincho" w:hAnsi="Calibri" w:cs="Calibri"/>
          <w:snapToGrid w:val="0"/>
        </w:rPr>
        <w:t>Indo Pacific sailfish</w:t>
      </w:r>
      <w:r w:rsidR="00710933" w:rsidRPr="00811547">
        <w:rPr>
          <w:rFonts w:ascii="Calibri" w:eastAsia="MS Mincho" w:hAnsi="Calibri" w:cs="Calibri"/>
          <w:snapToGrid w:val="0"/>
        </w:rPr>
        <w:t xml:space="preserve"> (</w:t>
      </w:r>
      <w:r w:rsidRPr="002B0E95">
        <w:rPr>
          <w:rFonts w:ascii="Calibri" w:eastAsia="MS Mincho" w:hAnsi="Calibri" w:cs="Calibri"/>
          <w:i/>
          <w:snapToGrid w:val="0"/>
          <w:lang w:eastAsia="en-US"/>
        </w:rPr>
        <w:t>Istiophorus platypterus</w:t>
      </w:r>
      <w:r w:rsidR="00710933" w:rsidRPr="00811547">
        <w:rPr>
          <w:rFonts w:ascii="Calibri" w:eastAsia="MS Mincho" w:hAnsi="Calibri" w:cs="Calibri"/>
          <w:snapToGrid w:val="0"/>
        </w:rPr>
        <w:t xml:space="preserve">) </w:t>
      </w:r>
      <w:r w:rsidR="00710933" w:rsidRPr="00811547">
        <w:rPr>
          <w:rFonts w:ascii="Calibri" w:hAnsi="Calibri" w:cs="Calibri"/>
        </w:rPr>
        <w:t xml:space="preserve">– </w:t>
      </w:r>
      <w:hyperlink w:anchor="APP5" w:history="1">
        <w:r w:rsidR="002D43CF" w:rsidRPr="009B26C1">
          <w:rPr>
            <w:rStyle w:val="Hyperlink"/>
            <w:rFonts w:ascii="Calibri" w:hAnsi="Calibri" w:cs="Calibri"/>
          </w:rPr>
          <w:t>Appendix V</w:t>
        </w:r>
      </w:hyperlink>
    </w:p>
    <w:p w14:paraId="7C92DEAB" w14:textId="77777777" w:rsidR="006538D6" w:rsidRPr="00121D6C" w:rsidRDefault="006538D6" w:rsidP="00121D6C">
      <w:pPr>
        <w:ind w:left="1492"/>
        <w:jc w:val="both"/>
        <w:rPr>
          <w:rFonts w:ascii="Calibri" w:eastAsia="MS Mincho" w:hAnsi="Calibri" w:cs="Calibri"/>
          <w:snapToGrid w:val="0"/>
          <w:color w:val="0000FF"/>
          <w:u w:val="single"/>
        </w:rPr>
      </w:pPr>
    </w:p>
    <w:p w14:paraId="453D0594" w14:textId="193E46E0" w:rsidR="003B4D86" w:rsidRPr="001F5FFC" w:rsidRDefault="00FF0496" w:rsidP="001F5FFC">
      <w:pPr>
        <w:pStyle w:val="IOTCAgendaH1"/>
        <w:keepNext w:val="0"/>
        <w:rPr>
          <w:rFonts w:ascii="Calibri" w:hAnsi="Calibri" w:cs="Calibri"/>
        </w:rPr>
      </w:pPr>
      <w:bookmarkStart w:id="50" w:name="_Toc210218011"/>
      <w:bookmarkStart w:id="51" w:name="_Toc336947264"/>
      <w:r w:rsidRPr="00FF0496">
        <w:rPr>
          <w:rFonts w:ascii="Calibri" w:hAnsi="Calibri" w:cs="Calibri"/>
        </w:rPr>
        <w:t xml:space="preserve">Progress </w:t>
      </w:r>
      <w:r w:rsidR="002C2C95" w:rsidRPr="002C2C95">
        <w:rPr>
          <w:rFonts w:ascii="Calibri" w:hAnsi="Calibri" w:cs="Calibri"/>
        </w:rPr>
        <w:t>MANAGEMENT Procedure (Resolution 24/08)</w:t>
      </w:r>
      <w:bookmarkEnd w:id="50"/>
    </w:p>
    <w:p w14:paraId="56EFAA4D" w14:textId="1DD2FB80" w:rsidR="00D47672" w:rsidRPr="00D47672" w:rsidRDefault="000821B9" w:rsidP="00D47672">
      <w:pPr>
        <w:pStyle w:val="IOTCReportNormalNumbered"/>
        <w:spacing w:after="120"/>
        <w:ind w:left="540" w:hanging="540"/>
        <w:rPr>
          <w:rFonts w:ascii="Calibri" w:eastAsia="Calibri" w:hAnsi="Calibri" w:cs="Calibri"/>
          <w:color w:val="auto"/>
          <w:szCs w:val="22"/>
          <w:lang w:eastAsia="en-GB"/>
        </w:rPr>
      </w:pPr>
      <w:r w:rsidRPr="00B15E8F">
        <w:rPr>
          <w:rFonts w:ascii="Calibri" w:eastAsia="MS Mincho" w:hAnsi="Calibri" w:cs="Calibri"/>
        </w:rPr>
        <w:t xml:space="preserve">The WPB </w:t>
      </w:r>
      <w:r w:rsidRPr="00B15E8F">
        <w:rPr>
          <w:rFonts w:ascii="Calibri" w:eastAsia="MS Mincho" w:hAnsi="Calibri" w:cs="Calibri"/>
          <w:b/>
        </w:rPr>
        <w:t xml:space="preserve">NOTED </w:t>
      </w:r>
      <w:r w:rsidRPr="000821B9">
        <w:rPr>
          <w:rFonts w:ascii="Calibri" w:eastAsia="MS Mincho" w:hAnsi="Calibri" w:cs="Calibri"/>
        </w:rPr>
        <w:t>information</w:t>
      </w:r>
      <w:r>
        <w:rPr>
          <w:rFonts w:ascii="Calibri" w:eastAsia="MS Mincho" w:hAnsi="Calibri" w:cs="Calibri"/>
          <w:b/>
        </w:rPr>
        <w:t xml:space="preserve"> </w:t>
      </w:r>
      <w:r w:rsidRPr="00B15E8F">
        <w:rPr>
          <w:rFonts w:ascii="Calibri" w:eastAsia="MS Mincho" w:hAnsi="Calibri" w:cs="Calibri"/>
        </w:rPr>
        <w:t xml:space="preserve">document </w:t>
      </w:r>
      <w:hyperlink r:id="rId52" w:history="1">
        <w:r w:rsidR="00EB1BBB" w:rsidRPr="00C2256B">
          <w:rPr>
            <w:rStyle w:val="Hyperlink"/>
            <w:rFonts w:ascii="Calibri" w:hAnsi="Calibri" w:cs="Calibri"/>
            <w:lang w:eastAsia="en-GB"/>
          </w:rPr>
          <w:t>IOTC-2025-WPB23-INF0</w:t>
        </w:r>
        <w:r w:rsidR="00C2256B" w:rsidRPr="00C2256B">
          <w:rPr>
            <w:rStyle w:val="Hyperlink"/>
            <w:rFonts w:ascii="Calibri" w:hAnsi="Calibri" w:cs="Calibri"/>
            <w:lang w:eastAsia="en-GB"/>
          </w:rPr>
          <w:t>2</w:t>
        </w:r>
      </w:hyperlink>
      <w:r w:rsidR="009C5A99">
        <w:rPr>
          <w:rFonts w:ascii="Calibri" w:hAnsi="Calibri" w:cs="Calibri"/>
          <w:lang w:eastAsia="en-GB"/>
        </w:rPr>
        <w:t xml:space="preserve">, which </w:t>
      </w:r>
      <w:r w:rsidR="00E314DB">
        <w:rPr>
          <w:rFonts w:ascii="Calibri" w:hAnsi="Calibri" w:cs="Calibri"/>
          <w:lang w:eastAsia="en-GB"/>
        </w:rPr>
        <w:t xml:space="preserve">investigates </w:t>
      </w:r>
      <w:r w:rsidR="009C5A99">
        <w:rPr>
          <w:rFonts w:ascii="Calibri" w:hAnsi="Calibri" w:cs="Calibri"/>
          <w:lang w:eastAsia="en-GB"/>
        </w:rPr>
        <w:t>the</w:t>
      </w:r>
      <w:r w:rsidR="00EB1BBB" w:rsidRPr="00EB1BBB">
        <w:rPr>
          <w:rFonts w:ascii="Calibri" w:hAnsi="Calibri" w:cs="Calibri"/>
          <w:lang w:eastAsia="en-GB"/>
        </w:rPr>
        <w:t xml:space="preserve"> </w:t>
      </w:r>
      <w:r w:rsidR="009C5A99">
        <w:rPr>
          <w:rFonts w:ascii="Calibri" w:hAnsi="Calibri" w:cs="Calibri"/>
          <w:lang w:eastAsia="en-GB"/>
        </w:rPr>
        <w:t>p</w:t>
      </w:r>
      <w:r w:rsidR="00EB1BBB" w:rsidRPr="00EB1BBB">
        <w:rPr>
          <w:rFonts w:ascii="Calibri" w:hAnsi="Calibri" w:cs="Calibri"/>
          <w:lang w:eastAsia="en-GB"/>
        </w:rPr>
        <w:t>opulation structure of the swordfish across the Indian Ocean using next generation sequencing</w:t>
      </w:r>
      <w:r w:rsidR="008D25E1" w:rsidRPr="008D25E1">
        <w:rPr>
          <w:rFonts w:ascii="Calibri" w:eastAsia="Calibri" w:hAnsi="Calibri" w:cs="Calibri"/>
          <w:color w:val="auto"/>
          <w:szCs w:val="22"/>
          <w:lang w:eastAsia="en-GB"/>
        </w:rPr>
        <w:t xml:space="preserve"> </w:t>
      </w:r>
      <w:r w:rsidR="008D25E1" w:rsidRPr="1EA925F2">
        <w:rPr>
          <w:rFonts w:ascii="Calibri" w:eastAsia="Calibri" w:hAnsi="Calibri" w:cs="Calibri"/>
          <w:color w:val="auto"/>
          <w:szCs w:val="22"/>
          <w:lang w:eastAsia="en-GB"/>
        </w:rPr>
        <w:t>with the following abstract provided by the authors</w:t>
      </w:r>
      <w:r w:rsidR="00F46C1C">
        <w:rPr>
          <w:rFonts w:ascii="Calibri" w:eastAsia="Calibri" w:hAnsi="Calibri" w:cs="Calibri"/>
          <w:color w:val="auto"/>
          <w:szCs w:val="22"/>
          <w:lang w:eastAsia="en-GB"/>
        </w:rPr>
        <w:t>.</w:t>
      </w:r>
      <w:r w:rsidR="009C5A99">
        <w:rPr>
          <w:rFonts w:ascii="Calibri" w:eastAsia="Calibri" w:hAnsi="Calibri" w:cs="Calibri"/>
          <w:color w:val="auto"/>
          <w:szCs w:val="22"/>
          <w:lang w:eastAsia="en-GB"/>
        </w:rPr>
        <w:t xml:space="preserve"> </w:t>
      </w:r>
    </w:p>
    <w:p w14:paraId="43DFDA84" w14:textId="50EA199D" w:rsidR="00EB1BBB" w:rsidRDefault="00D47672" w:rsidP="00D47672">
      <w:pPr>
        <w:pStyle w:val="IOTCReportNormalNumbered"/>
        <w:numPr>
          <w:ilvl w:val="0"/>
          <w:numId w:val="0"/>
        </w:numPr>
        <w:spacing w:after="120"/>
        <w:ind w:left="851"/>
        <w:rPr>
          <w:rFonts w:ascii="Calibri" w:hAnsi="Calibri" w:cs="Calibri"/>
          <w:i/>
          <w:iCs/>
          <w:lang w:eastAsia="en-GB"/>
        </w:rPr>
      </w:pPr>
      <w:r w:rsidRPr="00D47672">
        <w:rPr>
          <w:rFonts w:ascii="Calibri" w:hAnsi="Calibri" w:cs="Calibri"/>
          <w:i/>
          <w:iCs/>
          <w:lang w:eastAsia="en-GB"/>
        </w:rPr>
        <w:t xml:space="preserve"> </w:t>
      </w:r>
      <w:r w:rsidR="00BA4D42">
        <w:rPr>
          <w:rFonts w:ascii="Calibri" w:hAnsi="Calibri" w:cs="Calibri"/>
          <w:i/>
          <w:iCs/>
          <w:lang w:eastAsia="en-GB"/>
        </w:rPr>
        <w:t>“</w:t>
      </w:r>
      <w:r w:rsidRPr="00D47672">
        <w:rPr>
          <w:rFonts w:ascii="Calibri" w:hAnsi="Calibri" w:cs="Calibri"/>
          <w:i/>
          <w:iCs/>
          <w:lang w:eastAsia="en-GB"/>
        </w:rPr>
        <w:t>Swordfish ( Xiphias gladius ) is of significant economic importance as it is the second most exploited billfish in the Indian Ocean. While the Indian Ocean Tuna Commission (IOTC) considers swordfish to be a single panmictic population in the Indian Ocean, several studies have examined the potential for spatial variations within this highly migratory species with conflicting results, including emerging evidence that population structuring does indeed exist within swordfish. These findings therefore raise questions about the current guidelines for management adopted by the IOTC. In the present study, we address questions about the genetic structuring of swordfish in the Indian Ocean through the analysis of three datasets: (i) neutral SNPs, (ii) with, and (iii) only SNPs under potential selection identified from 1694 swordfish originating from 24 distinct locations across the Indian Ocean. A discriminant analysis of principal components showed the presence of two swordfish subpopulations in the Indian Ocean in the north and the south and was confirmed by admixture methods. This genetic differentiation may be explained by a chromosomal inversion, indicating that both populations could be demographically connected but remain differentiated by this structural variant</w:t>
      </w:r>
      <w:r w:rsidR="00F46C1C" w:rsidRPr="00D47672">
        <w:rPr>
          <w:rFonts w:ascii="Calibri" w:hAnsi="Calibri" w:cs="Calibri"/>
          <w:i/>
          <w:iCs/>
          <w:lang w:eastAsia="en-GB"/>
        </w:rPr>
        <w:t>”</w:t>
      </w:r>
    </w:p>
    <w:p w14:paraId="5B70FC7A" w14:textId="6C8399BC" w:rsidR="0040256E" w:rsidRPr="007F4D8D" w:rsidRDefault="0040256E" w:rsidP="0040256E">
      <w:pPr>
        <w:pStyle w:val="IOTCReportNormalNumbered"/>
        <w:spacing w:after="120"/>
        <w:ind w:left="540" w:hanging="540"/>
        <w:rPr>
          <w:rFonts w:ascii="Calibri" w:eastAsia="MS Mincho" w:hAnsi="Calibri" w:cs="Calibri"/>
        </w:rPr>
      </w:pPr>
      <w:r w:rsidRPr="007F4D8D">
        <w:rPr>
          <w:rFonts w:ascii="Calibri" w:eastAsia="MS Mincho" w:hAnsi="Calibri" w:cs="Calibri"/>
        </w:rPr>
        <w:t xml:space="preserve">The WPB sought further clarification regarding the issue of chromosomal inversion that was identified in the study and </w:t>
      </w:r>
      <w:r w:rsidRPr="00FB0843">
        <w:rPr>
          <w:rFonts w:ascii="Calibri" w:eastAsia="MS Mincho" w:hAnsi="Calibri" w:cs="Calibri"/>
          <w:b/>
          <w:bCs/>
        </w:rPr>
        <w:t>NOTED</w:t>
      </w:r>
      <w:r w:rsidRPr="007F4D8D">
        <w:rPr>
          <w:rFonts w:ascii="Calibri" w:eastAsia="MS Mincho" w:hAnsi="Calibri" w:cs="Calibri"/>
        </w:rPr>
        <w:t xml:space="preserve"> that this was still requiring further investigation. The authors stated that regardless of that issue the result suggest that there are two different subpopulations and that this will likely have implications for the assessment and MSE OMs going forward, although the urgency may be lower due to the healthy status of the stock. The </w:t>
      </w:r>
      <w:r w:rsidR="00FB0843" w:rsidRPr="007F4D8D">
        <w:rPr>
          <w:rFonts w:ascii="Calibri" w:eastAsia="MS Mincho" w:hAnsi="Calibri" w:cs="Calibri"/>
        </w:rPr>
        <w:t xml:space="preserve">WPB </w:t>
      </w:r>
      <w:r w:rsidR="00FB0843" w:rsidRPr="00FB0843">
        <w:rPr>
          <w:rFonts w:ascii="Calibri" w:eastAsia="MS Mincho" w:hAnsi="Calibri" w:cs="Calibri"/>
          <w:b/>
          <w:bCs/>
        </w:rPr>
        <w:t>NOTED</w:t>
      </w:r>
      <w:r w:rsidR="00FB0843" w:rsidRPr="007F4D8D">
        <w:rPr>
          <w:rFonts w:ascii="Calibri" w:eastAsia="MS Mincho" w:hAnsi="Calibri" w:cs="Calibri"/>
        </w:rPr>
        <w:t xml:space="preserve"> </w:t>
      </w:r>
      <w:r w:rsidRPr="007F4D8D">
        <w:rPr>
          <w:rFonts w:ascii="Calibri" w:eastAsia="MS Mincho" w:hAnsi="Calibri" w:cs="Calibri"/>
        </w:rPr>
        <w:t xml:space="preserve">that the assessment is already spatially structured and so may be well set up to account for the new research but that the lack of information on mixing between subregions is still problematic and adds uncertainty. </w:t>
      </w:r>
    </w:p>
    <w:p w14:paraId="1892B727" w14:textId="77777777" w:rsidR="0040256E" w:rsidRPr="007F4D8D" w:rsidRDefault="0040256E" w:rsidP="0040256E">
      <w:pPr>
        <w:pStyle w:val="IOTCReportNormalNumbered"/>
        <w:spacing w:after="120"/>
        <w:ind w:left="540" w:hanging="540"/>
        <w:rPr>
          <w:rFonts w:ascii="Calibri" w:eastAsia="MS Mincho" w:hAnsi="Calibri" w:cs="Calibri"/>
        </w:rPr>
      </w:pPr>
      <w:r w:rsidRPr="007F4D8D">
        <w:rPr>
          <w:rFonts w:ascii="Calibri" w:eastAsia="MS Mincho" w:hAnsi="Calibri" w:cs="Calibri"/>
        </w:rPr>
        <w:t xml:space="preserve">The WPB </w:t>
      </w:r>
      <w:r w:rsidRPr="00FB0843">
        <w:rPr>
          <w:rFonts w:ascii="Calibri" w:eastAsia="MS Mincho" w:hAnsi="Calibri" w:cs="Calibri"/>
          <w:b/>
          <w:bCs/>
        </w:rPr>
        <w:t>NOTED</w:t>
      </w:r>
      <w:r w:rsidRPr="007F4D8D">
        <w:rPr>
          <w:rFonts w:ascii="Calibri" w:eastAsia="MS Mincho" w:hAnsi="Calibri" w:cs="Calibri"/>
        </w:rPr>
        <w:t xml:space="preserve"> that the research indicating two subpopulations likely identifies a potential Exceptional Circumstance with respect to the swordfish MP and </w:t>
      </w:r>
      <w:r w:rsidRPr="003339FD">
        <w:rPr>
          <w:rFonts w:ascii="Calibri" w:eastAsia="MS Mincho" w:hAnsi="Calibri" w:cs="Calibri"/>
          <w:b/>
          <w:bCs/>
        </w:rPr>
        <w:t>REQUESTED</w:t>
      </w:r>
      <w:r w:rsidRPr="007F4D8D">
        <w:rPr>
          <w:rFonts w:ascii="Calibri" w:eastAsia="MS Mincho" w:hAnsi="Calibri" w:cs="Calibri"/>
        </w:rPr>
        <w:t xml:space="preserve"> that:</w:t>
      </w:r>
    </w:p>
    <w:p w14:paraId="4F891D0C" w14:textId="77777777" w:rsidR="0040256E" w:rsidRPr="007F4D8D" w:rsidRDefault="0040256E" w:rsidP="00C63C9B">
      <w:pPr>
        <w:pStyle w:val="ListParagraph"/>
        <w:numPr>
          <w:ilvl w:val="0"/>
          <w:numId w:val="58"/>
        </w:numPr>
        <w:spacing w:after="160" w:line="278" w:lineRule="auto"/>
        <w:rPr>
          <w:rFonts w:ascii="Calibri" w:hAnsi="Calibri" w:cs="Calibri"/>
        </w:rPr>
      </w:pPr>
      <w:r w:rsidRPr="007F4D8D">
        <w:rPr>
          <w:rFonts w:ascii="Calibri" w:hAnsi="Calibri" w:cs="Calibri"/>
        </w:rPr>
        <w:lastRenderedPageBreak/>
        <w:t>The authors of the Swordfish EC paper (</w:t>
      </w:r>
      <w:hyperlink r:id="rId53" w:history="1">
        <w:r w:rsidRPr="007F4D8D">
          <w:rPr>
            <w:rStyle w:val="Hyperlink"/>
            <w:rFonts w:ascii="Calibri" w:hAnsi="Calibri" w:cs="Calibri"/>
          </w:rPr>
          <w:t>IOTC-2025-WPB23-21</w:t>
        </w:r>
      </w:hyperlink>
      <w:r w:rsidRPr="007F4D8D">
        <w:rPr>
          <w:rFonts w:ascii="Calibri" w:hAnsi="Calibri" w:cs="Calibri"/>
        </w:rPr>
        <w:t>) include discussion of this issue in the revised paper to the WPM, and</w:t>
      </w:r>
    </w:p>
    <w:p w14:paraId="6CAB42BB" w14:textId="026D9BEA" w:rsidR="0040256E" w:rsidRPr="003339FD" w:rsidRDefault="00DA7CF8" w:rsidP="00C63C9B">
      <w:pPr>
        <w:pStyle w:val="ListParagraph"/>
        <w:numPr>
          <w:ilvl w:val="0"/>
          <w:numId w:val="58"/>
        </w:numPr>
        <w:spacing w:after="160" w:line="278" w:lineRule="auto"/>
        <w:rPr>
          <w:rFonts w:ascii="Calibri" w:hAnsi="Calibri" w:cs="Calibri"/>
        </w:rPr>
      </w:pPr>
      <w:r>
        <w:rPr>
          <w:rFonts w:ascii="Calibri" w:hAnsi="Calibri" w:cs="Calibri"/>
        </w:rPr>
        <w:t>T</w:t>
      </w:r>
      <w:r w:rsidR="0040256E" w:rsidRPr="007F4D8D">
        <w:rPr>
          <w:rFonts w:ascii="Calibri" w:hAnsi="Calibri" w:cs="Calibri"/>
        </w:rPr>
        <w:t>he WPM consider and discuss the implications of this new research for the future operation of the MP, and develop advice on this issue to the SC.</w:t>
      </w:r>
    </w:p>
    <w:p w14:paraId="508362C5" w14:textId="45D30515" w:rsidR="0040256E" w:rsidRPr="00CA57D2" w:rsidRDefault="0040256E" w:rsidP="00CA57D2">
      <w:pPr>
        <w:pStyle w:val="IOTCReportNormalNumbered"/>
        <w:spacing w:after="120"/>
        <w:ind w:left="540" w:hanging="540"/>
        <w:rPr>
          <w:rFonts w:ascii="Calibri" w:eastAsia="MS Mincho" w:hAnsi="Calibri" w:cs="Calibri"/>
        </w:rPr>
      </w:pPr>
      <w:r w:rsidRPr="005C28D3">
        <w:rPr>
          <w:rFonts w:ascii="Calibri" w:eastAsia="MS Mincho" w:hAnsi="Calibri" w:cs="Calibri"/>
        </w:rPr>
        <w:t xml:space="preserve">The WPM </w:t>
      </w:r>
      <w:r w:rsidRPr="003339FD">
        <w:rPr>
          <w:rFonts w:ascii="Calibri" w:eastAsia="MS Mincho" w:hAnsi="Calibri" w:cs="Calibri"/>
          <w:b/>
          <w:bCs/>
        </w:rPr>
        <w:t>NOTED</w:t>
      </w:r>
      <w:r w:rsidRPr="005C28D3">
        <w:rPr>
          <w:rFonts w:ascii="Calibri" w:eastAsia="MS Mincho" w:hAnsi="Calibri" w:cs="Calibri"/>
        </w:rPr>
        <w:t xml:space="preserve"> it will be very important, if possible, that the authors of the new research attend the WPM and participate in the discussions of this issue to ensure that the WPM understand the research fully and </w:t>
      </w:r>
      <w:r w:rsidR="00CA57D2" w:rsidRPr="005C28D3">
        <w:rPr>
          <w:rFonts w:ascii="Calibri" w:eastAsia="MS Mincho" w:hAnsi="Calibri" w:cs="Calibri"/>
        </w:rPr>
        <w:t>could</w:t>
      </w:r>
      <w:r w:rsidRPr="005C28D3">
        <w:rPr>
          <w:rFonts w:ascii="Calibri" w:eastAsia="MS Mincho" w:hAnsi="Calibri" w:cs="Calibri"/>
        </w:rPr>
        <w:t xml:space="preserve"> discuss its implications for the MP.</w:t>
      </w:r>
    </w:p>
    <w:p w14:paraId="0466316A" w14:textId="77777777" w:rsidR="00F15FAA" w:rsidRDefault="00F15FAA" w:rsidP="00F15FAA">
      <w:pPr>
        <w:pStyle w:val="IOTCReportNormalNumbered"/>
        <w:spacing w:after="120"/>
        <w:ind w:left="540" w:hanging="540"/>
        <w:rPr>
          <w:rFonts w:ascii="Calibri" w:eastAsia="Calibri" w:hAnsi="Calibri" w:cs="Calibri"/>
          <w:color w:val="auto"/>
          <w:szCs w:val="22"/>
          <w:lang w:eastAsia="en-GB"/>
        </w:rPr>
      </w:pPr>
      <w:r w:rsidRPr="00B15E8F">
        <w:rPr>
          <w:rFonts w:ascii="Calibri" w:eastAsia="MS Mincho" w:hAnsi="Calibri" w:cs="Calibri"/>
        </w:rPr>
        <w:t xml:space="preserve">The WPB </w:t>
      </w:r>
      <w:r w:rsidRPr="00B15E8F">
        <w:rPr>
          <w:rFonts w:ascii="Calibri" w:eastAsia="MS Mincho" w:hAnsi="Calibri" w:cs="Calibri"/>
          <w:b/>
        </w:rPr>
        <w:t xml:space="preserve">NOTED </w:t>
      </w:r>
      <w:r w:rsidRPr="00B15E8F">
        <w:rPr>
          <w:rFonts w:ascii="Calibri" w:eastAsia="MS Mincho" w:hAnsi="Calibri" w:cs="Calibri"/>
        </w:rPr>
        <w:t xml:space="preserve">document </w:t>
      </w:r>
      <w:hyperlink r:id="rId54" w:history="1">
        <w:r w:rsidRPr="009C78F4">
          <w:rPr>
            <w:rStyle w:val="Hyperlink"/>
            <w:rFonts w:ascii="Calibri" w:hAnsi="Calibri" w:cs="Calibri"/>
            <w:lang w:eastAsia="en-GB"/>
          </w:rPr>
          <w:t>IOTC-2025-WPB23-21</w:t>
        </w:r>
      </w:hyperlink>
      <w:r>
        <w:rPr>
          <w:rFonts w:ascii="Calibri" w:hAnsi="Calibri" w:cs="Calibri"/>
          <w:lang w:eastAsia="en-GB"/>
        </w:rPr>
        <w:t>, which synthesizes the c</w:t>
      </w:r>
      <w:r w:rsidRPr="00EB1BBB">
        <w:rPr>
          <w:rFonts w:ascii="Calibri" w:hAnsi="Calibri" w:cs="Calibri"/>
          <w:lang w:eastAsia="en-GB"/>
        </w:rPr>
        <w:t>onsideration of exceptional circumstances for the Swordfish Management Procedure 2025</w:t>
      </w:r>
      <w:r>
        <w:rPr>
          <w:rFonts w:ascii="Calibri" w:hAnsi="Calibri" w:cs="Calibri"/>
          <w:lang w:eastAsia="en-GB"/>
        </w:rPr>
        <w:t>,</w:t>
      </w:r>
      <w:r w:rsidRPr="008D25E1">
        <w:rPr>
          <w:rFonts w:ascii="Calibri" w:eastAsia="Calibri" w:hAnsi="Calibri" w:cs="Calibri"/>
          <w:color w:val="auto"/>
          <w:szCs w:val="22"/>
          <w:lang w:eastAsia="en-GB"/>
        </w:rPr>
        <w:t xml:space="preserve"> </w:t>
      </w:r>
      <w:r>
        <w:rPr>
          <w:rFonts w:ascii="Calibri" w:eastAsia="Calibri" w:hAnsi="Calibri" w:cs="Calibri"/>
          <w:color w:val="auto"/>
          <w:szCs w:val="22"/>
          <w:lang w:eastAsia="en-GB"/>
        </w:rPr>
        <w:t xml:space="preserve">NOTED </w:t>
      </w:r>
      <w:r w:rsidRPr="1EA925F2">
        <w:rPr>
          <w:rFonts w:ascii="Calibri" w:eastAsia="Calibri" w:hAnsi="Calibri" w:cs="Calibri"/>
          <w:color w:val="auto"/>
          <w:szCs w:val="22"/>
          <w:lang w:eastAsia="en-GB"/>
        </w:rPr>
        <w:t>the</w:t>
      </w:r>
      <w:r>
        <w:rPr>
          <w:rFonts w:ascii="Calibri" w:eastAsia="Calibri" w:hAnsi="Calibri" w:cs="Calibri"/>
          <w:color w:val="auto"/>
          <w:szCs w:val="22"/>
          <w:lang w:eastAsia="en-GB"/>
        </w:rPr>
        <w:t xml:space="preserve"> following points from the</w:t>
      </w:r>
      <w:r w:rsidRPr="1EA925F2">
        <w:rPr>
          <w:rFonts w:ascii="Calibri" w:eastAsia="Calibri" w:hAnsi="Calibri" w:cs="Calibri"/>
          <w:color w:val="auto"/>
          <w:szCs w:val="22"/>
          <w:lang w:eastAsia="en-GB"/>
        </w:rPr>
        <w:t xml:space="preserve"> </w:t>
      </w:r>
      <w:r>
        <w:rPr>
          <w:rFonts w:ascii="Calibri" w:eastAsia="Calibri" w:hAnsi="Calibri" w:cs="Calibri"/>
          <w:color w:val="auto"/>
          <w:szCs w:val="22"/>
          <w:lang w:eastAsia="en-GB"/>
        </w:rPr>
        <w:t xml:space="preserve">paper </w:t>
      </w:r>
      <w:r w:rsidRPr="1EA925F2">
        <w:rPr>
          <w:rFonts w:ascii="Calibri" w:eastAsia="Calibri" w:hAnsi="Calibri" w:cs="Calibri"/>
          <w:color w:val="auto"/>
          <w:szCs w:val="22"/>
          <w:lang w:eastAsia="en-GB"/>
        </w:rPr>
        <w:t xml:space="preserve">abstract </w:t>
      </w:r>
      <w:r>
        <w:rPr>
          <w:rFonts w:ascii="Calibri" w:eastAsia="Calibri" w:hAnsi="Calibri" w:cs="Calibri"/>
          <w:color w:val="auto"/>
          <w:szCs w:val="22"/>
          <w:lang w:eastAsia="en-GB"/>
        </w:rPr>
        <w:t>:</w:t>
      </w:r>
    </w:p>
    <w:p w14:paraId="5F825665" w14:textId="77777777" w:rsidR="00F15FAA" w:rsidRPr="001D1354" w:rsidRDefault="00F15FAA" w:rsidP="00F15FAA">
      <w:pPr>
        <w:pStyle w:val="IOTCReportNormalNumbered"/>
        <w:numPr>
          <w:ilvl w:val="0"/>
          <w:numId w:val="0"/>
        </w:numPr>
        <w:spacing w:after="120"/>
        <w:ind w:left="851"/>
        <w:rPr>
          <w:rFonts w:ascii="Calibri" w:hAnsi="Calibri" w:cs="Calibri"/>
          <w:i/>
          <w:iCs/>
          <w:szCs w:val="22"/>
          <w:lang w:eastAsia="en-GB"/>
        </w:rPr>
      </w:pPr>
      <w:r w:rsidRPr="00CA57D2">
        <w:rPr>
          <w:rFonts w:ascii="Calibri" w:hAnsi="Calibri" w:cs="Calibri"/>
          <w:i/>
          <w:iCs/>
          <w:szCs w:val="22"/>
          <w:lang w:eastAsia="en-GB"/>
        </w:rPr>
        <w:t>“This paper summarises the outcomes from a review of a wide range of information, in considering if there is evidence of exceptional circumstances. It is important to note that this current review paper may not yet take account of all new information presented to the WPB23 (September 2025). However, any new and relevant information can be included in a revised paper for consideration by the Working Party on Methods (October 2025)</w:t>
      </w:r>
      <w:r>
        <w:rPr>
          <w:rFonts w:ascii="Aptos" w:eastAsia="MS Mincho" w:hAnsi="Aptos" w:cs="Aptos"/>
          <w:snapToGrid/>
          <w:szCs w:val="22"/>
          <w:lang w:val="en-AU" w:eastAsia="en-GB"/>
        </w:rPr>
        <w:t xml:space="preserve">. </w:t>
      </w:r>
      <w:r w:rsidRPr="00A610A1">
        <w:rPr>
          <w:rFonts w:ascii="Calibri" w:hAnsi="Calibri" w:cs="Calibri"/>
          <w:i/>
          <w:iCs/>
          <w:szCs w:val="22"/>
          <w:lang w:val="en-AU" w:eastAsia="en-GB"/>
        </w:rPr>
        <w:t>The key conclusions of the current review are:</w:t>
      </w:r>
      <w:r w:rsidRPr="00CA57D2">
        <w:rPr>
          <w:rFonts w:ascii="Calibri" w:hAnsi="Calibri" w:cs="Calibri"/>
          <w:i/>
          <w:iCs/>
          <w:szCs w:val="22"/>
          <w:lang w:eastAsia="en-GB"/>
        </w:rPr>
        <w:t>.</w:t>
      </w:r>
    </w:p>
    <w:p w14:paraId="263944F3" w14:textId="77777777" w:rsidR="00F15FAA" w:rsidRPr="00A610A1" w:rsidRDefault="00F15FAA" w:rsidP="00F15FAA">
      <w:pPr>
        <w:pStyle w:val="IOTCReportNormalNumbered"/>
        <w:numPr>
          <w:ilvl w:val="1"/>
          <w:numId w:val="1"/>
        </w:numPr>
        <w:spacing w:after="120"/>
        <w:rPr>
          <w:rFonts w:ascii="Calibri" w:hAnsi="Calibri" w:cs="Calibri"/>
          <w:i/>
          <w:iCs/>
          <w:lang w:val="en-AU" w:eastAsia="en-GB"/>
        </w:rPr>
      </w:pPr>
      <w:r w:rsidRPr="00A610A1">
        <w:rPr>
          <w:rFonts w:ascii="Calibri" w:hAnsi="Calibri" w:cs="Calibri"/>
          <w:b/>
          <w:bCs/>
          <w:i/>
          <w:iCs/>
          <w:lang w:val="en-AU" w:eastAsia="en-GB"/>
        </w:rPr>
        <w:t xml:space="preserve">TAC implementing measure </w:t>
      </w:r>
      <w:r w:rsidRPr="00A610A1">
        <w:rPr>
          <w:rFonts w:ascii="Calibri" w:hAnsi="Calibri" w:cs="Calibri"/>
          <w:i/>
          <w:iCs/>
          <w:lang w:val="en-AU" w:eastAsia="en-GB"/>
        </w:rPr>
        <w:t xml:space="preserve">– At it’s meeting in April 2025, the IOTC Commission failed to propose and agree a measure to implement (and allocate) the TAC recommended by the MP. As such, there is no measure in place to ensure TAC adherence in the 2026-2028 period, increasing the risk of catches increasing above the recommended level. This needs to be urgently addressed by the Commission at its 2026 meeting. </w:t>
      </w:r>
    </w:p>
    <w:p w14:paraId="7E16D319" w14:textId="77777777" w:rsidR="00F15FAA" w:rsidRPr="00A610A1" w:rsidRDefault="00F15FAA" w:rsidP="00F15FAA">
      <w:pPr>
        <w:pStyle w:val="IOTCReportNormalNumbered"/>
        <w:numPr>
          <w:ilvl w:val="1"/>
          <w:numId w:val="1"/>
        </w:numPr>
        <w:spacing w:after="120"/>
        <w:rPr>
          <w:rFonts w:ascii="Calibri" w:hAnsi="Calibri" w:cs="Calibri"/>
          <w:i/>
          <w:iCs/>
          <w:lang w:val="en-AU" w:eastAsia="en-GB"/>
        </w:rPr>
      </w:pPr>
      <w:r w:rsidRPr="00A610A1">
        <w:rPr>
          <w:rFonts w:ascii="Calibri" w:hAnsi="Calibri" w:cs="Calibri"/>
          <w:b/>
          <w:bCs/>
          <w:i/>
          <w:iCs/>
          <w:lang w:val="en-AU" w:eastAsia="en-GB"/>
        </w:rPr>
        <w:t xml:space="preserve">Stock status, population dynamics or biology </w:t>
      </w:r>
      <w:r w:rsidRPr="00A610A1">
        <w:rPr>
          <w:rFonts w:ascii="Calibri" w:hAnsi="Calibri" w:cs="Calibri"/>
          <w:i/>
          <w:iCs/>
          <w:lang w:val="en-AU" w:eastAsia="en-GB"/>
        </w:rPr>
        <w:t xml:space="preserve">- The 2023 stock assessment estimates of SB/SBMSY and F/FMSY were shown to be within the 90% probability interval of the estimates from the operating models used to test the performance and tune the MP. No EC relating to biology or population dynamics were identified, but noting that new recent research on stock structure has yet to be reviewed by WPB and SC. </w:t>
      </w:r>
    </w:p>
    <w:p w14:paraId="4CAD6875" w14:textId="77777777" w:rsidR="00F15FAA" w:rsidRPr="00A610A1" w:rsidRDefault="00F15FAA" w:rsidP="00F15FAA">
      <w:pPr>
        <w:pStyle w:val="IOTCReportNormalNumbered"/>
        <w:numPr>
          <w:ilvl w:val="1"/>
          <w:numId w:val="1"/>
        </w:numPr>
        <w:spacing w:after="120"/>
        <w:rPr>
          <w:rFonts w:ascii="Calibri" w:hAnsi="Calibri" w:cs="Calibri"/>
          <w:i/>
          <w:iCs/>
          <w:lang w:val="en-AU" w:eastAsia="en-GB"/>
        </w:rPr>
      </w:pPr>
      <w:r w:rsidRPr="00A610A1">
        <w:rPr>
          <w:rFonts w:ascii="Calibri" w:hAnsi="Calibri" w:cs="Calibri"/>
          <w:b/>
          <w:bCs/>
          <w:i/>
          <w:iCs/>
          <w:lang w:val="en-AU" w:eastAsia="en-GB"/>
        </w:rPr>
        <w:t xml:space="preserve">Fishery or fishing operations </w:t>
      </w:r>
      <w:r w:rsidRPr="00A610A1">
        <w:rPr>
          <w:rFonts w:ascii="Calibri" w:hAnsi="Calibri" w:cs="Calibri"/>
          <w:i/>
          <w:iCs/>
          <w:lang w:val="en-AU" w:eastAsia="en-GB"/>
        </w:rPr>
        <w:t xml:space="preserve">- There are no identified changes in recent fishery operations (e.g. methods/approaches). Shifts in relative catch proportions by the fishery over time (noted by WPB22 in 2024) have been incorporated into the MSE operating models (OMs), and the subsequent MP performance tested and demonstrated to be acceptable. Fishery catch levels and proportions from the 2 most recent years of data are not substantially different to the most recent levels considered by the OMs, albeit total catch levels continue to show a declining trend in recent years. </w:t>
      </w:r>
    </w:p>
    <w:p w14:paraId="338D2C71" w14:textId="77777777" w:rsidR="00F15FAA" w:rsidRPr="00A610A1" w:rsidRDefault="00F15FAA" w:rsidP="00F15FAA">
      <w:pPr>
        <w:pStyle w:val="IOTCReportNormalNumbered"/>
        <w:numPr>
          <w:ilvl w:val="1"/>
          <w:numId w:val="1"/>
        </w:numPr>
        <w:spacing w:after="120"/>
        <w:rPr>
          <w:rFonts w:ascii="Calibri" w:hAnsi="Calibri" w:cs="Calibri"/>
          <w:i/>
          <w:iCs/>
          <w:lang w:val="en-AU" w:eastAsia="en-GB"/>
        </w:rPr>
      </w:pPr>
      <w:r w:rsidRPr="00A610A1">
        <w:rPr>
          <w:rFonts w:ascii="Calibri" w:hAnsi="Calibri" w:cs="Calibri"/>
          <w:b/>
          <w:bCs/>
          <w:i/>
          <w:iCs/>
          <w:lang w:val="en-AU" w:eastAsia="en-GB"/>
        </w:rPr>
        <w:t xml:space="preserve">Catch data inputs </w:t>
      </w:r>
      <w:r w:rsidRPr="00A610A1">
        <w:rPr>
          <w:rFonts w:ascii="Calibri" w:hAnsi="Calibri" w:cs="Calibri"/>
          <w:i/>
          <w:iCs/>
          <w:lang w:val="en-AU" w:eastAsia="en-GB"/>
        </w:rPr>
        <w:t xml:space="preserve">– There have been no significant recent changes in the quality and representativeness of swordfish catch data to be utilised by the MP. </w:t>
      </w:r>
    </w:p>
    <w:p w14:paraId="49EEC005" w14:textId="77777777" w:rsidR="00F15FAA" w:rsidRPr="00A610A1" w:rsidRDefault="00F15FAA" w:rsidP="00F15FAA">
      <w:pPr>
        <w:pStyle w:val="IOTCReportNormalNumbered"/>
        <w:numPr>
          <w:ilvl w:val="1"/>
          <w:numId w:val="1"/>
        </w:numPr>
        <w:spacing w:after="120"/>
        <w:rPr>
          <w:rFonts w:ascii="Calibri" w:hAnsi="Calibri" w:cs="Calibri"/>
          <w:i/>
          <w:iCs/>
          <w:lang w:val="en-AU" w:eastAsia="en-GB"/>
        </w:rPr>
      </w:pPr>
      <w:r w:rsidRPr="00A610A1">
        <w:rPr>
          <w:rFonts w:ascii="Calibri" w:hAnsi="Calibri" w:cs="Calibri"/>
          <w:b/>
          <w:bCs/>
          <w:i/>
          <w:iCs/>
          <w:lang w:val="en-AU" w:eastAsia="en-GB"/>
        </w:rPr>
        <w:t xml:space="preserve">CPUE data inputs </w:t>
      </w:r>
      <w:r w:rsidRPr="00A610A1">
        <w:rPr>
          <w:rFonts w:ascii="Calibri" w:hAnsi="Calibri" w:cs="Calibri"/>
          <w:i/>
          <w:iCs/>
          <w:lang w:val="en-AU" w:eastAsia="en-GB"/>
        </w:rPr>
        <w:t xml:space="preserve">– StdCPUE time series estimates from the 2023 standardisation process (for period to 2022) and the 2024 standardisation process (for period to 2023) are very similar. Prediction skill of the NWIO Japanese longline CPUE remains acceptable but Japanese longline effort trends should continue to be monitored and considered in annual EC reviews and as part of the larger MP review in 2031. </w:t>
      </w:r>
    </w:p>
    <w:p w14:paraId="56DBAD15" w14:textId="33581323" w:rsidR="009C78F4" w:rsidRPr="00CA57D2" w:rsidRDefault="00F15FAA" w:rsidP="00F15FAA">
      <w:pPr>
        <w:pStyle w:val="IOTCReportNormalNumbered"/>
        <w:numPr>
          <w:ilvl w:val="0"/>
          <w:numId w:val="0"/>
        </w:numPr>
        <w:spacing w:after="120"/>
        <w:ind w:left="851"/>
        <w:rPr>
          <w:rFonts w:ascii="Calibri" w:hAnsi="Calibri" w:cs="Calibri"/>
          <w:i/>
          <w:iCs/>
          <w:szCs w:val="22"/>
          <w:lang w:eastAsia="en-GB"/>
        </w:rPr>
      </w:pPr>
      <w:r w:rsidRPr="00CA57D2">
        <w:rPr>
          <w:rFonts w:ascii="Calibri" w:hAnsi="Calibri" w:cs="Calibri"/>
          <w:i/>
          <w:iCs/>
          <w:szCs w:val="22"/>
          <w:lang w:eastAsia="en-GB"/>
        </w:rPr>
        <w:t xml:space="preserve"> </w:t>
      </w:r>
      <w:r w:rsidRPr="001D1354">
        <w:rPr>
          <w:rFonts w:ascii="Calibri" w:hAnsi="Calibri" w:cs="Calibri"/>
          <w:szCs w:val="22"/>
          <w:lang w:eastAsia="en-GB"/>
        </w:rPr>
        <w:t>See the paper for the full abstract.</w:t>
      </w:r>
    </w:p>
    <w:p w14:paraId="32773425" w14:textId="2446357C" w:rsidR="00F238A9" w:rsidRPr="00F238A9" w:rsidRDefault="00F238A9" w:rsidP="00F238A9">
      <w:pPr>
        <w:pStyle w:val="IOTCReportNormalNumbered"/>
        <w:spacing w:after="120"/>
        <w:ind w:left="540" w:hanging="540"/>
        <w:rPr>
          <w:rFonts w:ascii="Calibri" w:hAnsi="Calibri" w:cs="Calibri"/>
          <w:lang w:eastAsia="en-GB"/>
        </w:rPr>
      </w:pPr>
      <w:r w:rsidRPr="00F238A9">
        <w:rPr>
          <w:rFonts w:ascii="Calibri" w:hAnsi="Calibri" w:cs="Calibri"/>
          <w:lang w:eastAsia="en-GB"/>
        </w:rPr>
        <w:t xml:space="preserve">The WPB </w:t>
      </w:r>
      <w:r w:rsidRPr="00F238A9">
        <w:rPr>
          <w:rFonts w:ascii="Calibri" w:hAnsi="Calibri" w:cs="Calibri"/>
          <w:b/>
          <w:bCs/>
          <w:lang w:eastAsia="en-GB"/>
        </w:rPr>
        <w:t>NOTED</w:t>
      </w:r>
      <w:r w:rsidRPr="00F238A9">
        <w:rPr>
          <w:rFonts w:ascii="Calibri" w:hAnsi="Calibri" w:cs="Calibri"/>
          <w:lang w:eastAsia="en-GB"/>
        </w:rPr>
        <w:t xml:space="preserve"> again that the Japanese fishing effort and catch in the NWIO area for which the MP CPUE index is derived continues to be low relative to levels prior to a decade ago, and raised concerns again over the potential for this to increase the risk that the index is no longer representative and fit for use in the MP, or can even be produced in future. However, the WPB </w:t>
      </w:r>
      <w:r w:rsidRPr="005A467A">
        <w:rPr>
          <w:rFonts w:ascii="Calibri" w:hAnsi="Calibri" w:cs="Calibri"/>
          <w:b/>
          <w:bCs/>
          <w:lang w:eastAsia="en-GB"/>
        </w:rPr>
        <w:t>NOTED</w:t>
      </w:r>
      <w:r w:rsidRPr="00F238A9">
        <w:rPr>
          <w:rFonts w:ascii="Calibri" w:hAnsi="Calibri" w:cs="Calibri"/>
          <w:lang w:eastAsia="en-GB"/>
        </w:rPr>
        <w:t xml:space="preserve"> that the low effort in that area has existed now for a significant time and the use of the Japanese index from that area, under low effort conditions, has been tested and validated as suitable under the MSE testing process, and that a subsequent and more recent examination of the prediction skill of the NW JP</w:t>
      </w:r>
      <w:r w:rsidR="004072B7">
        <w:rPr>
          <w:rFonts w:ascii="Calibri" w:hAnsi="Calibri" w:cs="Calibri"/>
          <w:lang w:eastAsia="en-GB"/>
        </w:rPr>
        <w:t>N</w:t>
      </w:r>
      <w:r w:rsidRPr="00F238A9">
        <w:rPr>
          <w:rFonts w:ascii="Calibri" w:hAnsi="Calibri" w:cs="Calibri"/>
          <w:lang w:eastAsia="en-GB"/>
        </w:rPr>
        <w:t xml:space="preserve"> CPUE from the 2023 assessment model indicates that the prediction skill remains acceptable. However, the WPB </w:t>
      </w:r>
      <w:r w:rsidRPr="005A467A">
        <w:rPr>
          <w:rFonts w:ascii="Calibri" w:hAnsi="Calibri" w:cs="Calibri"/>
          <w:b/>
          <w:bCs/>
          <w:lang w:eastAsia="en-GB"/>
        </w:rPr>
        <w:t>REQUESTED</w:t>
      </w:r>
      <w:r w:rsidRPr="00F238A9">
        <w:rPr>
          <w:rFonts w:ascii="Calibri" w:hAnsi="Calibri" w:cs="Calibri"/>
          <w:lang w:eastAsia="en-GB"/>
        </w:rPr>
        <w:t xml:space="preserve"> that the WPM continue to monitor and explore alternate abundance indices as part of the next review of the MP. </w:t>
      </w:r>
    </w:p>
    <w:p w14:paraId="22183AD2" w14:textId="77777777" w:rsidR="00F238A9" w:rsidRPr="00F238A9" w:rsidRDefault="00F238A9" w:rsidP="00F238A9">
      <w:pPr>
        <w:pStyle w:val="IOTCReportNormalNumbered"/>
        <w:spacing w:after="120"/>
        <w:ind w:left="540" w:hanging="540"/>
        <w:rPr>
          <w:rFonts w:ascii="Calibri" w:hAnsi="Calibri" w:cs="Calibri"/>
          <w:lang w:eastAsia="en-GB"/>
        </w:rPr>
      </w:pPr>
      <w:r w:rsidRPr="00F238A9">
        <w:rPr>
          <w:rFonts w:ascii="Calibri" w:hAnsi="Calibri" w:cs="Calibri"/>
          <w:lang w:eastAsia="en-GB"/>
        </w:rPr>
        <w:t xml:space="preserve">The WPB also </w:t>
      </w:r>
      <w:r w:rsidRPr="00F238A9">
        <w:rPr>
          <w:rFonts w:ascii="Calibri" w:hAnsi="Calibri" w:cs="Calibri"/>
          <w:b/>
          <w:bCs/>
          <w:lang w:eastAsia="en-GB"/>
        </w:rPr>
        <w:t>NOTED</w:t>
      </w:r>
      <w:r w:rsidRPr="00F238A9">
        <w:rPr>
          <w:rFonts w:ascii="Calibri" w:hAnsi="Calibri" w:cs="Calibri"/>
          <w:lang w:eastAsia="en-GB"/>
        </w:rPr>
        <w:t xml:space="preserve"> information provided by participants on the potential future emergence of a new longline fishing gear, meka-ring or loop gear, that is aimed at catching swordfish, and the potential for this to impact on </w:t>
      </w:r>
      <w:r w:rsidRPr="00F238A9">
        <w:rPr>
          <w:rFonts w:ascii="Calibri" w:hAnsi="Calibri" w:cs="Calibri"/>
          <w:lang w:eastAsia="en-GB"/>
        </w:rPr>
        <w:lastRenderedPageBreak/>
        <w:t xml:space="preserve">CPUE indices in future. It was </w:t>
      </w:r>
      <w:r w:rsidRPr="001329D7">
        <w:rPr>
          <w:rFonts w:ascii="Calibri" w:hAnsi="Calibri" w:cs="Calibri"/>
          <w:b/>
          <w:bCs/>
          <w:lang w:eastAsia="en-GB"/>
        </w:rPr>
        <w:t>NOTED</w:t>
      </w:r>
      <w:r w:rsidRPr="00F238A9">
        <w:rPr>
          <w:rFonts w:ascii="Calibri" w:hAnsi="Calibri" w:cs="Calibri"/>
          <w:lang w:eastAsia="en-GB"/>
        </w:rPr>
        <w:t xml:space="preserve"> that Japan has started collecting information on the use of this gear already and will provide an update to the WPB in future.</w:t>
      </w:r>
    </w:p>
    <w:p w14:paraId="4CCC2D0D" w14:textId="66E99042" w:rsidR="00EB1BBB" w:rsidRDefault="00F238A9" w:rsidP="00E61B17">
      <w:pPr>
        <w:pStyle w:val="IOTCReportNormalNumbered"/>
        <w:spacing w:after="120"/>
        <w:ind w:left="540" w:hanging="540"/>
        <w:rPr>
          <w:rFonts w:ascii="Calibri" w:hAnsi="Calibri" w:cs="Calibri"/>
          <w:lang w:eastAsia="en-GB"/>
        </w:rPr>
      </w:pPr>
      <w:r w:rsidRPr="00F238A9">
        <w:rPr>
          <w:rFonts w:ascii="Calibri" w:hAnsi="Calibri" w:cs="Calibri"/>
          <w:lang w:eastAsia="en-GB"/>
        </w:rPr>
        <w:t xml:space="preserve">The WPB </w:t>
      </w:r>
      <w:r w:rsidRPr="00F238A9">
        <w:rPr>
          <w:rFonts w:ascii="Calibri" w:hAnsi="Calibri" w:cs="Calibri"/>
          <w:b/>
          <w:bCs/>
          <w:lang w:eastAsia="en-GB"/>
        </w:rPr>
        <w:t>NOTED</w:t>
      </w:r>
      <w:r w:rsidRPr="00F238A9">
        <w:rPr>
          <w:rFonts w:ascii="Calibri" w:hAnsi="Calibri" w:cs="Calibri"/>
          <w:lang w:eastAsia="en-GB"/>
        </w:rPr>
        <w:t xml:space="preserve"> the discussion on recently published new information on stock structure suggesting that there may be two sub populations in the IOTC (contrasting current assumptions of one stock) and that the request from that discussion by WPB to WPM is directly relevant to the consideration of Exceptional Circumstances for the Swordfish MP.</w:t>
      </w:r>
    </w:p>
    <w:p w14:paraId="3DA3E18F" w14:textId="2066387B" w:rsidR="000D7845" w:rsidRPr="000D7845" w:rsidRDefault="000D7845" w:rsidP="000D7845">
      <w:pPr>
        <w:pStyle w:val="IOTCReportNormalNumbered"/>
        <w:spacing w:after="120"/>
        <w:ind w:left="540" w:hanging="540"/>
        <w:rPr>
          <w:rFonts w:ascii="Calibri" w:hAnsi="Calibri" w:cs="Calibri"/>
          <w:lang w:eastAsia="en-GB"/>
        </w:rPr>
      </w:pPr>
      <w:r>
        <w:rPr>
          <w:rFonts w:ascii="Calibri" w:hAnsi="Calibri" w:cs="Calibri"/>
          <w:lang w:eastAsia="en-GB"/>
        </w:rPr>
        <w:t xml:space="preserve">The WPB </w:t>
      </w:r>
      <w:r w:rsidRPr="000D7845">
        <w:rPr>
          <w:rFonts w:ascii="Calibri" w:hAnsi="Calibri" w:cs="Calibri"/>
          <w:b/>
          <w:bCs/>
          <w:lang w:eastAsia="en-GB"/>
        </w:rPr>
        <w:t>NOTED</w:t>
      </w:r>
      <w:r>
        <w:rPr>
          <w:rFonts w:ascii="Calibri" w:hAnsi="Calibri" w:cs="Calibri"/>
          <w:lang w:eastAsia="en-GB"/>
        </w:rPr>
        <w:t xml:space="preserve"> the range of other criteria examined under the Exceptional Circumstances guidelines and that with the exception of the issue pertaining to new information on stock structure, no other potential exceptional circumstances were identified for this MP in 2025. The WPB </w:t>
      </w:r>
      <w:r w:rsidRPr="000D7845">
        <w:rPr>
          <w:rFonts w:ascii="Calibri" w:hAnsi="Calibri" w:cs="Calibri"/>
          <w:b/>
          <w:bCs/>
          <w:lang w:eastAsia="en-GB"/>
        </w:rPr>
        <w:t>NOTED</w:t>
      </w:r>
      <w:r>
        <w:rPr>
          <w:rFonts w:ascii="Calibri" w:hAnsi="Calibri" w:cs="Calibri"/>
          <w:lang w:eastAsia="en-GB"/>
        </w:rPr>
        <w:t xml:space="preserve"> that this paper will be revised and resubmitted to WPM to take account of WPB discussions. </w:t>
      </w:r>
    </w:p>
    <w:p w14:paraId="048A623B" w14:textId="533E4965" w:rsidR="001025F6" w:rsidRPr="002023AB" w:rsidRDefault="00AA5D21" w:rsidP="00392FFD">
      <w:pPr>
        <w:pStyle w:val="IOTCAgendaH1"/>
        <w:keepNext w:val="0"/>
        <w:rPr>
          <w:rFonts w:ascii="Calibri" w:hAnsi="Calibri" w:cs="Calibri"/>
        </w:rPr>
      </w:pPr>
      <w:bookmarkStart w:id="52" w:name="_Toc210218012"/>
      <w:r w:rsidRPr="002023AB">
        <w:rPr>
          <w:rFonts w:ascii="Calibri" w:hAnsi="Calibri" w:cs="Calibri"/>
        </w:rPr>
        <w:t>Other Billfishes</w:t>
      </w:r>
      <w:bookmarkEnd w:id="52"/>
      <w:r w:rsidR="00EB4C2C" w:rsidRPr="002023AB">
        <w:rPr>
          <w:rFonts w:ascii="Calibri" w:hAnsi="Calibri" w:cs="Calibri"/>
        </w:rPr>
        <w:t xml:space="preserve"> </w:t>
      </w:r>
    </w:p>
    <w:p w14:paraId="6FA539F6" w14:textId="55F7876D" w:rsidR="008B51D9" w:rsidRDefault="4A24AA34" w:rsidP="006E4896">
      <w:pPr>
        <w:pStyle w:val="IOTCsubheading2"/>
        <w:ind w:left="1134" w:hanging="654"/>
        <w:rPr>
          <w:rFonts w:ascii="Calibri" w:hAnsi="Calibri" w:cs="Calibri"/>
        </w:rPr>
      </w:pPr>
      <w:r w:rsidRPr="3F1DEBE1">
        <w:rPr>
          <w:rFonts w:ascii="Calibri" w:hAnsi="Calibri" w:cs="Calibri"/>
        </w:rPr>
        <w:t xml:space="preserve">Review </w:t>
      </w:r>
      <w:r w:rsidR="0095472B" w:rsidRPr="3F1DEBE1">
        <w:rPr>
          <w:rFonts w:ascii="Calibri" w:hAnsi="Calibri" w:cs="Calibri"/>
        </w:rPr>
        <w:t>of new information on other billfishes (other marlins, I.P. sailfish) biology, stock structure, fisheries and associated environmental data</w:t>
      </w:r>
      <w:bookmarkEnd w:id="51"/>
    </w:p>
    <w:p w14:paraId="43470CA4" w14:textId="77777777" w:rsidR="007204D0" w:rsidRDefault="007204D0" w:rsidP="007204D0">
      <w:pPr>
        <w:pStyle w:val="TOC2"/>
      </w:pPr>
    </w:p>
    <w:p w14:paraId="175B891E" w14:textId="2503587E" w:rsidR="007204D0" w:rsidRPr="007204D0" w:rsidRDefault="007A1246" w:rsidP="007204D0">
      <w:pPr>
        <w:pStyle w:val="IOTCReportNormalNumbered"/>
        <w:spacing w:after="120"/>
        <w:ind w:left="540" w:hanging="540"/>
        <w:rPr>
          <w:rFonts w:ascii="Calibri" w:hAnsi="Calibri" w:cs="Calibri"/>
          <w:lang w:eastAsia="en-GB"/>
        </w:rPr>
      </w:pPr>
      <w:r w:rsidRPr="00B15E8F">
        <w:rPr>
          <w:rFonts w:ascii="Calibri" w:eastAsia="MS Mincho" w:hAnsi="Calibri" w:cs="Calibri"/>
        </w:rPr>
        <w:t xml:space="preserve">The WPB </w:t>
      </w:r>
      <w:r w:rsidRPr="00B15E8F">
        <w:rPr>
          <w:rFonts w:ascii="Calibri" w:eastAsia="MS Mincho" w:hAnsi="Calibri" w:cs="Calibri"/>
          <w:b/>
        </w:rPr>
        <w:t xml:space="preserve">NOTED </w:t>
      </w:r>
      <w:r w:rsidRPr="00B15E8F">
        <w:rPr>
          <w:rFonts w:ascii="Calibri" w:eastAsia="MS Mincho" w:hAnsi="Calibri" w:cs="Calibri"/>
        </w:rPr>
        <w:t xml:space="preserve">document </w:t>
      </w:r>
      <w:hyperlink r:id="rId55" w:history="1">
        <w:r w:rsidR="007204D0" w:rsidRPr="00A6739A">
          <w:rPr>
            <w:rStyle w:val="Hyperlink"/>
            <w:rFonts w:ascii="Calibri" w:hAnsi="Calibri" w:cs="Calibri"/>
            <w:lang w:eastAsia="en-GB"/>
          </w:rPr>
          <w:t>IOTC-2025-WPB23-22</w:t>
        </w:r>
      </w:hyperlink>
      <w:r w:rsidR="00A6739A">
        <w:rPr>
          <w:rFonts w:ascii="Calibri" w:hAnsi="Calibri" w:cs="Calibri"/>
          <w:lang w:eastAsia="en-GB"/>
        </w:rPr>
        <w:t>, which summarises the</w:t>
      </w:r>
      <w:r w:rsidR="007204D0" w:rsidRPr="007204D0">
        <w:rPr>
          <w:rFonts w:ascii="Calibri" w:hAnsi="Calibri" w:cs="Calibri"/>
          <w:lang w:eastAsia="en-GB"/>
        </w:rPr>
        <w:t xml:space="preserve"> </w:t>
      </w:r>
      <w:r w:rsidR="00A6739A">
        <w:rPr>
          <w:rFonts w:ascii="Calibri" w:hAnsi="Calibri" w:cs="Calibri"/>
          <w:lang w:eastAsia="en-GB"/>
        </w:rPr>
        <w:t>s</w:t>
      </w:r>
      <w:r w:rsidR="007204D0" w:rsidRPr="007204D0">
        <w:rPr>
          <w:rFonts w:ascii="Calibri" w:hAnsi="Calibri" w:cs="Calibri"/>
          <w:lang w:eastAsia="en-GB"/>
        </w:rPr>
        <w:t>tandardization of the catch per unit effort for Swordfish for the South African longline fishery</w:t>
      </w:r>
      <w:r w:rsidR="00A6739A">
        <w:rPr>
          <w:rFonts w:ascii="Calibri" w:hAnsi="Calibri" w:cs="Calibri"/>
          <w:lang w:eastAsia="en-GB"/>
        </w:rPr>
        <w:t>,</w:t>
      </w:r>
      <w:r w:rsidR="007204D0" w:rsidRPr="007204D0">
        <w:rPr>
          <w:rFonts w:ascii="Calibri" w:hAnsi="Calibri" w:cs="Calibri"/>
          <w:lang w:eastAsia="en-GB"/>
        </w:rPr>
        <w:t xml:space="preserve"> with the following abstract provided by</w:t>
      </w:r>
      <w:r w:rsidR="00A6739A">
        <w:rPr>
          <w:rFonts w:ascii="Calibri" w:hAnsi="Calibri" w:cs="Calibri"/>
          <w:lang w:eastAsia="en-GB"/>
        </w:rPr>
        <w:t xml:space="preserve"> </w:t>
      </w:r>
      <w:r w:rsidR="007204D0" w:rsidRPr="007204D0">
        <w:rPr>
          <w:rFonts w:ascii="Calibri" w:hAnsi="Calibri" w:cs="Calibri"/>
          <w:lang w:eastAsia="en-GB"/>
        </w:rPr>
        <w:t xml:space="preserve">the authors: </w:t>
      </w:r>
    </w:p>
    <w:p w14:paraId="270DA4A6" w14:textId="0D1D90B1" w:rsidR="002403C2" w:rsidRPr="000B4C54" w:rsidRDefault="000B4C54" w:rsidP="002403C2">
      <w:pPr>
        <w:pStyle w:val="ListParagraph"/>
        <w:tabs>
          <w:tab w:val="left" w:pos="360"/>
          <w:tab w:val="left" w:pos="1080"/>
        </w:tabs>
        <w:spacing w:line="276" w:lineRule="auto"/>
        <w:ind w:left="715"/>
        <w:jc w:val="both"/>
        <w:rPr>
          <w:rFonts w:ascii="Calibri" w:hAnsi="Calibri" w:cs="Calibri"/>
        </w:rPr>
      </w:pPr>
      <w:r>
        <w:rPr>
          <w:rFonts w:ascii="Calibri" w:hAnsi="Calibri" w:cs="Calibri"/>
        </w:rPr>
        <w:t>“</w:t>
      </w:r>
      <w:r w:rsidR="002403C2" w:rsidRPr="000B4C54">
        <w:rPr>
          <w:rFonts w:ascii="Calibri" w:hAnsi="Calibri" w:cs="Calibri"/>
        </w:rPr>
        <w:t>Swordfish, Xiphias gladius, is a target species in the South African pelagic longline fleet operating along the</w:t>
      </w:r>
    </w:p>
    <w:p w14:paraId="517244C7" w14:textId="77777777" w:rsidR="002403C2" w:rsidRPr="000B4C54" w:rsidRDefault="002403C2" w:rsidP="002403C2">
      <w:pPr>
        <w:pStyle w:val="ListParagraph"/>
        <w:tabs>
          <w:tab w:val="left" w:pos="360"/>
          <w:tab w:val="left" w:pos="1080"/>
        </w:tabs>
        <w:spacing w:line="276" w:lineRule="auto"/>
        <w:ind w:left="715"/>
        <w:jc w:val="both"/>
        <w:rPr>
          <w:rFonts w:ascii="Calibri" w:hAnsi="Calibri" w:cs="Calibri"/>
        </w:rPr>
      </w:pPr>
      <w:r w:rsidRPr="000B4C54">
        <w:rPr>
          <w:rFonts w:ascii="Calibri" w:hAnsi="Calibri" w:cs="Calibri"/>
        </w:rPr>
        <w:t>west and east coast of South Africa. A standardization of the CPUE of the South African swordfish directed</w:t>
      </w:r>
    </w:p>
    <w:p w14:paraId="27C56348" w14:textId="77777777" w:rsidR="002403C2" w:rsidRPr="000B4C54" w:rsidRDefault="002403C2" w:rsidP="002403C2">
      <w:pPr>
        <w:pStyle w:val="ListParagraph"/>
        <w:tabs>
          <w:tab w:val="left" w:pos="360"/>
          <w:tab w:val="left" w:pos="1080"/>
        </w:tabs>
        <w:spacing w:line="276" w:lineRule="auto"/>
        <w:ind w:left="715"/>
        <w:jc w:val="both"/>
        <w:rPr>
          <w:rFonts w:ascii="Calibri" w:hAnsi="Calibri" w:cs="Calibri"/>
        </w:rPr>
      </w:pPr>
      <w:r w:rsidRPr="000B4C54">
        <w:rPr>
          <w:rFonts w:ascii="Calibri" w:hAnsi="Calibri" w:cs="Calibri"/>
        </w:rPr>
        <w:t>longline fleet for the time series 2004-2024 was carried out with a Generalized Additive Mixed Model (GAMM)</w:t>
      </w:r>
    </w:p>
    <w:p w14:paraId="5A7E8497" w14:textId="77777777" w:rsidR="002403C2" w:rsidRPr="000B4C54" w:rsidRDefault="002403C2" w:rsidP="002403C2">
      <w:pPr>
        <w:pStyle w:val="ListParagraph"/>
        <w:tabs>
          <w:tab w:val="left" w:pos="360"/>
          <w:tab w:val="left" w:pos="1080"/>
        </w:tabs>
        <w:spacing w:line="276" w:lineRule="auto"/>
        <w:ind w:left="715"/>
        <w:jc w:val="both"/>
        <w:rPr>
          <w:rFonts w:ascii="Calibri" w:hAnsi="Calibri" w:cs="Calibri"/>
        </w:rPr>
      </w:pPr>
      <w:r w:rsidRPr="000B4C54">
        <w:rPr>
          <w:rFonts w:ascii="Calibri" w:hAnsi="Calibri" w:cs="Calibri"/>
        </w:rPr>
        <w:t>with a Tweedie distributed error. Explanatory variables of the final model included Year, Month, geographic</w:t>
      </w:r>
    </w:p>
    <w:p w14:paraId="42B180FA" w14:textId="77777777" w:rsidR="002403C2" w:rsidRPr="000B4C54" w:rsidRDefault="002403C2" w:rsidP="002403C2">
      <w:pPr>
        <w:pStyle w:val="ListParagraph"/>
        <w:tabs>
          <w:tab w:val="left" w:pos="360"/>
          <w:tab w:val="left" w:pos="1080"/>
        </w:tabs>
        <w:spacing w:line="276" w:lineRule="auto"/>
        <w:ind w:left="715"/>
        <w:jc w:val="both"/>
        <w:rPr>
          <w:rFonts w:ascii="Calibri" w:hAnsi="Calibri" w:cs="Calibri"/>
        </w:rPr>
      </w:pPr>
      <w:r w:rsidRPr="000B4C54">
        <w:rPr>
          <w:rFonts w:ascii="Calibri" w:hAnsi="Calibri" w:cs="Calibri"/>
        </w:rPr>
        <w:t>position (Lat, Long) and a targeting factor (Fishing Tactic) with two levels, derived by clustering of PCA scores</w:t>
      </w:r>
    </w:p>
    <w:p w14:paraId="2EADD4C8" w14:textId="77777777" w:rsidR="002403C2" w:rsidRPr="000B4C54" w:rsidRDefault="002403C2" w:rsidP="002403C2">
      <w:pPr>
        <w:pStyle w:val="ListParagraph"/>
        <w:tabs>
          <w:tab w:val="left" w:pos="360"/>
          <w:tab w:val="left" w:pos="1080"/>
        </w:tabs>
        <w:spacing w:line="276" w:lineRule="auto"/>
        <w:ind w:left="715"/>
        <w:jc w:val="both"/>
        <w:rPr>
          <w:rFonts w:ascii="Calibri" w:hAnsi="Calibri" w:cs="Calibri"/>
        </w:rPr>
      </w:pPr>
      <w:r w:rsidRPr="000B4C54">
        <w:rPr>
          <w:rFonts w:ascii="Calibri" w:hAnsi="Calibri" w:cs="Calibri"/>
        </w:rPr>
        <w:t>of the root-root transformed, normalized catch composition. Vessel was included as a random effect.</w:t>
      </w:r>
    </w:p>
    <w:p w14:paraId="5DC8CDF4" w14:textId="77777777" w:rsidR="002403C2" w:rsidRPr="000B4C54" w:rsidRDefault="002403C2" w:rsidP="002403C2">
      <w:pPr>
        <w:pStyle w:val="ListParagraph"/>
        <w:tabs>
          <w:tab w:val="left" w:pos="360"/>
          <w:tab w:val="left" w:pos="1080"/>
        </w:tabs>
        <w:spacing w:line="276" w:lineRule="auto"/>
        <w:ind w:left="715"/>
        <w:jc w:val="both"/>
        <w:rPr>
          <w:rFonts w:ascii="Calibri" w:hAnsi="Calibri" w:cs="Calibri"/>
        </w:rPr>
      </w:pPr>
      <w:r w:rsidRPr="000B4C54">
        <w:rPr>
          <w:rFonts w:ascii="Calibri" w:hAnsi="Calibri" w:cs="Calibri"/>
        </w:rPr>
        <w:t>Swordfish CPUE had a definitive seasonal trend, with catch rates higher in winter (July - October) than in the</w:t>
      </w:r>
    </w:p>
    <w:p w14:paraId="7B91E68C" w14:textId="77777777" w:rsidR="002403C2" w:rsidRPr="000B4C54" w:rsidRDefault="002403C2" w:rsidP="002403C2">
      <w:pPr>
        <w:pStyle w:val="ListParagraph"/>
        <w:tabs>
          <w:tab w:val="left" w:pos="360"/>
          <w:tab w:val="left" w:pos="1080"/>
        </w:tabs>
        <w:spacing w:line="276" w:lineRule="auto"/>
        <w:ind w:left="715"/>
        <w:jc w:val="both"/>
        <w:rPr>
          <w:rFonts w:ascii="Calibri" w:hAnsi="Calibri" w:cs="Calibri"/>
        </w:rPr>
      </w:pPr>
      <w:r w:rsidRPr="000B4C54">
        <w:rPr>
          <w:rFonts w:ascii="Calibri" w:hAnsi="Calibri" w:cs="Calibri"/>
        </w:rPr>
        <w:t>rest of the year. Standardized (normalized) CPUE has been relatively stable over the 20-year period, ranging</w:t>
      </w:r>
    </w:p>
    <w:p w14:paraId="2746920E" w14:textId="77777777" w:rsidR="002403C2" w:rsidRPr="000B4C54" w:rsidRDefault="002403C2" w:rsidP="002403C2">
      <w:pPr>
        <w:pStyle w:val="ListParagraph"/>
        <w:tabs>
          <w:tab w:val="left" w:pos="360"/>
          <w:tab w:val="left" w:pos="1080"/>
        </w:tabs>
        <w:spacing w:line="276" w:lineRule="auto"/>
        <w:ind w:left="715"/>
        <w:jc w:val="both"/>
        <w:rPr>
          <w:rFonts w:ascii="Calibri" w:hAnsi="Calibri" w:cs="Calibri"/>
        </w:rPr>
      </w:pPr>
      <w:r w:rsidRPr="000B4C54">
        <w:rPr>
          <w:rFonts w:ascii="Calibri" w:hAnsi="Calibri" w:cs="Calibri"/>
        </w:rPr>
        <w:t>from a low 0.60 in 2014 to a peak of 1.36 in 2023. The CPUE has shown a general increasing trend since</w:t>
      </w:r>
    </w:p>
    <w:p w14:paraId="4F82679D" w14:textId="66F7D2B4" w:rsidR="007204D0" w:rsidRDefault="002403C2" w:rsidP="002403C2">
      <w:pPr>
        <w:pStyle w:val="ListParagraph"/>
        <w:tabs>
          <w:tab w:val="left" w:pos="360"/>
          <w:tab w:val="left" w:pos="1080"/>
        </w:tabs>
        <w:spacing w:line="276" w:lineRule="auto"/>
        <w:ind w:left="715"/>
        <w:jc w:val="both"/>
        <w:rPr>
          <w:rFonts w:ascii="Calibri" w:hAnsi="Calibri" w:cs="Calibri"/>
        </w:rPr>
      </w:pPr>
      <w:r w:rsidRPr="000B4C54">
        <w:rPr>
          <w:rFonts w:ascii="Calibri" w:hAnsi="Calibri" w:cs="Calibri"/>
        </w:rPr>
        <w:t>2021</w:t>
      </w:r>
      <w:r w:rsidR="000B4C54">
        <w:rPr>
          <w:rFonts w:ascii="Calibri" w:hAnsi="Calibri" w:cs="Calibri"/>
        </w:rPr>
        <w:t>”</w:t>
      </w:r>
    </w:p>
    <w:p w14:paraId="589F8D04" w14:textId="77777777" w:rsidR="00894184" w:rsidRDefault="00894184" w:rsidP="002403C2">
      <w:pPr>
        <w:pStyle w:val="ListParagraph"/>
        <w:tabs>
          <w:tab w:val="left" w:pos="360"/>
          <w:tab w:val="left" w:pos="1080"/>
        </w:tabs>
        <w:spacing w:line="276" w:lineRule="auto"/>
        <w:ind w:left="715"/>
        <w:jc w:val="both"/>
        <w:rPr>
          <w:rFonts w:ascii="Calibri" w:hAnsi="Calibri" w:cs="Calibri"/>
        </w:rPr>
      </w:pPr>
    </w:p>
    <w:p w14:paraId="1E5B61D0" w14:textId="22D89E08" w:rsidR="00040CFD" w:rsidRPr="00040CFD" w:rsidRDefault="00040CFD" w:rsidP="00040CFD">
      <w:pPr>
        <w:pStyle w:val="IOTCReportNormalNumbered"/>
        <w:spacing w:after="120"/>
        <w:ind w:left="540" w:hanging="540"/>
        <w:rPr>
          <w:rFonts w:ascii="Calibri" w:eastAsia="MS Mincho" w:hAnsi="Calibri" w:cs="Calibri"/>
        </w:rPr>
      </w:pPr>
      <w:r w:rsidRPr="00040CFD">
        <w:rPr>
          <w:rFonts w:ascii="Calibri" w:eastAsia="MS Mincho" w:hAnsi="Calibri" w:cs="Calibri"/>
        </w:rPr>
        <w:t xml:space="preserve">The WPB </w:t>
      </w:r>
      <w:r w:rsidRPr="0666C0EC">
        <w:rPr>
          <w:rFonts w:ascii="Calibri" w:eastAsia="MS Mincho" w:hAnsi="Calibri" w:cs="Calibri"/>
          <w:b/>
          <w:bCs/>
        </w:rPr>
        <w:t>NOTED</w:t>
      </w:r>
      <w:r w:rsidRPr="0666C0EC">
        <w:rPr>
          <w:rFonts w:ascii="Calibri" w:eastAsia="MS Mincho" w:hAnsi="Calibri" w:cs="Calibri"/>
        </w:rPr>
        <w:t xml:space="preserve"> </w:t>
      </w:r>
      <w:r w:rsidRPr="00040CFD">
        <w:rPr>
          <w:rFonts w:ascii="Calibri" w:eastAsia="MS Mincho" w:hAnsi="Calibri" w:cs="Calibri"/>
        </w:rPr>
        <w:t xml:space="preserve">that South Africa straddles both the IOTC and ICCAT Convention areas, and genetic studies have well established the stock separation between Indian Ocean and Atlantic swordfish stocks; it was further </w:t>
      </w:r>
      <w:r w:rsidRPr="0666C0EC">
        <w:rPr>
          <w:rFonts w:ascii="Calibri" w:eastAsia="MS Mincho" w:hAnsi="Calibri" w:cs="Calibri"/>
          <w:b/>
          <w:bCs/>
        </w:rPr>
        <w:t>NOTED</w:t>
      </w:r>
      <w:r w:rsidRPr="0666C0EC">
        <w:rPr>
          <w:rFonts w:ascii="Calibri" w:eastAsia="MS Mincho" w:hAnsi="Calibri" w:cs="Calibri"/>
        </w:rPr>
        <w:t xml:space="preserve"> </w:t>
      </w:r>
      <w:r w:rsidRPr="00040CFD">
        <w:rPr>
          <w:rFonts w:ascii="Calibri" w:eastAsia="MS Mincho" w:hAnsi="Calibri" w:cs="Calibri"/>
        </w:rPr>
        <w:t xml:space="preserve">that about half of the catch in 2022 came from the IOTC region. The WPB also </w:t>
      </w:r>
      <w:r w:rsidRPr="0666C0EC">
        <w:rPr>
          <w:rFonts w:ascii="Calibri" w:eastAsia="MS Mincho" w:hAnsi="Calibri" w:cs="Calibri"/>
          <w:b/>
          <w:bCs/>
        </w:rPr>
        <w:t>NOTED</w:t>
      </w:r>
      <w:r w:rsidRPr="0666C0EC">
        <w:rPr>
          <w:rFonts w:ascii="Calibri" w:eastAsia="MS Mincho" w:hAnsi="Calibri" w:cs="Calibri"/>
        </w:rPr>
        <w:t xml:space="preserve"> </w:t>
      </w:r>
      <w:r w:rsidRPr="00040CFD">
        <w:rPr>
          <w:rFonts w:ascii="Calibri" w:eastAsia="MS Mincho" w:hAnsi="Calibri" w:cs="Calibri"/>
        </w:rPr>
        <w:t xml:space="preserve">that the fishery is composed of traditional vessels targeting pelagic sharks, local fishermen fishing for swordfish in shallow waters, and vessels venturing further offshore to target tuna in deep waters. </w:t>
      </w:r>
    </w:p>
    <w:p w14:paraId="3ED01355" w14:textId="5C5EE275" w:rsidR="007204D0" w:rsidRDefault="00040CFD" w:rsidP="007204D0">
      <w:pPr>
        <w:pStyle w:val="IOTCReportNormalNumbered"/>
        <w:spacing w:after="120"/>
        <w:ind w:left="540" w:hanging="540"/>
        <w:rPr>
          <w:rFonts w:ascii="Calibri" w:eastAsia="MS Mincho" w:hAnsi="Calibri" w:cs="Calibri"/>
        </w:rPr>
      </w:pPr>
      <w:r w:rsidRPr="00040CFD">
        <w:rPr>
          <w:rFonts w:ascii="Calibri" w:eastAsia="MS Mincho" w:hAnsi="Calibri" w:cs="Calibri"/>
        </w:rPr>
        <w:t xml:space="preserve">The WPB </w:t>
      </w:r>
      <w:r w:rsidRPr="005F6E74">
        <w:rPr>
          <w:rFonts w:ascii="Calibri" w:eastAsia="MS Mincho" w:hAnsi="Calibri" w:cs="Calibri"/>
          <w:b/>
          <w:bCs/>
        </w:rPr>
        <w:t>THANKED</w:t>
      </w:r>
      <w:r w:rsidRPr="00040CFD">
        <w:rPr>
          <w:rFonts w:ascii="Calibri" w:eastAsia="MS Mincho" w:hAnsi="Calibri" w:cs="Calibri"/>
        </w:rPr>
        <w:t xml:space="preserve"> South Africa for resuming the CPUE standardization work for swordfish and noted that this work could not be conducted in 2023 due to staff shortages. Additionally, the WPB </w:t>
      </w:r>
      <w:r w:rsidRPr="0666C0EC">
        <w:rPr>
          <w:rFonts w:ascii="Calibri" w:eastAsia="MS Mincho" w:hAnsi="Calibri" w:cs="Calibri"/>
          <w:b/>
          <w:bCs/>
        </w:rPr>
        <w:t>NOTED</w:t>
      </w:r>
      <w:r w:rsidRPr="0666C0EC">
        <w:rPr>
          <w:rFonts w:ascii="Calibri" w:eastAsia="MS Mincho" w:hAnsi="Calibri" w:cs="Calibri"/>
        </w:rPr>
        <w:t xml:space="preserve"> </w:t>
      </w:r>
      <w:r w:rsidRPr="00040CFD">
        <w:rPr>
          <w:rFonts w:ascii="Calibri" w:eastAsia="MS Mincho" w:hAnsi="Calibri" w:cs="Calibri"/>
        </w:rPr>
        <w:t>there is a long-term plan to continue work supporting the swordfish stock assessment, to explore a wide range of statistical models, and that variables related to gear configuration, such as HBF, will be considered once the model becomes more stable.</w:t>
      </w:r>
    </w:p>
    <w:p w14:paraId="1905345B" w14:textId="77777777" w:rsidR="003F1229" w:rsidRPr="003F1229" w:rsidRDefault="003F1229" w:rsidP="003F1229">
      <w:pPr>
        <w:pStyle w:val="IOTCReportNormalNumbered"/>
        <w:numPr>
          <w:ilvl w:val="0"/>
          <w:numId w:val="0"/>
        </w:numPr>
        <w:spacing w:after="120"/>
        <w:ind w:left="540"/>
        <w:rPr>
          <w:rFonts w:ascii="Calibri" w:eastAsia="MS Mincho" w:hAnsi="Calibri" w:cs="Calibri"/>
        </w:rPr>
      </w:pPr>
    </w:p>
    <w:p w14:paraId="44D5A228" w14:textId="58FF81B2" w:rsidR="547F87BC" w:rsidRPr="003F1229" w:rsidRDefault="00DE2BF9" w:rsidP="003F1229">
      <w:pPr>
        <w:pStyle w:val="IOTCsubheading2"/>
        <w:ind w:left="1134" w:hanging="654"/>
        <w:rPr>
          <w:rFonts w:ascii="Calibri" w:hAnsi="Calibri" w:cs="Calibri"/>
        </w:rPr>
      </w:pPr>
      <w:r w:rsidRPr="00DE2BF9">
        <w:rPr>
          <w:rFonts w:ascii="Calibri" w:hAnsi="Calibri" w:cs="Calibri"/>
        </w:rPr>
        <w:t xml:space="preserve">Resolution 18/05 Catch Limits </w:t>
      </w:r>
    </w:p>
    <w:p w14:paraId="28E34361" w14:textId="13F3A0BA" w:rsidR="004138CC" w:rsidRPr="00580242" w:rsidRDefault="1F119641" w:rsidP="004138CC">
      <w:pPr>
        <w:pStyle w:val="IOTCReportNormalNumbered"/>
        <w:spacing w:after="120"/>
        <w:ind w:left="540" w:hanging="540"/>
        <w:rPr>
          <w:rFonts w:ascii="Calibri" w:eastAsia="MS Mincho" w:hAnsi="Calibri" w:cs="Calibri"/>
        </w:rPr>
      </w:pPr>
      <w:r w:rsidRPr="0666C0EC">
        <w:rPr>
          <w:rFonts w:ascii="Calibri" w:eastAsia="MS Mincho" w:hAnsi="Calibri" w:cs="Calibri"/>
        </w:rPr>
        <w:t xml:space="preserve">The WPB </w:t>
      </w:r>
      <w:r w:rsidRPr="0666C0EC">
        <w:rPr>
          <w:rFonts w:ascii="Calibri" w:eastAsia="MS Mincho" w:hAnsi="Calibri" w:cs="Calibri"/>
          <w:b/>
          <w:bCs/>
        </w:rPr>
        <w:t>NOTED</w:t>
      </w:r>
      <w:r w:rsidRPr="0666C0EC">
        <w:rPr>
          <w:rFonts w:ascii="Calibri" w:eastAsia="MS Mincho" w:hAnsi="Calibri" w:cs="Calibri"/>
        </w:rPr>
        <w:t xml:space="preserve"> information document </w:t>
      </w:r>
      <w:hyperlink r:id="rId56">
        <w:r w:rsidR="508930A2" w:rsidRPr="0666C0EC">
          <w:rPr>
            <w:rStyle w:val="Hyperlink"/>
            <w:rFonts w:ascii="Calibri" w:eastAsia="MS Mincho" w:hAnsi="Calibri" w:cs="Calibri"/>
          </w:rPr>
          <w:t>IOTC-2025-WPB23-INF01</w:t>
        </w:r>
      </w:hyperlink>
      <w:r w:rsidRPr="0666C0EC">
        <w:rPr>
          <w:rFonts w:ascii="Calibri" w:eastAsia="MS Mincho" w:hAnsi="Calibri" w:cs="Calibri"/>
        </w:rPr>
        <w:t>, which summarises the</w:t>
      </w:r>
      <w:r w:rsidR="508930A2" w:rsidRPr="0666C0EC">
        <w:rPr>
          <w:rFonts w:ascii="Calibri" w:eastAsia="MS Mincho" w:hAnsi="Calibri" w:cs="Calibri"/>
        </w:rPr>
        <w:t xml:space="preserve"> </w:t>
      </w:r>
      <w:r w:rsidRPr="0666C0EC">
        <w:rPr>
          <w:rFonts w:ascii="Calibri" w:eastAsia="MS Mincho" w:hAnsi="Calibri" w:cs="Calibri"/>
        </w:rPr>
        <w:t>s</w:t>
      </w:r>
      <w:r w:rsidR="508930A2" w:rsidRPr="0666C0EC">
        <w:rPr>
          <w:rFonts w:ascii="Calibri" w:eastAsia="MS Mincho" w:hAnsi="Calibri" w:cs="Calibri"/>
        </w:rPr>
        <w:t>tatus of marlins and sailfish catches- resolution 18/05 (IOTC Secretariat)</w:t>
      </w:r>
      <w:r w:rsidRPr="0666C0EC">
        <w:rPr>
          <w:rFonts w:ascii="Calibri" w:eastAsia="MS Mincho" w:hAnsi="Calibri" w:cs="Calibri"/>
        </w:rPr>
        <w:t xml:space="preserve">, </w:t>
      </w:r>
      <w:r w:rsidR="508930A2" w:rsidRPr="0666C0EC">
        <w:rPr>
          <w:rFonts w:ascii="Calibri" w:eastAsia="MS Mincho" w:hAnsi="Calibri" w:cs="Calibri"/>
        </w:rPr>
        <w:t>with the following abstract provided by the authors</w:t>
      </w:r>
    </w:p>
    <w:p w14:paraId="675DEC11" w14:textId="0586990E" w:rsidR="6BEA5C79" w:rsidRPr="003F1229" w:rsidRDefault="6BEA5C79" w:rsidP="003F1229">
      <w:pPr>
        <w:pStyle w:val="ListParagraph"/>
        <w:tabs>
          <w:tab w:val="left" w:pos="360"/>
          <w:tab w:val="left" w:pos="1080"/>
        </w:tabs>
        <w:spacing w:line="276" w:lineRule="auto"/>
        <w:ind w:left="715"/>
        <w:jc w:val="both"/>
        <w:rPr>
          <w:rFonts w:ascii="Calibri" w:hAnsi="Calibri" w:cs="Calibri"/>
        </w:rPr>
      </w:pPr>
      <w:r w:rsidRPr="003F1229">
        <w:rPr>
          <w:rFonts w:ascii="Calibri" w:hAnsi="Calibri" w:cs="Calibri"/>
        </w:rPr>
        <w:t>“</w:t>
      </w:r>
      <w:r w:rsidRPr="0666C0EC">
        <w:rPr>
          <w:rFonts w:ascii="Calibri" w:hAnsi="Calibri" w:cs="Calibri"/>
        </w:rPr>
        <w:t xml:space="preserve">There have been significant revisions in the historical catch data for billfish species overall, with some species experiencing an increase in catches, while others have seen a decline. These changes could influence the catch limits set for certain species” </w:t>
      </w:r>
    </w:p>
    <w:p w14:paraId="356E4E20" w14:textId="47BD4E31" w:rsidR="4EFCD2D7" w:rsidRDefault="4EFCD2D7" w:rsidP="0666C0EC">
      <w:pPr>
        <w:pStyle w:val="IOTCReportNormalNumbered"/>
        <w:spacing w:after="120"/>
        <w:ind w:left="540" w:hanging="540"/>
        <w:rPr>
          <w:rFonts w:ascii="Calibri" w:eastAsia="MS Mincho" w:hAnsi="Calibri" w:cs="Calibri"/>
        </w:rPr>
      </w:pPr>
      <w:r w:rsidRPr="0666C0EC">
        <w:rPr>
          <w:rFonts w:ascii="Calibri" w:eastAsia="MS Mincho" w:hAnsi="Calibri" w:cs="Calibri"/>
        </w:rPr>
        <w:t xml:space="preserve">The WPB </w:t>
      </w:r>
      <w:r w:rsidRPr="0666C0EC">
        <w:rPr>
          <w:rFonts w:ascii="Calibri" w:eastAsia="MS Mincho" w:hAnsi="Calibri" w:cs="Calibri"/>
          <w:b/>
          <w:bCs/>
        </w:rPr>
        <w:t>NOTED</w:t>
      </w:r>
      <w:r w:rsidRPr="0666C0EC">
        <w:rPr>
          <w:rFonts w:ascii="Calibri" w:eastAsia="MS Mincho" w:hAnsi="Calibri" w:cs="Calibri"/>
        </w:rPr>
        <w:t xml:space="preserve"> a decline in catches of blue marlin, resulting from the historical revision by Indonesia, which has led to an overall reduction in catches from longline fisheries</w:t>
      </w:r>
    </w:p>
    <w:p w14:paraId="65EC7459" w14:textId="68CA57E9" w:rsidR="08E0F6B4" w:rsidRDefault="08E0F6B4" w:rsidP="0666C0EC">
      <w:pPr>
        <w:pStyle w:val="IOTCReportNormalNumbered"/>
        <w:spacing w:after="120"/>
        <w:ind w:left="540" w:hanging="540"/>
        <w:rPr>
          <w:rFonts w:ascii="Calibri" w:eastAsia="MS Mincho" w:hAnsi="Calibri" w:cs="Calibri"/>
        </w:rPr>
      </w:pPr>
      <w:r w:rsidRPr="0666C0EC">
        <w:rPr>
          <w:rFonts w:ascii="Calibri" w:eastAsia="MS Mincho" w:hAnsi="Calibri" w:cs="Calibri"/>
        </w:rPr>
        <w:t xml:space="preserve">Additionally, the WPB </w:t>
      </w:r>
      <w:r w:rsidRPr="0666C0EC">
        <w:rPr>
          <w:rFonts w:ascii="Calibri" w:eastAsia="MS Mincho" w:hAnsi="Calibri" w:cs="Calibri"/>
          <w:b/>
          <w:bCs/>
        </w:rPr>
        <w:t>NOTED</w:t>
      </w:r>
      <w:r w:rsidRPr="0666C0EC">
        <w:rPr>
          <w:rFonts w:ascii="Calibri" w:eastAsia="MS Mincho" w:hAnsi="Calibri" w:cs="Calibri"/>
        </w:rPr>
        <w:t xml:space="preserve"> an increase in catches of black marlin and Indo-Pacific sailfish due to the historical revision, with both species continuing to see increased catches, particularly from gillnet fisheries in recent years.</w:t>
      </w:r>
    </w:p>
    <w:p w14:paraId="4C2F4947" w14:textId="650E6920" w:rsidR="34FAEF73" w:rsidRDefault="34FAEF73" w:rsidP="0666C0EC">
      <w:pPr>
        <w:pStyle w:val="IOTCReportNormalNumbered"/>
        <w:spacing w:after="120"/>
        <w:ind w:left="540" w:hanging="540"/>
        <w:rPr>
          <w:rFonts w:ascii="Calibri" w:eastAsia="MS Mincho" w:hAnsi="Calibri" w:cs="Calibri"/>
        </w:rPr>
      </w:pPr>
      <w:r w:rsidRPr="0666C0EC">
        <w:rPr>
          <w:rFonts w:ascii="Calibri" w:eastAsia="MS Mincho" w:hAnsi="Calibri" w:cs="Calibri"/>
        </w:rPr>
        <w:lastRenderedPageBreak/>
        <w:t>The WPB</w:t>
      </w:r>
      <w:r w:rsidRPr="0666C0EC">
        <w:rPr>
          <w:rFonts w:ascii="Calibri" w:eastAsia="MS Mincho" w:hAnsi="Calibri" w:cs="Calibri"/>
          <w:b/>
          <w:bCs/>
        </w:rPr>
        <w:t xml:space="preserve"> NOTED</w:t>
      </w:r>
      <w:r w:rsidRPr="0666C0EC">
        <w:rPr>
          <w:rFonts w:ascii="Calibri" w:eastAsia="MS Mincho" w:hAnsi="Calibri" w:cs="Calibri"/>
        </w:rPr>
        <w:t xml:space="preserve"> that catches of black marlin and Indo-Pacific sailfish have remained above the catch limit set, beyond 2020. </w:t>
      </w:r>
      <w:r w:rsidRPr="0666C0EC">
        <w:rPr>
          <w:rFonts w:ascii="Calibri" w:eastAsia="MS Mincho" w:hAnsi="Calibri" w:cs="Calibri"/>
          <w:b/>
          <w:bCs/>
        </w:rPr>
        <w:t>NOTING</w:t>
      </w:r>
      <w:r w:rsidRPr="0666C0EC">
        <w:rPr>
          <w:rFonts w:ascii="Calibri" w:eastAsia="MS Mincho" w:hAnsi="Calibri" w:cs="Calibri"/>
        </w:rPr>
        <w:t xml:space="preserve"> that catches of blue marlin have remained below the limit for the entire period, due to changes in the historical catch.</w:t>
      </w:r>
    </w:p>
    <w:p w14:paraId="79A2ABFC" w14:textId="0D8681EA" w:rsidR="4BCCEAD8" w:rsidRDefault="4BCCEAD8" w:rsidP="0666C0EC">
      <w:pPr>
        <w:pStyle w:val="IOTCReportNormalNumbered"/>
        <w:spacing w:after="120"/>
        <w:ind w:left="540" w:hanging="540"/>
        <w:rPr>
          <w:rFonts w:ascii="Calibri" w:eastAsia="MS Mincho" w:hAnsi="Calibri" w:cs="Calibri"/>
        </w:rPr>
      </w:pPr>
      <w:r w:rsidRPr="0666C0EC">
        <w:rPr>
          <w:rFonts w:ascii="Calibri" w:eastAsia="MS Mincho" w:hAnsi="Calibri" w:cs="Calibri"/>
        </w:rPr>
        <w:t xml:space="preserve">The WPB </w:t>
      </w:r>
      <w:r w:rsidR="23D5DA9A" w:rsidRPr="0666C0EC">
        <w:rPr>
          <w:rFonts w:ascii="Calibri" w:eastAsia="MS Mincho" w:hAnsi="Calibri" w:cs="Calibri"/>
          <w:b/>
          <w:bCs/>
        </w:rPr>
        <w:t>NOTED</w:t>
      </w:r>
      <w:r w:rsidRPr="0666C0EC">
        <w:rPr>
          <w:rFonts w:ascii="Calibri" w:eastAsia="MS Mincho" w:hAnsi="Calibri" w:cs="Calibri"/>
          <w:b/>
          <w:bCs/>
        </w:rPr>
        <w:t xml:space="preserve"> </w:t>
      </w:r>
      <w:r w:rsidRPr="0666C0EC">
        <w:rPr>
          <w:rFonts w:ascii="Calibri" w:eastAsia="MS Mincho" w:hAnsi="Calibri" w:cs="Calibri"/>
        </w:rPr>
        <w:t xml:space="preserve">that more recent assessments of the species in question are available and </w:t>
      </w:r>
      <w:r w:rsidR="00185BFA">
        <w:rPr>
          <w:rFonts w:ascii="Calibri" w:eastAsia="MS Mincho" w:hAnsi="Calibri" w:cs="Calibri"/>
        </w:rPr>
        <w:t>should</w:t>
      </w:r>
      <w:r w:rsidRPr="0666C0EC">
        <w:rPr>
          <w:rFonts w:ascii="Calibri" w:eastAsia="MS Mincho" w:hAnsi="Calibri" w:cs="Calibri"/>
        </w:rPr>
        <w:t xml:space="preserve"> be used to update the catch limits. Furthermore, it was </w:t>
      </w:r>
      <w:r w:rsidR="36B9BDD0" w:rsidRPr="0666C0EC">
        <w:rPr>
          <w:rFonts w:ascii="Calibri" w:eastAsia="MS Mincho" w:hAnsi="Calibri" w:cs="Calibri"/>
          <w:b/>
          <w:bCs/>
        </w:rPr>
        <w:t>NOTED</w:t>
      </w:r>
      <w:r w:rsidRPr="0666C0EC">
        <w:rPr>
          <w:rFonts w:ascii="Calibri" w:eastAsia="MS Mincho" w:hAnsi="Calibri" w:cs="Calibri"/>
        </w:rPr>
        <w:t xml:space="preserve"> that recent revisions of historical catch data have led to changes in the average catches for the period used to establish those limits.</w:t>
      </w:r>
    </w:p>
    <w:p w14:paraId="3FB1212E" w14:textId="6D682477" w:rsidR="4BCCEAD8" w:rsidRDefault="4BCCEAD8" w:rsidP="0666C0EC">
      <w:pPr>
        <w:pStyle w:val="IOTCReportNormalNumbered"/>
        <w:spacing w:after="120"/>
        <w:ind w:left="540" w:hanging="540"/>
        <w:rPr>
          <w:rFonts w:ascii="Calibri" w:eastAsia="MS Mincho" w:hAnsi="Calibri" w:cs="Calibri"/>
        </w:rPr>
      </w:pPr>
      <w:r w:rsidRPr="0666C0EC">
        <w:rPr>
          <w:rFonts w:ascii="Calibri" w:eastAsia="MS Mincho" w:hAnsi="Calibri" w:cs="Calibri"/>
        </w:rPr>
        <w:t>The WPB</w:t>
      </w:r>
      <w:r w:rsidRPr="0666C0EC">
        <w:rPr>
          <w:rFonts w:ascii="Calibri" w:eastAsia="MS Mincho" w:hAnsi="Calibri" w:cs="Calibri"/>
          <w:b/>
          <w:bCs/>
        </w:rPr>
        <w:t xml:space="preserve"> </w:t>
      </w:r>
      <w:r w:rsidR="6328EDEB" w:rsidRPr="0666C0EC">
        <w:rPr>
          <w:rFonts w:ascii="Calibri" w:eastAsia="MS Mincho" w:hAnsi="Calibri" w:cs="Calibri"/>
          <w:b/>
          <w:bCs/>
        </w:rPr>
        <w:t>REQUESTED</w:t>
      </w:r>
      <w:r w:rsidRPr="0666C0EC">
        <w:rPr>
          <w:rFonts w:ascii="Calibri" w:eastAsia="MS Mincho" w:hAnsi="Calibri" w:cs="Calibri"/>
          <w:b/>
          <w:bCs/>
        </w:rPr>
        <w:t xml:space="preserve"> </w:t>
      </w:r>
      <w:r w:rsidRPr="0666C0EC">
        <w:rPr>
          <w:rFonts w:ascii="Calibri" w:eastAsia="MS Mincho" w:hAnsi="Calibri" w:cs="Calibri"/>
        </w:rPr>
        <w:t>that this information be relayed to the Commission for advice on how the catch limits should be revised</w:t>
      </w:r>
      <w:r w:rsidR="05FEBC8F" w:rsidRPr="0666C0EC">
        <w:rPr>
          <w:rFonts w:ascii="Calibri" w:eastAsia="MS Mincho" w:hAnsi="Calibri" w:cs="Calibri"/>
        </w:rPr>
        <w:t xml:space="preserve">. </w:t>
      </w:r>
      <w:r w:rsidR="05FEBC8F" w:rsidRPr="0666C0EC">
        <w:rPr>
          <w:rFonts w:ascii="Calibri" w:eastAsia="MS Mincho" w:hAnsi="Calibri" w:cs="Calibri"/>
          <w:b/>
          <w:bCs/>
        </w:rPr>
        <w:t>NOTING</w:t>
      </w:r>
      <w:r w:rsidR="05FEBC8F" w:rsidRPr="0666C0EC">
        <w:rPr>
          <w:rFonts w:ascii="Calibri" w:eastAsia="MS Mincho" w:hAnsi="Calibri" w:cs="Calibri"/>
        </w:rPr>
        <w:t xml:space="preserve"> that the group should propose</w:t>
      </w:r>
      <w:r w:rsidR="332A4906" w:rsidRPr="0666C0EC">
        <w:rPr>
          <w:rFonts w:ascii="Calibri" w:eastAsia="MS Mincho" w:hAnsi="Calibri" w:cs="Calibri"/>
        </w:rPr>
        <w:t xml:space="preserve"> methodology on</w:t>
      </w:r>
      <w:r w:rsidR="05FEBC8F" w:rsidRPr="0666C0EC">
        <w:rPr>
          <w:rFonts w:ascii="Calibri" w:eastAsia="MS Mincho" w:hAnsi="Calibri" w:cs="Calibri"/>
        </w:rPr>
        <w:t xml:space="preserve"> how to revise the limits set forth in 18/05 to the Scientific Committee.</w:t>
      </w:r>
    </w:p>
    <w:p w14:paraId="4B0EAEF4" w14:textId="77777777" w:rsidR="00A65514" w:rsidRDefault="00A65514" w:rsidP="00A65514">
      <w:pPr>
        <w:pStyle w:val="IOTCReportNormalNumbered"/>
        <w:spacing w:after="120"/>
        <w:ind w:left="540" w:hanging="540"/>
        <w:rPr>
          <w:rFonts w:ascii="Calibri" w:eastAsia="MS Mincho" w:hAnsi="Calibri" w:cs="Calibri"/>
        </w:rPr>
      </w:pPr>
      <w:r w:rsidRPr="00B15E8F">
        <w:rPr>
          <w:rFonts w:ascii="Calibri" w:eastAsia="MS Mincho" w:hAnsi="Calibri" w:cs="Calibri"/>
        </w:rPr>
        <w:t xml:space="preserve">The WPB </w:t>
      </w:r>
      <w:r w:rsidRPr="003F1229">
        <w:rPr>
          <w:rFonts w:ascii="Calibri" w:eastAsia="MS Mincho" w:hAnsi="Calibri" w:cs="Calibri"/>
          <w:b/>
          <w:bCs/>
        </w:rPr>
        <w:t>NOTED</w:t>
      </w:r>
      <w:r w:rsidRPr="00580242">
        <w:rPr>
          <w:rFonts w:ascii="Calibri" w:eastAsia="MS Mincho" w:hAnsi="Calibri" w:cs="Calibri"/>
        </w:rPr>
        <w:t xml:space="preserve"> </w:t>
      </w:r>
      <w:r w:rsidRPr="00B15E8F">
        <w:rPr>
          <w:rFonts w:ascii="Calibri" w:eastAsia="MS Mincho" w:hAnsi="Calibri" w:cs="Calibri"/>
        </w:rPr>
        <w:t xml:space="preserve">document </w:t>
      </w:r>
      <w:hyperlink r:id="rId57" w:history="1">
        <w:r w:rsidRPr="00D719B1">
          <w:rPr>
            <w:rStyle w:val="Hyperlink"/>
            <w:rFonts w:ascii="Calibri" w:eastAsia="MS Mincho" w:hAnsi="Calibri" w:cs="Calibri"/>
          </w:rPr>
          <w:t>IOTC-2025-WPB23-23</w:t>
        </w:r>
      </w:hyperlink>
      <w:r w:rsidRPr="00580242">
        <w:rPr>
          <w:rFonts w:ascii="Calibri" w:eastAsia="MS Mincho" w:hAnsi="Calibri" w:cs="Calibri"/>
        </w:rPr>
        <w:t xml:space="preserve">, which provides a review of potential management options for IOTC marlin and sailfish, </w:t>
      </w:r>
      <w:r>
        <w:rPr>
          <w:rFonts w:ascii="Calibri" w:eastAsia="MS Mincho" w:hAnsi="Calibri" w:cs="Calibri"/>
        </w:rPr>
        <w:t>and NOTED</w:t>
      </w:r>
      <w:r w:rsidRPr="00580242">
        <w:rPr>
          <w:rFonts w:ascii="Calibri" w:eastAsia="MS Mincho" w:hAnsi="Calibri" w:cs="Calibri"/>
        </w:rPr>
        <w:t xml:space="preserve"> the following </w:t>
      </w:r>
      <w:r>
        <w:rPr>
          <w:rFonts w:ascii="Calibri" w:eastAsia="MS Mincho" w:hAnsi="Calibri" w:cs="Calibri"/>
        </w:rPr>
        <w:t xml:space="preserve">key points in the </w:t>
      </w:r>
      <w:r w:rsidRPr="00580242">
        <w:rPr>
          <w:rFonts w:ascii="Calibri" w:eastAsia="MS Mincho" w:hAnsi="Calibri" w:cs="Calibri"/>
        </w:rPr>
        <w:t>abstract provided by the authors</w:t>
      </w:r>
      <w:r>
        <w:rPr>
          <w:rFonts w:ascii="Calibri" w:eastAsia="MS Mincho" w:hAnsi="Calibri" w:cs="Calibri"/>
        </w:rPr>
        <w:t>:</w:t>
      </w:r>
    </w:p>
    <w:p w14:paraId="0D5AAAE6" w14:textId="77777777" w:rsidR="00A65514" w:rsidRDefault="00A65514" w:rsidP="00A65514">
      <w:pPr>
        <w:pStyle w:val="ListParagraph"/>
        <w:numPr>
          <w:ilvl w:val="1"/>
          <w:numId w:val="1"/>
        </w:numPr>
        <w:tabs>
          <w:tab w:val="left" w:pos="360"/>
          <w:tab w:val="left" w:pos="1080"/>
        </w:tabs>
        <w:spacing w:line="276" w:lineRule="auto"/>
        <w:jc w:val="both"/>
        <w:rPr>
          <w:rFonts w:ascii="Calibri" w:hAnsi="Calibri" w:cs="Calibri"/>
          <w:lang w:val="en-AU"/>
        </w:rPr>
      </w:pPr>
      <w:r w:rsidRPr="001D1354">
        <w:rPr>
          <w:rFonts w:ascii="Calibri" w:hAnsi="Calibri" w:cs="Calibri"/>
          <w:i/>
          <w:iCs/>
          <w:lang w:val="en-AU"/>
        </w:rPr>
        <w:t>The most recent assessments of marlin and sailfish stocks in the Indian Ocean have identified that striped marlin, black marlin and blue marlin are all subject to overfishing and striped marlin and blue marlin are currently overfished. The SC has advised that a) reductions in catch, relative to recent levels, are required for each of these stocks, to ensure or return biomass to MSY levels, and; b) Resolution 18/05 should be revised to reflect recommended catch limits and implement strengthened measures to reduce fishing mortality on these stocks.</w:t>
      </w:r>
      <w:r w:rsidRPr="0021663D">
        <w:rPr>
          <w:rFonts w:ascii="Calibri" w:hAnsi="Calibri" w:cs="Calibri"/>
          <w:lang w:val="en-AU"/>
        </w:rPr>
        <w:t xml:space="preserve"> </w:t>
      </w:r>
    </w:p>
    <w:p w14:paraId="6A5AEE60" w14:textId="77777777" w:rsidR="00A65514" w:rsidRPr="001D1354" w:rsidRDefault="00A65514" w:rsidP="00A65514">
      <w:pPr>
        <w:pStyle w:val="ListParagraph"/>
        <w:numPr>
          <w:ilvl w:val="1"/>
          <w:numId w:val="1"/>
        </w:numPr>
        <w:tabs>
          <w:tab w:val="left" w:pos="360"/>
          <w:tab w:val="left" w:pos="1080"/>
        </w:tabs>
        <w:spacing w:line="276" w:lineRule="auto"/>
        <w:jc w:val="both"/>
        <w:rPr>
          <w:rFonts w:ascii="Calibri" w:hAnsi="Calibri" w:cs="Calibri"/>
          <w:lang w:val="en-AU"/>
        </w:rPr>
      </w:pPr>
      <w:r w:rsidRPr="001D1354">
        <w:rPr>
          <w:rFonts w:ascii="Calibri" w:hAnsi="Calibri" w:cs="Calibri"/>
          <w:i/>
          <w:iCs/>
        </w:rPr>
        <w:t>This paper aims to provide a preliminary review of relevant data and scientific research to support the Working Party on Billfish (WPB) develop advice to the Scientific Committee (SC) relating to: (a) the potential effectiveness of a range of different management tools (specifically catch limits, non-retention, and gear/method-based options) for reducing fishing mortality, and (b) the need to address any gaps and uncertainties in available data and research to assist further consideration of these and other potential management options</w:t>
      </w:r>
      <w:r w:rsidRPr="001D1354">
        <w:rPr>
          <w:rFonts w:ascii="Calibri" w:hAnsi="Calibri" w:cs="Calibri"/>
        </w:rPr>
        <w:t>.</w:t>
      </w:r>
    </w:p>
    <w:p w14:paraId="3D77DB40" w14:textId="77777777" w:rsidR="00A65514" w:rsidRPr="001D1354" w:rsidRDefault="00A65514" w:rsidP="00A65514">
      <w:pPr>
        <w:pStyle w:val="ListParagraph"/>
        <w:numPr>
          <w:ilvl w:val="1"/>
          <w:numId w:val="1"/>
        </w:numPr>
        <w:tabs>
          <w:tab w:val="left" w:pos="360"/>
          <w:tab w:val="left" w:pos="1080"/>
        </w:tabs>
        <w:spacing w:line="276" w:lineRule="auto"/>
        <w:jc w:val="both"/>
        <w:rPr>
          <w:rFonts w:ascii="Calibri" w:hAnsi="Calibri" w:cs="Calibri"/>
          <w:lang w:val="en-AU"/>
        </w:rPr>
      </w:pPr>
      <w:r w:rsidRPr="001D1354">
        <w:rPr>
          <w:rFonts w:ascii="Calibri" w:hAnsi="Calibri" w:cs="Calibri"/>
          <w:i/>
          <w:iCs/>
          <w:lang w:val="en-AU"/>
        </w:rPr>
        <w:t>On the basis of catch proportions alone, effective measures applied to reduce fishing mortality by gillnet and longline are likely to have the greatest impact on overall fishing mortality on these stocks</w:t>
      </w:r>
      <w:r w:rsidRPr="0021663D">
        <w:rPr>
          <w:rFonts w:ascii="Calibri" w:hAnsi="Calibri" w:cs="Calibri"/>
          <w:lang w:val="en-AU"/>
        </w:rPr>
        <w:t>.</w:t>
      </w:r>
      <w:r w:rsidRPr="001D1354">
        <w:rPr>
          <w:rFonts w:ascii="Calibri" w:hAnsi="Calibri" w:cs="Calibri"/>
        </w:rPr>
        <w:t>”</w:t>
      </w:r>
    </w:p>
    <w:p w14:paraId="3A230230" w14:textId="77777777" w:rsidR="00A65514" w:rsidRPr="001D1354" w:rsidRDefault="00A65514" w:rsidP="00A65514">
      <w:pPr>
        <w:pStyle w:val="ListParagraph"/>
        <w:numPr>
          <w:ilvl w:val="1"/>
          <w:numId w:val="1"/>
        </w:numPr>
        <w:tabs>
          <w:tab w:val="left" w:pos="360"/>
          <w:tab w:val="left" w:pos="1080"/>
        </w:tabs>
        <w:spacing w:line="276" w:lineRule="auto"/>
        <w:jc w:val="both"/>
        <w:rPr>
          <w:rFonts w:ascii="Calibri" w:hAnsi="Calibri" w:cs="Calibri"/>
          <w:lang w:val="en-AU"/>
        </w:rPr>
      </w:pPr>
      <w:r w:rsidRPr="001D1354">
        <w:rPr>
          <w:rFonts w:ascii="Calibri" w:hAnsi="Calibri" w:cs="Calibri"/>
        </w:rPr>
        <w:t xml:space="preserve"> See the paper for the full abstract.</w:t>
      </w:r>
    </w:p>
    <w:p w14:paraId="6C17C067" w14:textId="77777777" w:rsidR="00A65514" w:rsidRDefault="00A65514" w:rsidP="00A65514">
      <w:pPr>
        <w:pStyle w:val="IOTCReportNormalNumbered"/>
        <w:spacing w:after="120"/>
        <w:ind w:left="540" w:hanging="540"/>
        <w:rPr>
          <w:rFonts w:ascii="Calibri" w:eastAsia="MS Mincho" w:hAnsi="Calibri" w:cs="Calibri"/>
        </w:rPr>
      </w:pPr>
      <w:r>
        <w:rPr>
          <w:rFonts w:ascii="Calibri" w:eastAsia="MS Mincho" w:hAnsi="Calibri" w:cs="Calibri"/>
        </w:rPr>
        <w:t xml:space="preserve">The WPB </w:t>
      </w:r>
      <w:r w:rsidRPr="00571540">
        <w:rPr>
          <w:rFonts w:ascii="Calibri" w:eastAsia="MS Mincho" w:hAnsi="Calibri" w:cs="Calibri"/>
          <w:b/>
          <w:bCs/>
        </w:rPr>
        <w:t>NOTED</w:t>
      </w:r>
      <w:r>
        <w:rPr>
          <w:rFonts w:ascii="Calibri" w:eastAsia="MS Mincho" w:hAnsi="Calibri" w:cs="Calibri"/>
        </w:rPr>
        <w:t xml:space="preserve"> that the paper discussed a range of potential management options for reducing fishing mortality on marlin stocks overfished or subject to overfishing including CPC based catch limits (within overall fishery TACs), non-retention options and fishing gear or method-based options/mitigation (that considered predominantly gillnet and longline based approaches). </w:t>
      </w:r>
    </w:p>
    <w:p w14:paraId="663D2EDE" w14:textId="77777777" w:rsidR="00A65514" w:rsidRDefault="00A65514" w:rsidP="00A65514">
      <w:pPr>
        <w:pStyle w:val="IOTCReportNormalNumbered"/>
        <w:spacing w:after="120"/>
        <w:ind w:left="540" w:hanging="540"/>
        <w:rPr>
          <w:rFonts w:ascii="Calibri" w:eastAsia="MS Mincho" w:hAnsi="Calibri" w:cs="Calibri"/>
        </w:rPr>
      </w:pPr>
      <w:r>
        <w:rPr>
          <w:rFonts w:ascii="Calibri" w:eastAsia="MS Mincho" w:hAnsi="Calibri" w:cs="Calibri"/>
        </w:rPr>
        <w:t xml:space="preserve">In relation to CPC catch limits, the WPB </w:t>
      </w:r>
      <w:r w:rsidRPr="00246D96">
        <w:rPr>
          <w:rFonts w:ascii="Calibri" w:eastAsia="MS Mincho" w:hAnsi="Calibri" w:cs="Calibri"/>
          <w:b/>
          <w:bCs/>
        </w:rPr>
        <w:t>NOTED</w:t>
      </w:r>
      <w:r>
        <w:rPr>
          <w:rFonts w:ascii="Calibri" w:eastAsia="MS Mincho" w:hAnsi="Calibri" w:cs="Calibri"/>
        </w:rPr>
        <w:t xml:space="preserve"> that this approach had been applied in a number of other RFMO’s and at least one participant expressed the view that this should be the Commissions preferred approach to reducing fishing mortality. The WPB NOTED the authors comment that the paper at this stage was not attempting to recommend any specific approach, but rather review and assess information pertaining to the potential efficacy of a range of different potential management approaches, as well as identify information and data gaps for further consideration. </w:t>
      </w:r>
    </w:p>
    <w:p w14:paraId="543BF9CD" w14:textId="77777777" w:rsidR="00A65514" w:rsidRDefault="00A65514" w:rsidP="00A65514">
      <w:pPr>
        <w:pStyle w:val="IOTCReportNormalNumbered"/>
        <w:spacing w:after="120"/>
        <w:ind w:left="540" w:hanging="540"/>
        <w:rPr>
          <w:rFonts w:ascii="Calibri" w:eastAsia="MS Mincho" w:hAnsi="Calibri" w:cs="Calibri"/>
        </w:rPr>
      </w:pPr>
      <w:r>
        <w:rPr>
          <w:rFonts w:ascii="Calibri" w:eastAsia="MS Mincho" w:hAnsi="Calibri" w:cs="Calibri"/>
        </w:rPr>
        <w:t xml:space="preserve">In relation to non-retention options, the WPB </w:t>
      </w:r>
      <w:r w:rsidRPr="00246D96">
        <w:rPr>
          <w:rFonts w:ascii="Calibri" w:eastAsia="MS Mincho" w:hAnsi="Calibri" w:cs="Calibri"/>
          <w:b/>
          <w:bCs/>
        </w:rPr>
        <w:t>NOTED</w:t>
      </w:r>
      <w:r>
        <w:rPr>
          <w:rFonts w:ascii="Calibri" w:eastAsia="MS Mincho" w:hAnsi="Calibri" w:cs="Calibri"/>
        </w:rPr>
        <w:t xml:space="preserve"> that the paper provided a preliminary review of existing data and research on at-haul mortality and post-release mortality for these species, with the authors concluding that </w:t>
      </w:r>
      <w:r w:rsidRPr="00073CC1">
        <w:rPr>
          <w:rFonts w:ascii="Calibri" w:eastAsia="MS Mincho" w:hAnsi="Calibri" w:cs="Calibri"/>
          <w:lang w:val="en-AU"/>
        </w:rPr>
        <w:t xml:space="preserve">non-retention approaches in longline fisheries </w:t>
      </w:r>
      <w:r w:rsidRPr="001D1354">
        <w:rPr>
          <w:rFonts w:ascii="Calibri" w:eastAsia="MS Mincho" w:hAnsi="Calibri" w:cs="Calibri"/>
          <w:i/>
          <w:iCs/>
          <w:lang w:val="en-AU"/>
        </w:rPr>
        <w:t>may</w:t>
      </w:r>
      <w:r w:rsidRPr="00073CC1">
        <w:rPr>
          <w:rFonts w:ascii="Calibri" w:eastAsia="MS Mincho" w:hAnsi="Calibri" w:cs="Calibri"/>
          <w:lang w:val="en-AU"/>
        </w:rPr>
        <w:t xml:space="preserve"> have potential to contribute to reductions in overall fishing mortality for the three marlin species (especially blue marlin)</w:t>
      </w:r>
      <w:r>
        <w:rPr>
          <w:rFonts w:ascii="Calibri" w:eastAsia="MS Mincho" w:hAnsi="Calibri" w:cs="Calibri"/>
          <w:lang w:val="en-AU"/>
        </w:rPr>
        <w:t xml:space="preserve"> but will likely be much less effective in other fisheries for which at-haul mortality is very high.</w:t>
      </w:r>
      <w:r w:rsidRPr="00073CC1">
        <w:rPr>
          <w:rFonts w:ascii="Calibri" w:eastAsia="MS Mincho" w:hAnsi="Calibri" w:cs="Calibri"/>
          <w:lang w:val="en-AU"/>
        </w:rPr>
        <w:t xml:space="preserve"> </w:t>
      </w:r>
      <w:r>
        <w:rPr>
          <w:rFonts w:ascii="Calibri" w:eastAsia="MS Mincho" w:hAnsi="Calibri" w:cs="Calibri"/>
        </w:rPr>
        <w:t xml:space="preserve"> </w:t>
      </w:r>
    </w:p>
    <w:p w14:paraId="1BEB10AE" w14:textId="77777777" w:rsidR="00A65514" w:rsidRDefault="00A65514" w:rsidP="00A65514">
      <w:pPr>
        <w:pStyle w:val="IOTCReportNormalNumbered"/>
        <w:spacing w:after="120"/>
        <w:ind w:left="540" w:hanging="540"/>
        <w:rPr>
          <w:rFonts w:ascii="Calibri" w:eastAsia="MS Mincho" w:hAnsi="Calibri" w:cs="Calibri"/>
        </w:rPr>
      </w:pPr>
      <w:r>
        <w:rPr>
          <w:rFonts w:ascii="Calibri" w:eastAsia="MS Mincho" w:hAnsi="Calibri" w:cs="Calibri"/>
        </w:rPr>
        <w:t xml:space="preserve">In relation to fishing gear depth-related measures (particularly for gillnet setting depth), the paper reviewed research on vertical habitat use by each species, and on the basis of this, the WPB </w:t>
      </w:r>
      <w:r w:rsidRPr="009D79BE">
        <w:rPr>
          <w:rFonts w:ascii="Calibri" w:eastAsia="MS Mincho" w:hAnsi="Calibri" w:cs="Calibri"/>
          <w:b/>
          <w:bCs/>
        </w:rPr>
        <w:t>NOTED</w:t>
      </w:r>
      <w:r>
        <w:rPr>
          <w:rFonts w:ascii="Calibri" w:eastAsia="MS Mincho" w:hAnsi="Calibri" w:cs="Calibri"/>
        </w:rPr>
        <w:t xml:space="preserve"> that the authors had recommended that there be further at sea fishing trials of a range of different gillnet setting depths to determine if that approach offers a feasible option for reducing fishing mortality of these species by gillnet. </w:t>
      </w:r>
    </w:p>
    <w:p w14:paraId="4CD96544" w14:textId="1A6A60BC" w:rsidR="00A65514" w:rsidRPr="009D79BE" w:rsidRDefault="00A65514" w:rsidP="009D79BE">
      <w:pPr>
        <w:pStyle w:val="IOTCReportNormalNumbered"/>
        <w:spacing w:after="120"/>
        <w:ind w:left="540" w:hanging="540"/>
        <w:rPr>
          <w:rFonts w:ascii="Calibri" w:eastAsia="MS Mincho" w:hAnsi="Calibri" w:cs="Calibri"/>
        </w:rPr>
      </w:pPr>
      <w:r>
        <w:rPr>
          <w:rFonts w:ascii="Calibri" w:eastAsia="MS Mincho" w:hAnsi="Calibri" w:cs="Calibri"/>
        </w:rPr>
        <w:t xml:space="preserve">The WPB </w:t>
      </w:r>
      <w:r w:rsidRPr="009D79BE">
        <w:rPr>
          <w:rFonts w:ascii="Calibri" w:eastAsia="MS Mincho" w:hAnsi="Calibri" w:cs="Calibri"/>
          <w:b/>
          <w:bCs/>
        </w:rPr>
        <w:t>NOTED</w:t>
      </w:r>
      <w:r>
        <w:rPr>
          <w:rFonts w:ascii="Calibri" w:eastAsia="MS Mincho" w:hAnsi="Calibri" w:cs="Calibri"/>
        </w:rPr>
        <w:t xml:space="preserve"> that the authors considered a range of elements of the review paper to be preliminary reviews and that further work would be undertaken to revise and strengthen the paper in future, including the need to obtain additional data from CPCs to further assess some of the management options considered. </w:t>
      </w:r>
    </w:p>
    <w:p w14:paraId="6E42D0C4" w14:textId="0441013E" w:rsidR="00787205" w:rsidRPr="00205713" w:rsidRDefault="00787205" w:rsidP="00205713">
      <w:pPr>
        <w:pStyle w:val="IOTCReportNormalNumbered"/>
        <w:spacing w:after="120"/>
        <w:ind w:left="540" w:hanging="540"/>
        <w:rPr>
          <w:rFonts w:ascii="Calibri" w:eastAsia="MS Mincho" w:hAnsi="Calibri" w:cs="Calibri"/>
        </w:rPr>
      </w:pPr>
      <w:r w:rsidRPr="00D719B1">
        <w:rPr>
          <w:rFonts w:ascii="Calibri" w:eastAsia="MS Mincho" w:hAnsi="Calibri" w:cs="Calibri"/>
          <w:b/>
          <w:bCs/>
        </w:rPr>
        <w:lastRenderedPageBreak/>
        <w:t>N</w:t>
      </w:r>
      <w:r w:rsidR="006C478C">
        <w:rPr>
          <w:rFonts w:ascii="Calibri" w:eastAsia="MS Mincho" w:hAnsi="Calibri" w:cs="Calibri"/>
          <w:b/>
          <w:bCs/>
        </w:rPr>
        <w:t>OTING</w:t>
      </w:r>
      <w:r w:rsidRPr="00205713">
        <w:rPr>
          <w:rFonts w:ascii="Calibri" w:eastAsia="MS Mincho" w:hAnsi="Calibri" w:cs="Calibri"/>
        </w:rPr>
        <w:t xml:space="preserve"> the necessity to gather information to enable the development of advice relating to a range of potential management measures to complement the commonly used CPC based catch advice, the WPB </w:t>
      </w:r>
      <w:r w:rsidRPr="001C17DB">
        <w:rPr>
          <w:rFonts w:ascii="Calibri" w:eastAsia="MS Mincho" w:hAnsi="Calibri" w:cs="Calibri"/>
          <w:b/>
          <w:bCs/>
        </w:rPr>
        <w:t>RECOMMEN</w:t>
      </w:r>
      <w:r w:rsidR="0061323C">
        <w:rPr>
          <w:rFonts w:ascii="Calibri" w:eastAsia="MS Mincho" w:hAnsi="Calibri" w:cs="Calibri"/>
          <w:b/>
          <w:bCs/>
        </w:rPr>
        <w:t>D</w:t>
      </w:r>
      <w:r w:rsidR="006C478C">
        <w:rPr>
          <w:rFonts w:ascii="Calibri" w:eastAsia="MS Mincho" w:hAnsi="Calibri" w:cs="Calibri"/>
          <w:b/>
          <w:bCs/>
        </w:rPr>
        <w:t>ED</w:t>
      </w:r>
      <w:r w:rsidRPr="00205713">
        <w:rPr>
          <w:rFonts w:ascii="Calibri" w:eastAsia="MS Mincho" w:hAnsi="Calibri" w:cs="Calibri"/>
        </w:rPr>
        <w:t xml:space="preserve"> that the Scientific Committee </w:t>
      </w:r>
      <w:r w:rsidRPr="0015221B">
        <w:rPr>
          <w:rFonts w:ascii="Calibri" w:eastAsia="MS Mincho" w:hAnsi="Calibri" w:cs="Calibri"/>
          <w:b/>
          <w:bCs/>
        </w:rPr>
        <w:t>REQUEST</w:t>
      </w:r>
      <w:r w:rsidRPr="00205713">
        <w:rPr>
          <w:rFonts w:ascii="Calibri" w:eastAsia="MS Mincho" w:hAnsi="Calibri" w:cs="Calibri"/>
        </w:rPr>
        <w:t>:</w:t>
      </w:r>
    </w:p>
    <w:p w14:paraId="144FE8BD" w14:textId="77777777" w:rsidR="00787205" w:rsidRPr="00D719B1" w:rsidRDefault="00787205" w:rsidP="001D3B53">
      <w:pPr>
        <w:pStyle w:val="ListParagraph"/>
        <w:numPr>
          <w:ilvl w:val="0"/>
          <w:numId w:val="61"/>
        </w:numPr>
        <w:spacing w:after="160" w:line="278" w:lineRule="auto"/>
        <w:rPr>
          <w:rFonts w:ascii="Calibri" w:hAnsi="Calibri" w:cs="Calibri"/>
        </w:rPr>
      </w:pPr>
      <w:r w:rsidRPr="00D719B1">
        <w:rPr>
          <w:rFonts w:ascii="Calibri" w:hAnsi="Calibri" w:cs="Calibri"/>
        </w:rPr>
        <w:t>That the IOTC Secretariat (or alternately CPCs, where the Secretariat does not hold a CPCs relevant data or information) provide summaries of observer data (or logbook data or other relevant information) to WPB pertaining to the following data types for the following fishery types:</w:t>
      </w:r>
    </w:p>
    <w:p w14:paraId="58A0661D" w14:textId="77777777" w:rsidR="00787205" w:rsidRPr="00D719B1" w:rsidRDefault="00787205" w:rsidP="001D3B53">
      <w:pPr>
        <w:pStyle w:val="ListParagraph"/>
        <w:numPr>
          <w:ilvl w:val="1"/>
          <w:numId w:val="61"/>
        </w:numPr>
        <w:spacing w:after="160" w:line="278" w:lineRule="auto"/>
        <w:rPr>
          <w:rFonts w:ascii="Calibri" w:hAnsi="Calibri" w:cs="Calibri"/>
        </w:rPr>
      </w:pPr>
      <w:r w:rsidRPr="00D719B1">
        <w:rPr>
          <w:rFonts w:ascii="Calibri" w:hAnsi="Calibri" w:cs="Calibri"/>
          <w:b/>
          <w:bCs/>
        </w:rPr>
        <w:t>All gear/fishery types</w:t>
      </w:r>
      <w:r w:rsidRPr="00D719B1">
        <w:rPr>
          <w:rFonts w:ascii="Calibri" w:hAnsi="Calibri" w:cs="Calibri"/>
        </w:rPr>
        <w:t xml:space="preserve"> – discarding/retention rates and at-haul mortality (%) for each marlin and sailfish species, by fishery/gear type.</w:t>
      </w:r>
    </w:p>
    <w:p w14:paraId="1C7A3D01" w14:textId="77777777" w:rsidR="00787205" w:rsidRPr="00D719B1" w:rsidRDefault="00787205" w:rsidP="001D3B53">
      <w:pPr>
        <w:pStyle w:val="ListParagraph"/>
        <w:numPr>
          <w:ilvl w:val="1"/>
          <w:numId w:val="61"/>
        </w:numPr>
        <w:spacing w:after="160" w:line="278" w:lineRule="auto"/>
        <w:rPr>
          <w:rFonts w:ascii="Calibri" w:hAnsi="Calibri" w:cs="Calibri"/>
        </w:rPr>
      </w:pPr>
      <w:r w:rsidRPr="00D719B1">
        <w:rPr>
          <w:rFonts w:ascii="Calibri" w:hAnsi="Calibri" w:cs="Calibri"/>
          <w:b/>
          <w:bCs/>
        </w:rPr>
        <w:t>Longline</w:t>
      </w:r>
      <w:r w:rsidRPr="00D719B1">
        <w:rPr>
          <w:rFonts w:ascii="Calibri" w:hAnsi="Calibri" w:cs="Calibri"/>
        </w:rPr>
        <w:t xml:space="preserve"> – proportion of each fleet using different hook types and sizes (Japanese tuna, J hook, Circle hook, other)</w:t>
      </w:r>
    </w:p>
    <w:p w14:paraId="18831A5F" w14:textId="77777777" w:rsidR="00787205" w:rsidRPr="00D719B1" w:rsidRDefault="00787205" w:rsidP="001D3B53">
      <w:pPr>
        <w:pStyle w:val="ListParagraph"/>
        <w:numPr>
          <w:ilvl w:val="1"/>
          <w:numId w:val="61"/>
        </w:numPr>
        <w:spacing w:after="160" w:line="278" w:lineRule="auto"/>
        <w:rPr>
          <w:rFonts w:ascii="Calibri" w:hAnsi="Calibri" w:cs="Calibri"/>
        </w:rPr>
      </w:pPr>
      <w:r w:rsidRPr="00D719B1">
        <w:rPr>
          <w:rFonts w:ascii="Calibri" w:hAnsi="Calibri" w:cs="Calibri"/>
          <w:b/>
          <w:bCs/>
        </w:rPr>
        <w:t>Gillnet</w:t>
      </w:r>
      <w:r w:rsidRPr="00D719B1">
        <w:rPr>
          <w:rFonts w:ascii="Calibri" w:hAnsi="Calibri" w:cs="Calibri"/>
        </w:rPr>
        <w:t xml:space="preserve"> – estimate of the proportion of the gillnet fleet using subsurface setting, and if possible, preferred depths used in fishery, and whether the fishery predominantly sets/soaks the gear overnight or through the day (or other)</w:t>
      </w:r>
    </w:p>
    <w:p w14:paraId="78975B2A" w14:textId="6B660A0C" w:rsidR="00787205" w:rsidRPr="00D719B1" w:rsidRDefault="00787205" w:rsidP="001D3B53">
      <w:pPr>
        <w:pStyle w:val="ListParagraph"/>
        <w:numPr>
          <w:ilvl w:val="0"/>
          <w:numId w:val="61"/>
        </w:numPr>
        <w:spacing w:after="160" w:line="278" w:lineRule="auto"/>
        <w:rPr>
          <w:rFonts w:ascii="Calibri" w:hAnsi="Calibri" w:cs="Calibri"/>
        </w:rPr>
      </w:pPr>
      <w:r w:rsidRPr="00D719B1">
        <w:rPr>
          <w:rFonts w:ascii="Calibri" w:hAnsi="Calibri" w:cs="Calibri"/>
        </w:rPr>
        <w:t xml:space="preserve">CPCs to consider undertaking </w:t>
      </w:r>
      <w:r w:rsidR="00547362" w:rsidRPr="00D719B1">
        <w:rPr>
          <w:rFonts w:ascii="Calibri" w:hAnsi="Calibri" w:cs="Calibri"/>
        </w:rPr>
        <w:t xml:space="preserve">analyses </w:t>
      </w:r>
      <w:r w:rsidR="00547362">
        <w:rPr>
          <w:rFonts w:ascii="Calibri" w:hAnsi="Calibri" w:cs="Calibri"/>
        </w:rPr>
        <w:t xml:space="preserve">(e.g., </w:t>
      </w:r>
      <w:r w:rsidR="00547362" w:rsidRPr="00D719B1">
        <w:rPr>
          <w:rFonts w:ascii="Calibri" w:hAnsi="Calibri" w:cs="Calibri"/>
        </w:rPr>
        <w:t>model-based</w:t>
      </w:r>
      <w:r w:rsidR="00547362">
        <w:rPr>
          <w:rFonts w:ascii="Calibri" w:hAnsi="Calibri" w:cs="Calibri"/>
        </w:rPr>
        <w:t xml:space="preserve">) </w:t>
      </w:r>
      <w:r w:rsidRPr="00D719B1">
        <w:rPr>
          <w:rFonts w:ascii="Calibri" w:hAnsi="Calibri" w:cs="Calibri"/>
        </w:rPr>
        <w:t>of at-haul mortality, at a longline fleet level (and if possible for troll/handline), to help identify key factors driving at-haul mortality and subsequently, possibly help identify additional options to reduce at haul mortality.</w:t>
      </w:r>
    </w:p>
    <w:p w14:paraId="61916459" w14:textId="77777777" w:rsidR="00787205" w:rsidRPr="00D719B1" w:rsidRDefault="00787205" w:rsidP="001D3B53">
      <w:pPr>
        <w:pStyle w:val="ListParagraph"/>
        <w:numPr>
          <w:ilvl w:val="0"/>
          <w:numId w:val="61"/>
        </w:numPr>
        <w:spacing w:after="160" w:line="278" w:lineRule="auto"/>
        <w:rPr>
          <w:rFonts w:ascii="Calibri" w:hAnsi="Calibri" w:cs="Calibri"/>
        </w:rPr>
      </w:pPr>
      <w:r w:rsidRPr="00D719B1">
        <w:rPr>
          <w:rFonts w:ascii="Calibri" w:hAnsi="Calibri" w:cs="Calibri"/>
        </w:rPr>
        <w:t>CPCs individually or collaboratively conduct gillnet experimental fishing trials that:</w:t>
      </w:r>
    </w:p>
    <w:p w14:paraId="21C3A18C" w14:textId="77777777" w:rsidR="00787205" w:rsidRPr="00D719B1" w:rsidRDefault="00787205" w:rsidP="001D3B53">
      <w:pPr>
        <w:pStyle w:val="ListParagraph"/>
        <w:numPr>
          <w:ilvl w:val="1"/>
          <w:numId w:val="61"/>
        </w:numPr>
        <w:spacing w:after="160" w:line="278" w:lineRule="auto"/>
        <w:rPr>
          <w:rFonts w:ascii="Calibri" w:hAnsi="Calibri" w:cs="Calibri"/>
        </w:rPr>
      </w:pPr>
      <w:r w:rsidRPr="00D719B1">
        <w:rPr>
          <w:rFonts w:ascii="Calibri" w:hAnsi="Calibri" w:cs="Calibri"/>
        </w:rPr>
        <w:t>Aim to test different setting depths and times of setting/soaking (e.g. day/night), on catch rates and mortality of interacting species</w:t>
      </w:r>
    </w:p>
    <w:p w14:paraId="69192AF5" w14:textId="77777777" w:rsidR="00787205" w:rsidRPr="00D719B1" w:rsidRDefault="00787205" w:rsidP="001D3B53">
      <w:pPr>
        <w:pStyle w:val="ListParagraph"/>
        <w:numPr>
          <w:ilvl w:val="1"/>
          <w:numId w:val="61"/>
        </w:numPr>
        <w:spacing w:after="160" w:line="278" w:lineRule="auto"/>
        <w:rPr>
          <w:rFonts w:ascii="Calibri" w:hAnsi="Calibri" w:cs="Calibri"/>
        </w:rPr>
      </w:pPr>
      <w:r w:rsidRPr="00D719B1">
        <w:rPr>
          <w:rFonts w:ascii="Calibri" w:hAnsi="Calibri" w:cs="Calibri"/>
        </w:rPr>
        <w:t>Collect data on all interacting species including billfish bycatch, target tuna and vulnerable species (e.g. cetaceans, turtles), in order to provide the Commission a quantified understanding of likely effects and possible trade-offs of various subsurface setting options, on each species.</w:t>
      </w:r>
    </w:p>
    <w:p w14:paraId="0591F491" w14:textId="77777777" w:rsidR="00787205" w:rsidRPr="00D719B1" w:rsidRDefault="00787205" w:rsidP="001D3B53">
      <w:pPr>
        <w:pStyle w:val="ListParagraph"/>
        <w:numPr>
          <w:ilvl w:val="1"/>
          <w:numId w:val="61"/>
        </w:numPr>
        <w:spacing w:after="160" w:line="278" w:lineRule="auto"/>
        <w:rPr>
          <w:rFonts w:ascii="Calibri" w:hAnsi="Calibri" w:cs="Calibri"/>
        </w:rPr>
      </w:pPr>
      <w:r w:rsidRPr="00D719B1">
        <w:rPr>
          <w:rFonts w:ascii="Calibri" w:hAnsi="Calibri" w:cs="Calibri"/>
        </w:rPr>
        <w:t>Prioritise accurate species identification.</w:t>
      </w:r>
    </w:p>
    <w:p w14:paraId="4B5FFFF2" w14:textId="5273F166" w:rsidR="00787205" w:rsidRPr="00205713" w:rsidRDefault="00787205" w:rsidP="00205713">
      <w:pPr>
        <w:pStyle w:val="IOTCReportNormalNumbered"/>
        <w:spacing w:after="120"/>
        <w:ind w:left="540" w:hanging="540"/>
        <w:rPr>
          <w:rFonts w:ascii="Calibri" w:eastAsia="MS Mincho" w:hAnsi="Calibri" w:cs="Calibri"/>
        </w:rPr>
      </w:pPr>
      <w:r w:rsidRPr="00205713">
        <w:rPr>
          <w:rFonts w:ascii="Calibri" w:eastAsia="MS Mincho" w:hAnsi="Calibri" w:cs="Calibri"/>
        </w:rPr>
        <w:t xml:space="preserve">In addition, the WPB </w:t>
      </w:r>
      <w:r w:rsidRPr="001C17DB">
        <w:rPr>
          <w:rFonts w:ascii="Calibri" w:eastAsia="MS Mincho" w:hAnsi="Calibri" w:cs="Calibri"/>
          <w:b/>
          <w:bCs/>
        </w:rPr>
        <w:t>RECOMMENDED</w:t>
      </w:r>
      <w:r w:rsidRPr="00205713">
        <w:rPr>
          <w:rFonts w:ascii="Calibri" w:eastAsia="MS Mincho" w:hAnsi="Calibri" w:cs="Calibri"/>
        </w:rPr>
        <w:t xml:space="preserve"> that the Scientific Committee advise the Commission to give consideration to how such a trial (point (3) above)</w:t>
      </w:r>
      <w:r w:rsidR="001C17DB">
        <w:rPr>
          <w:rFonts w:ascii="Calibri" w:eastAsia="MS Mincho" w:hAnsi="Calibri" w:cs="Calibri"/>
        </w:rPr>
        <w:t xml:space="preserve"> </w:t>
      </w:r>
      <w:r w:rsidRPr="00205713">
        <w:rPr>
          <w:rFonts w:ascii="Calibri" w:eastAsia="MS Mincho" w:hAnsi="Calibri" w:cs="Calibri"/>
        </w:rPr>
        <w:t xml:space="preserve">might be supported financially and logistically. </w:t>
      </w:r>
    </w:p>
    <w:p w14:paraId="7F3474F3" w14:textId="77777777" w:rsidR="004138CC" w:rsidRDefault="004138CC" w:rsidP="00375272">
      <w:pPr>
        <w:pStyle w:val="IOTCReportNormalNumbered"/>
        <w:numPr>
          <w:ilvl w:val="0"/>
          <w:numId w:val="0"/>
        </w:numPr>
        <w:rPr>
          <w:rFonts w:ascii="Calibri" w:eastAsia="Calibri" w:hAnsi="Calibri" w:cs="Calibri"/>
          <w:color w:val="000000" w:themeColor="text1"/>
        </w:rPr>
      </w:pPr>
    </w:p>
    <w:p w14:paraId="7FA6876E" w14:textId="77777777" w:rsidR="00A5689A" w:rsidRPr="00A5689A" w:rsidRDefault="00A5689A" w:rsidP="00A5689A">
      <w:pPr>
        <w:pStyle w:val="IOTCAgendaH1"/>
        <w:keepNext w:val="0"/>
        <w:rPr>
          <w:rFonts w:ascii="Calibri" w:hAnsi="Calibri" w:cs="Calibri"/>
        </w:rPr>
      </w:pPr>
      <w:bookmarkStart w:id="53" w:name="_Toc210218013"/>
      <w:bookmarkStart w:id="54" w:name="_Toc218672869"/>
      <w:bookmarkStart w:id="55" w:name="_Toc218916703"/>
      <w:bookmarkStart w:id="56" w:name="_Toc289173017"/>
      <w:bookmarkStart w:id="57" w:name="_Toc163032605"/>
      <w:bookmarkStart w:id="58" w:name="_Toc336947268"/>
      <w:r w:rsidRPr="198CDDB5">
        <w:rPr>
          <w:rFonts w:ascii="Calibri" w:hAnsi="Calibri" w:cs="Calibri"/>
        </w:rPr>
        <w:t>WPB PROGRAM OF WORK</w:t>
      </w:r>
      <w:bookmarkEnd w:id="53"/>
    </w:p>
    <w:p w14:paraId="490F7B2E" w14:textId="08999EB2" w:rsidR="006E4896" w:rsidRPr="0015221B" w:rsidRDefault="00A5689A" w:rsidP="0015221B">
      <w:pPr>
        <w:pStyle w:val="IOTCsubheading2"/>
        <w:ind w:left="1134" w:hanging="654"/>
        <w:rPr>
          <w:rFonts w:ascii="Calibri" w:hAnsi="Calibri" w:cs="Calibri"/>
        </w:rPr>
      </w:pPr>
      <w:r w:rsidRPr="006E4896">
        <w:rPr>
          <w:rFonts w:ascii="Calibri" w:hAnsi="Calibri" w:cs="Calibri"/>
        </w:rPr>
        <w:t>Revision of the WPB Program of Work (202</w:t>
      </w:r>
      <w:r w:rsidR="00B139A2">
        <w:rPr>
          <w:rFonts w:ascii="Calibri" w:hAnsi="Calibri" w:cs="Calibri"/>
        </w:rPr>
        <w:t>6</w:t>
      </w:r>
      <w:r w:rsidRPr="006E4896">
        <w:rPr>
          <w:rFonts w:ascii="Calibri" w:hAnsi="Calibri" w:cs="Calibri"/>
        </w:rPr>
        <w:t>–</w:t>
      </w:r>
      <w:r w:rsidR="00B139A2">
        <w:rPr>
          <w:rFonts w:ascii="Calibri" w:hAnsi="Calibri" w:cs="Calibri"/>
        </w:rPr>
        <w:t>2030</w:t>
      </w:r>
      <w:r w:rsidRPr="006E4896">
        <w:rPr>
          <w:rFonts w:ascii="Calibri" w:hAnsi="Calibri" w:cs="Calibri"/>
        </w:rPr>
        <w:t>) (Chairperson and IOTC Secretariat)</w:t>
      </w:r>
    </w:p>
    <w:p w14:paraId="58EAD825" w14:textId="798B7D61" w:rsidR="006E4896" w:rsidRPr="00375272" w:rsidRDefault="00580242" w:rsidP="00375272">
      <w:pPr>
        <w:pStyle w:val="IOTCReportNormalNumbered"/>
        <w:spacing w:after="120"/>
        <w:ind w:left="540" w:hanging="540"/>
        <w:rPr>
          <w:rFonts w:ascii="Calibri" w:eastAsia="MS Mincho" w:hAnsi="Calibri" w:cs="Calibri"/>
        </w:rPr>
      </w:pPr>
      <w:r w:rsidRPr="00B15E8F">
        <w:rPr>
          <w:rFonts w:ascii="Calibri" w:eastAsia="MS Mincho" w:hAnsi="Calibri" w:cs="Calibri"/>
        </w:rPr>
        <w:t xml:space="preserve">The WPB </w:t>
      </w:r>
      <w:r w:rsidRPr="0015221B">
        <w:rPr>
          <w:rFonts w:ascii="Calibri" w:eastAsia="MS Mincho" w:hAnsi="Calibri" w:cs="Calibri"/>
          <w:b/>
          <w:bCs/>
        </w:rPr>
        <w:t>NOTED</w:t>
      </w:r>
      <w:r w:rsidRPr="00580242">
        <w:rPr>
          <w:rFonts w:ascii="Calibri" w:eastAsia="MS Mincho" w:hAnsi="Calibri" w:cs="Calibri"/>
        </w:rPr>
        <w:t xml:space="preserve"> </w:t>
      </w:r>
      <w:r w:rsidR="00214E4E">
        <w:rPr>
          <w:rFonts w:ascii="Calibri" w:eastAsia="MS Mincho" w:hAnsi="Calibri" w:cs="Calibri"/>
        </w:rPr>
        <w:t xml:space="preserve">document </w:t>
      </w:r>
      <w:hyperlink r:id="rId58" w:history="1">
        <w:r w:rsidR="00A5689A" w:rsidRPr="00214E4E">
          <w:rPr>
            <w:rStyle w:val="Hyperlink"/>
            <w:rFonts w:ascii="Calibri" w:eastAsia="MS Mincho" w:hAnsi="Calibri" w:cs="Calibri"/>
          </w:rPr>
          <w:t>IOTC-2</w:t>
        </w:r>
        <w:r w:rsidR="007256B6" w:rsidRPr="00214E4E">
          <w:rPr>
            <w:rStyle w:val="Hyperlink"/>
            <w:rFonts w:ascii="Calibri" w:eastAsia="MS Mincho" w:hAnsi="Calibri" w:cs="Calibri"/>
          </w:rPr>
          <w:t>02</w:t>
        </w:r>
        <w:r w:rsidR="004138CC" w:rsidRPr="00214E4E">
          <w:rPr>
            <w:rStyle w:val="Hyperlink"/>
            <w:rFonts w:ascii="Calibri" w:eastAsia="MS Mincho" w:hAnsi="Calibri" w:cs="Calibri"/>
          </w:rPr>
          <w:t>5</w:t>
        </w:r>
        <w:r w:rsidR="00A5689A" w:rsidRPr="00214E4E">
          <w:rPr>
            <w:rStyle w:val="Hyperlink"/>
            <w:rFonts w:ascii="Calibri" w:eastAsia="MS Mincho" w:hAnsi="Calibri" w:cs="Calibri"/>
          </w:rPr>
          <w:t>-WPB2</w:t>
        </w:r>
        <w:r w:rsidR="007256B6" w:rsidRPr="00214E4E">
          <w:rPr>
            <w:rStyle w:val="Hyperlink"/>
            <w:rFonts w:ascii="Calibri" w:eastAsia="MS Mincho" w:hAnsi="Calibri" w:cs="Calibri"/>
          </w:rPr>
          <w:t>3-</w:t>
        </w:r>
        <w:r w:rsidR="00A5689A" w:rsidRPr="00214E4E">
          <w:rPr>
            <w:rStyle w:val="Hyperlink"/>
            <w:rFonts w:ascii="Calibri" w:eastAsia="MS Mincho" w:hAnsi="Calibri" w:cs="Calibri"/>
          </w:rPr>
          <w:t>08</w:t>
        </w:r>
      </w:hyperlink>
      <w:r w:rsidR="00214E4E">
        <w:rPr>
          <w:rFonts w:ascii="Calibri" w:eastAsia="MS Mincho" w:hAnsi="Calibri" w:cs="Calibri"/>
        </w:rPr>
        <w:t>, which provides a</w:t>
      </w:r>
      <w:r w:rsidR="00A5689A" w:rsidRPr="00580242">
        <w:rPr>
          <w:rFonts w:ascii="Calibri" w:eastAsia="MS Mincho" w:hAnsi="Calibri" w:cs="Calibri"/>
        </w:rPr>
        <w:t xml:space="preserve"> </w:t>
      </w:r>
      <w:r w:rsidR="00214E4E">
        <w:rPr>
          <w:rFonts w:ascii="Calibri" w:eastAsia="MS Mincho" w:hAnsi="Calibri" w:cs="Calibri"/>
        </w:rPr>
        <w:t>r</w:t>
      </w:r>
      <w:r w:rsidR="00A5689A" w:rsidRPr="00580242">
        <w:rPr>
          <w:rFonts w:ascii="Calibri" w:eastAsia="MS Mincho" w:hAnsi="Calibri" w:cs="Calibri"/>
        </w:rPr>
        <w:t xml:space="preserve">evision of the WPB Program of Work </w:t>
      </w:r>
      <w:r w:rsidR="00214E4E">
        <w:rPr>
          <w:rFonts w:ascii="Calibri" w:eastAsia="MS Mincho" w:hAnsi="Calibri" w:cs="Calibri"/>
        </w:rPr>
        <w:t xml:space="preserve">for </w:t>
      </w:r>
      <w:r w:rsidR="00A5689A" w:rsidRPr="00580242">
        <w:rPr>
          <w:rFonts w:ascii="Calibri" w:eastAsia="MS Mincho" w:hAnsi="Calibri" w:cs="Calibri"/>
        </w:rPr>
        <w:t>202</w:t>
      </w:r>
      <w:r w:rsidR="007256B6" w:rsidRPr="00580242">
        <w:rPr>
          <w:rFonts w:ascii="Calibri" w:eastAsia="MS Mincho" w:hAnsi="Calibri" w:cs="Calibri"/>
        </w:rPr>
        <w:t>6</w:t>
      </w:r>
      <w:r w:rsidR="00A5689A" w:rsidRPr="00580242">
        <w:rPr>
          <w:rFonts w:ascii="Calibri" w:eastAsia="MS Mincho" w:hAnsi="Calibri" w:cs="Calibri"/>
        </w:rPr>
        <w:t>–20</w:t>
      </w:r>
      <w:r w:rsidR="007256B6" w:rsidRPr="00580242">
        <w:rPr>
          <w:rFonts w:ascii="Calibri" w:eastAsia="MS Mincho" w:hAnsi="Calibri" w:cs="Calibri"/>
        </w:rPr>
        <w:t>30</w:t>
      </w:r>
      <w:r w:rsidR="00A5689A" w:rsidRPr="00580242">
        <w:rPr>
          <w:rFonts w:ascii="Calibri" w:eastAsia="MS Mincho" w:hAnsi="Calibri" w:cs="Calibri"/>
        </w:rPr>
        <w:t>)</w:t>
      </w:r>
    </w:p>
    <w:p w14:paraId="785C03A8" w14:textId="041A6F26" w:rsidR="006E4896" w:rsidRPr="009B294D" w:rsidRDefault="006E4896" w:rsidP="006E4896">
      <w:pPr>
        <w:pStyle w:val="IOTCReportNormalNumbered"/>
        <w:spacing w:after="120"/>
        <w:ind w:left="540" w:hanging="540"/>
        <w:rPr>
          <w:rFonts w:ascii="Calibri" w:eastAsia="Calibri" w:hAnsi="Calibri" w:cs="Calibri"/>
        </w:rPr>
      </w:pPr>
      <w:r w:rsidRPr="7378E142">
        <w:rPr>
          <w:rFonts w:ascii="Calibri" w:hAnsi="Calibri" w:cs="Calibri"/>
          <w:color w:val="000000" w:themeColor="text1"/>
        </w:rPr>
        <w:t xml:space="preserve">The WPB </w:t>
      </w:r>
      <w:r w:rsidRPr="7378E142">
        <w:rPr>
          <w:rFonts w:ascii="Calibri" w:hAnsi="Calibri" w:cs="Calibri"/>
          <w:b/>
          <w:bCs/>
          <w:color w:val="000000" w:themeColor="text1"/>
        </w:rPr>
        <w:t xml:space="preserve">NOTED </w:t>
      </w:r>
      <w:r w:rsidRPr="7378E142">
        <w:rPr>
          <w:rFonts w:ascii="Calibri" w:hAnsi="Calibri" w:cs="Calibri"/>
          <w:color w:val="000000" w:themeColor="text1"/>
        </w:rPr>
        <w:t xml:space="preserve">paper </w:t>
      </w:r>
      <w:r w:rsidRPr="7378E142">
        <w:rPr>
          <w:rFonts w:ascii="Calibri" w:hAnsi="Calibri" w:cs="Calibri"/>
        </w:rPr>
        <w:t>IOTC–202</w:t>
      </w:r>
      <w:r w:rsidR="00CA37ED">
        <w:rPr>
          <w:rFonts w:ascii="Calibri" w:hAnsi="Calibri" w:cs="Calibri"/>
        </w:rPr>
        <w:t>5</w:t>
      </w:r>
      <w:r w:rsidRPr="7378E142">
        <w:rPr>
          <w:rFonts w:ascii="Calibri" w:hAnsi="Calibri" w:cs="Calibri"/>
        </w:rPr>
        <w:t>–WPB2</w:t>
      </w:r>
      <w:r w:rsidR="00CA37ED">
        <w:rPr>
          <w:rFonts w:ascii="Calibri" w:hAnsi="Calibri" w:cs="Calibri"/>
        </w:rPr>
        <w:t>3</w:t>
      </w:r>
      <w:r w:rsidRPr="7378E142">
        <w:rPr>
          <w:rFonts w:ascii="Calibri" w:hAnsi="Calibri" w:cs="Calibri"/>
        </w:rPr>
        <w:t>–08</w:t>
      </w:r>
      <w:r w:rsidRPr="7378E142">
        <w:rPr>
          <w:rFonts w:ascii="Calibri" w:hAnsi="Calibri" w:cs="Calibri"/>
          <w:color w:val="000000" w:themeColor="text1"/>
        </w:rPr>
        <w:t xml:space="preserve"> which provided an opportunity to consider and revise the WPB Program of Work (202</w:t>
      </w:r>
      <w:r w:rsidR="00CA37ED">
        <w:rPr>
          <w:rFonts w:ascii="Calibri" w:hAnsi="Calibri" w:cs="Calibri"/>
          <w:color w:val="000000" w:themeColor="text1"/>
        </w:rPr>
        <w:t>6</w:t>
      </w:r>
      <w:r w:rsidRPr="7378E142">
        <w:rPr>
          <w:rFonts w:ascii="Calibri" w:hAnsi="Calibri" w:cs="Calibri"/>
          <w:color w:val="000000" w:themeColor="text1"/>
        </w:rPr>
        <w:t>–20</w:t>
      </w:r>
      <w:r w:rsidR="00CA37ED">
        <w:rPr>
          <w:rFonts w:ascii="Calibri" w:hAnsi="Calibri" w:cs="Calibri"/>
          <w:color w:val="000000" w:themeColor="text1"/>
        </w:rPr>
        <w:t>30</w:t>
      </w:r>
      <w:r w:rsidRPr="7378E142">
        <w:rPr>
          <w:rFonts w:ascii="Calibri" w:hAnsi="Calibri" w:cs="Calibri"/>
          <w:color w:val="000000" w:themeColor="text1"/>
        </w:rPr>
        <w:t>), by taking into account the specific requests of the Commission, Scientific Committee, and the resources available to the IOTC Secretariat and CPCs.</w:t>
      </w:r>
    </w:p>
    <w:p w14:paraId="7D053013" w14:textId="77777777" w:rsidR="006E4896" w:rsidRPr="009B294D" w:rsidRDefault="006E4896" w:rsidP="006E4896">
      <w:pPr>
        <w:pStyle w:val="IOTCReportNormalNumbered"/>
        <w:spacing w:after="120"/>
        <w:ind w:left="540" w:hanging="540"/>
        <w:rPr>
          <w:rFonts w:ascii="Calibri" w:eastAsia="Calibri" w:hAnsi="Calibri" w:cs="Calibri"/>
        </w:rPr>
      </w:pPr>
      <w:r w:rsidRPr="7378E142">
        <w:rPr>
          <w:rFonts w:ascii="Calibri" w:eastAsia="Calibri" w:hAnsi="Calibri" w:cs="Calibri"/>
        </w:rPr>
        <w:t xml:space="preserve">The WPB </w:t>
      </w:r>
      <w:r w:rsidRPr="7378E142">
        <w:rPr>
          <w:rFonts w:ascii="Calibri" w:eastAsia="Calibri" w:hAnsi="Calibri" w:cs="Calibri"/>
          <w:b/>
          <w:bCs/>
        </w:rPr>
        <w:t>RECALLED</w:t>
      </w:r>
      <w:r w:rsidRPr="7378E142">
        <w:rPr>
          <w:rFonts w:ascii="Calibri" w:eastAsia="Calibri" w:hAnsi="Calibri" w:cs="Calibri"/>
        </w:rPr>
        <w:t xml:space="preserve"> that the SC, at its 18</w:t>
      </w:r>
      <w:r w:rsidRPr="7378E142">
        <w:rPr>
          <w:rFonts w:ascii="Calibri" w:eastAsia="Calibri" w:hAnsi="Calibri" w:cs="Calibri"/>
          <w:vertAlign w:val="superscript"/>
        </w:rPr>
        <w:t>th</w:t>
      </w:r>
      <w:r w:rsidRPr="7378E142">
        <w:rPr>
          <w:rFonts w:ascii="Calibri" w:eastAsia="Calibri" w:hAnsi="Calibri" w:cs="Calibri"/>
        </w:rPr>
        <w:t xml:space="preserve"> Session, made the following request to its Working Parties:</w:t>
      </w:r>
    </w:p>
    <w:p w14:paraId="4B1251CC" w14:textId="77777777" w:rsidR="006E4896" w:rsidRPr="009B294D" w:rsidRDefault="006E4896" w:rsidP="006E4896">
      <w:pPr>
        <w:spacing w:before="120" w:after="120"/>
        <w:ind w:left="720"/>
        <w:jc w:val="both"/>
        <w:rPr>
          <w:rFonts w:ascii="Calibri" w:eastAsia="Calibri" w:hAnsi="Calibri" w:cs="Calibri"/>
          <w:lang w:eastAsia="en-US"/>
        </w:rPr>
      </w:pPr>
      <w:r w:rsidRPr="009B294D">
        <w:rPr>
          <w:rFonts w:ascii="Calibri" w:eastAsia="Calibri" w:hAnsi="Calibri" w:cs="Calibri"/>
          <w:lang w:eastAsia="en-US"/>
        </w:rPr>
        <w:t>“</w:t>
      </w:r>
      <w:r w:rsidRPr="009B294D">
        <w:rPr>
          <w:rFonts w:ascii="Calibri" w:eastAsia="Calibri" w:hAnsi="Calibri" w:cs="Calibri"/>
          <w:i/>
          <w:lang w:eastAsia="en-US"/>
        </w:rPr>
        <w:t xml:space="preserve">The SC </w:t>
      </w:r>
      <w:r w:rsidRPr="009B294D">
        <w:rPr>
          <w:rFonts w:ascii="Calibri" w:eastAsia="Calibri" w:hAnsi="Calibri" w:cs="Calibri"/>
          <w:b/>
          <w:i/>
          <w:lang w:eastAsia="en-US"/>
        </w:rPr>
        <w:t>REQUESTED</w:t>
      </w:r>
      <w:r w:rsidRPr="009B294D">
        <w:rPr>
          <w:rFonts w:ascii="Calibri" w:eastAsia="Calibri" w:hAnsi="Calibri" w:cs="Calibri"/>
          <w:i/>
          <w:lang w:eastAsia="en-US"/>
        </w:rPr>
        <w:t xml:space="preserve"> that during the 2016 Working Party meetings, each group not only develop a Draft Program of Work for the next five years containing low, medium and high priority projects, but that all High Priority projects are ranked. The intention is that the SC would then be able to review the rankings and develop a consolidated list of the highest priority projects to meet the needs of the Commission. Where possible, budget estimates should be determined, as well as the identification of potential funding sources.</w:t>
      </w:r>
      <w:r w:rsidRPr="009B294D">
        <w:rPr>
          <w:rFonts w:ascii="Calibri" w:eastAsia="Calibri" w:hAnsi="Calibri" w:cs="Calibri"/>
          <w:lang w:eastAsia="en-US"/>
        </w:rPr>
        <w:t>” (SC18. Para 154).</w:t>
      </w:r>
    </w:p>
    <w:p w14:paraId="6EBDB44C" w14:textId="44C38FE0" w:rsidR="006E4896" w:rsidRPr="006E4896" w:rsidRDefault="006E4896" w:rsidP="006E4896">
      <w:pPr>
        <w:pStyle w:val="IOTCReportNormalNumbered"/>
        <w:ind w:left="540" w:hanging="540"/>
        <w:rPr>
          <w:rFonts w:ascii="Calibri" w:eastAsia="MS Mincho" w:hAnsi="Calibri" w:cs="Calibri"/>
          <w:color w:val="auto"/>
        </w:rPr>
      </w:pPr>
      <w:r w:rsidRPr="1EA925F2">
        <w:rPr>
          <w:rFonts w:ascii="Calibri" w:eastAsia="MS Mincho" w:hAnsi="Calibri" w:cs="Calibri"/>
          <w:color w:val="auto"/>
        </w:rPr>
        <w:t xml:space="preserve">The WPB </w:t>
      </w:r>
      <w:r w:rsidRPr="1EA925F2">
        <w:rPr>
          <w:rFonts w:ascii="Calibri" w:eastAsia="MS Mincho" w:hAnsi="Calibri" w:cs="Calibri"/>
          <w:b/>
          <w:bCs/>
          <w:color w:val="auto"/>
        </w:rPr>
        <w:t>RECOMMENDED</w:t>
      </w:r>
      <w:r w:rsidRPr="009B294D">
        <w:rPr>
          <w:rFonts w:ascii="Calibri" w:eastAsia="MS Mincho" w:hAnsi="Calibri" w:cs="Calibri"/>
          <w:color w:val="auto"/>
        </w:rPr>
        <w:t xml:space="preserve"> that the SC consider and endorse the WPB Program of Work (202</w:t>
      </w:r>
      <w:r w:rsidR="00263016">
        <w:rPr>
          <w:rFonts w:ascii="Calibri" w:eastAsia="MS Mincho" w:hAnsi="Calibri" w:cs="Calibri"/>
          <w:color w:val="auto"/>
        </w:rPr>
        <w:t>6</w:t>
      </w:r>
      <w:r w:rsidRPr="1EA925F2">
        <w:rPr>
          <w:rFonts w:ascii="Calibri" w:hAnsi="Calibri" w:cs="Calibri"/>
          <w:snapToGrid/>
          <w:color w:val="auto"/>
        </w:rPr>
        <w:t>–20</w:t>
      </w:r>
      <w:r w:rsidR="00263016">
        <w:rPr>
          <w:rFonts w:ascii="Calibri" w:hAnsi="Calibri" w:cs="Calibri"/>
          <w:snapToGrid/>
          <w:color w:val="auto"/>
        </w:rPr>
        <w:t>30</w:t>
      </w:r>
      <w:r w:rsidRPr="009B294D">
        <w:rPr>
          <w:rFonts w:ascii="Calibri" w:eastAsia="MS Mincho" w:hAnsi="Calibri" w:cs="Calibri"/>
          <w:color w:val="auto"/>
        </w:rPr>
        <w:t xml:space="preserve">), as provided </w:t>
      </w:r>
      <w:r>
        <w:rPr>
          <w:rFonts w:ascii="Calibri" w:eastAsia="MS Mincho" w:hAnsi="Calibri" w:cs="Calibri"/>
          <w:color w:val="auto"/>
        </w:rPr>
        <w:t>in</w:t>
      </w:r>
      <w:r w:rsidRPr="009B294D">
        <w:rPr>
          <w:rFonts w:ascii="Calibri" w:eastAsia="MS Mincho" w:hAnsi="Calibri" w:cs="Calibri"/>
          <w:color w:val="auto"/>
        </w:rPr>
        <w:t xml:space="preserve"> </w:t>
      </w:r>
      <w:hyperlink w:anchor="APP10" w:history="1">
        <w:r>
          <w:rPr>
            <w:rStyle w:val="Hyperlink"/>
            <w:rFonts w:ascii="Calibri" w:eastAsia="MS Mincho" w:hAnsi="Calibri" w:cs="Calibri"/>
          </w:rPr>
          <w:t>Appendix X</w:t>
        </w:r>
      </w:hyperlink>
      <w:r w:rsidRPr="009B294D">
        <w:rPr>
          <w:rFonts w:ascii="Calibri" w:eastAsia="MS Mincho" w:hAnsi="Calibri" w:cs="Calibri"/>
          <w:color w:val="auto"/>
        </w:rPr>
        <w:t>.</w:t>
      </w:r>
    </w:p>
    <w:p w14:paraId="59673CA5" w14:textId="462CCD30" w:rsidR="00613ADA" w:rsidRPr="00613ADA" w:rsidRDefault="00A5689A" w:rsidP="00613ADA">
      <w:pPr>
        <w:pStyle w:val="IOTCsubheading2"/>
        <w:ind w:left="1134" w:hanging="654"/>
        <w:rPr>
          <w:rFonts w:ascii="Calibri" w:hAnsi="Calibri" w:cs="Calibri"/>
        </w:rPr>
      </w:pPr>
      <w:r w:rsidRPr="006E4896">
        <w:rPr>
          <w:rFonts w:ascii="Calibri" w:hAnsi="Calibri" w:cs="Calibri"/>
        </w:rPr>
        <w:t>Development of priorities for an Invited Expert at the next WPB meeting (Chairperson)</w:t>
      </w:r>
    </w:p>
    <w:p w14:paraId="7F842C0A" w14:textId="5F24E3F6" w:rsidR="00613ADA" w:rsidRPr="00613ADA" w:rsidRDefault="00613ADA" w:rsidP="00613ADA">
      <w:pPr>
        <w:pStyle w:val="IOTCReportNormalNumbered"/>
        <w:ind w:left="567" w:hanging="567"/>
        <w:rPr>
          <w:rFonts w:ascii="Calibri" w:hAnsi="Calibri" w:cs="Calibri"/>
        </w:rPr>
      </w:pPr>
      <w:r w:rsidRPr="00613ADA">
        <w:rPr>
          <w:rFonts w:ascii="Calibri" w:hAnsi="Calibri" w:cs="Calibri"/>
        </w:rPr>
        <w:t xml:space="preserve">The WPB </w:t>
      </w:r>
      <w:r w:rsidRPr="00E97CDA">
        <w:rPr>
          <w:rFonts w:ascii="Calibri" w:hAnsi="Calibri" w:cs="Calibri"/>
          <w:b/>
          <w:bCs/>
        </w:rPr>
        <w:t>THANKED</w:t>
      </w:r>
      <w:r w:rsidRPr="00613ADA">
        <w:rPr>
          <w:rFonts w:ascii="Calibri" w:hAnsi="Calibri" w:cs="Calibri"/>
        </w:rPr>
        <w:t xml:space="preserve"> the invited expert, Catalina Wor, for her valuable contributions to enhance the technical capacity of the meeting. Her critical and constructive review greatly enriched the discussion on CPUE standardization and the assessment of blue marlin and Indo-Pacific fish. </w:t>
      </w:r>
    </w:p>
    <w:p w14:paraId="17480E47" w14:textId="6EBB638C" w:rsidR="006E4896" w:rsidRPr="006E4896" w:rsidRDefault="4B9670A8" w:rsidP="267C31E2">
      <w:pPr>
        <w:pStyle w:val="IOTCReportNormalNumbered"/>
        <w:ind w:left="567" w:hanging="567"/>
        <w:rPr>
          <w:rFonts w:ascii="Calibri" w:hAnsi="Calibri" w:cs="Calibri"/>
        </w:rPr>
      </w:pPr>
      <w:r w:rsidRPr="267C31E2">
        <w:rPr>
          <w:rFonts w:ascii="Calibri" w:hAnsi="Calibri" w:cs="Calibri"/>
        </w:rPr>
        <w:t xml:space="preserve">The WPB </w:t>
      </w:r>
      <w:r w:rsidRPr="267C31E2">
        <w:rPr>
          <w:rFonts w:ascii="Calibri" w:hAnsi="Calibri" w:cs="Calibri"/>
          <w:b/>
          <w:bCs/>
        </w:rPr>
        <w:t>NOTED</w:t>
      </w:r>
      <w:r w:rsidRPr="267C31E2">
        <w:rPr>
          <w:rFonts w:ascii="Calibri" w:hAnsi="Calibri" w:cs="Calibri"/>
        </w:rPr>
        <w:t xml:space="preserve"> that an Invited Expert may be required to support the next WPB meeting and </w:t>
      </w:r>
      <w:r w:rsidRPr="267C31E2">
        <w:rPr>
          <w:rFonts w:ascii="Calibri" w:hAnsi="Calibri" w:cs="Calibri"/>
          <w:b/>
          <w:bCs/>
        </w:rPr>
        <w:t>AGREED</w:t>
      </w:r>
      <w:r w:rsidRPr="267C31E2">
        <w:rPr>
          <w:rFonts w:ascii="Calibri" w:hAnsi="Calibri" w:cs="Calibri"/>
        </w:rPr>
        <w:t xml:space="preserve"> that the decision for the selection of the candidate for the WPB2</w:t>
      </w:r>
      <w:r w:rsidR="00613ADA">
        <w:rPr>
          <w:rFonts w:ascii="Calibri" w:hAnsi="Calibri" w:cs="Calibri"/>
        </w:rPr>
        <w:t>4</w:t>
      </w:r>
      <w:r w:rsidRPr="267C31E2">
        <w:rPr>
          <w:rFonts w:ascii="Calibri" w:hAnsi="Calibri" w:cs="Calibri"/>
        </w:rPr>
        <w:t xml:space="preserve"> be considered inter-sessionally. Once decided, the </w:t>
      </w:r>
      <w:r w:rsidRPr="267C31E2">
        <w:rPr>
          <w:rFonts w:ascii="Calibri" w:hAnsi="Calibri" w:cs="Calibri"/>
        </w:rPr>
        <w:lastRenderedPageBreak/>
        <w:t>selection will be performed by advertising the position through the IOTC science list (as a priority channel) and finalized after receipt and assessment of supporting information for potential candidates, according to the deadlines set forth by the rules and procedures of the Commission.</w:t>
      </w:r>
    </w:p>
    <w:p w14:paraId="425873F0" w14:textId="77777777" w:rsidR="006E4896" w:rsidRPr="006E4896" w:rsidRDefault="4B9670A8" w:rsidP="267C31E2">
      <w:pPr>
        <w:pStyle w:val="IOTCReportNormalNumbered"/>
        <w:ind w:left="567" w:hanging="567"/>
        <w:rPr>
          <w:rFonts w:ascii="Calibri" w:hAnsi="Calibri" w:cs="Calibri"/>
          <w:color w:val="auto"/>
        </w:rPr>
      </w:pPr>
      <w:r w:rsidRPr="267C31E2">
        <w:rPr>
          <w:rFonts w:ascii="Calibri" w:hAnsi="Calibri" w:cs="Calibri"/>
        </w:rPr>
        <w:t xml:space="preserve">The WPB </w:t>
      </w:r>
      <w:r w:rsidRPr="267C31E2">
        <w:rPr>
          <w:rFonts w:ascii="Calibri" w:hAnsi="Calibri" w:cs="Calibri"/>
          <w:b/>
          <w:bCs/>
        </w:rPr>
        <w:t>AGREED</w:t>
      </w:r>
      <w:r w:rsidRPr="267C31E2">
        <w:rPr>
          <w:rFonts w:ascii="Calibri" w:hAnsi="Calibri" w:cs="Calibri"/>
        </w:rPr>
        <w:t xml:space="preserve"> to the following core areas of expertise and priority areas for contribution that need to be enhanced for the next meeting of the WPB in 2025 by an Invited Expert:</w:t>
      </w:r>
    </w:p>
    <w:p w14:paraId="5664963A" w14:textId="07CBB6EC" w:rsidR="006E4896" w:rsidRPr="006E4896" w:rsidRDefault="4B9670A8" w:rsidP="267C31E2">
      <w:pPr>
        <w:pStyle w:val="ListParagraph"/>
        <w:numPr>
          <w:ilvl w:val="0"/>
          <w:numId w:val="21"/>
        </w:numPr>
        <w:spacing w:before="120" w:after="120"/>
        <w:jc w:val="both"/>
        <w:rPr>
          <w:rFonts w:ascii="Calibri" w:hAnsi="Calibri" w:cs="Calibri"/>
        </w:rPr>
      </w:pPr>
      <w:r w:rsidRPr="267C31E2">
        <w:rPr>
          <w:rFonts w:ascii="Calibri" w:hAnsi="Calibri" w:cs="Calibri"/>
          <w:b/>
          <w:bCs/>
        </w:rPr>
        <w:t>Expertise</w:t>
      </w:r>
      <w:r w:rsidRPr="267C31E2">
        <w:rPr>
          <w:rFonts w:ascii="Calibri" w:hAnsi="Calibri" w:cs="Calibri"/>
        </w:rPr>
        <w:t xml:space="preserve">: </w:t>
      </w:r>
      <w:r w:rsidR="00613ADA" w:rsidRPr="00613ADA">
        <w:rPr>
          <w:rFonts w:ascii="Calibri" w:hAnsi="Calibri" w:cs="Calibri"/>
        </w:rPr>
        <w:t>Stock assessment</w:t>
      </w:r>
      <w:r w:rsidR="00613ADA">
        <w:rPr>
          <w:rFonts w:ascii="Calibri" w:hAnsi="Calibri" w:cs="Calibri"/>
        </w:rPr>
        <w:t>,</w:t>
      </w:r>
      <w:r w:rsidR="00613ADA" w:rsidRPr="00613ADA">
        <w:rPr>
          <w:rFonts w:ascii="Calibri" w:hAnsi="Calibri" w:cs="Calibri"/>
        </w:rPr>
        <w:t xml:space="preserve"> </w:t>
      </w:r>
      <w:r w:rsidR="6BFA837F" w:rsidRPr="267C31E2">
        <w:rPr>
          <w:rFonts w:ascii="Calibri" w:hAnsi="Calibri" w:cs="Calibri"/>
        </w:rPr>
        <w:t>CPUE standardisation</w:t>
      </w:r>
      <w:r w:rsidRPr="267C31E2">
        <w:rPr>
          <w:rFonts w:ascii="Calibri" w:hAnsi="Calibri" w:cs="Calibri"/>
        </w:rPr>
        <w:t>.</w:t>
      </w:r>
    </w:p>
    <w:p w14:paraId="00816905" w14:textId="1DEC169C" w:rsidR="00A5689A" w:rsidRPr="00E97CDA" w:rsidRDefault="4B9670A8" w:rsidP="3F1DEBE1">
      <w:pPr>
        <w:pStyle w:val="ListParagraph"/>
        <w:numPr>
          <w:ilvl w:val="0"/>
          <w:numId w:val="21"/>
        </w:numPr>
        <w:spacing w:before="120" w:after="120"/>
        <w:jc w:val="both"/>
        <w:rPr>
          <w:rFonts w:ascii="Calibri" w:hAnsi="Calibri" w:cs="Calibri"/>
        </w:rPr>
      </w:pPr>
      <w:r w:rsidRPr="3F1DEBE1">
        <w:rPr>
          <w:rFonts w:ascii="Calibri" w:hAnsi="Calibri" w:cs="Calibri"/>
          <w:b/>
          <w:bCs/>
        </w:rPr>
        <w:t>Priority areas for contribution</w:t>
      </w:r>
      <w:r w:rsidRPr="3F1DEBE1">
        <w:rPr>
          <w:rFonts w:ascii="Calibri" w:hAnsi="Calibri" w:cs="Calibri"/>
        </w:rPr>
        <w:t xml:space="preserve">: </w:t>
      </w:r>
      <w:r w:rsidR="00613ADA" w:rsidRPr="00613ADA">
        <w:rPr>
          <w:rFonts w:ascii="Calibri" w:hAnsi="Calibri" w:cs="Calibri"/>
        </w:rPr>
        <w:t>Providing expert input into swordfish stock assessment work</w:t>
      </w:r>
      <w:r w:rsidR="03C56FB6" w:rsidRPr="3F1DEBE1">
        <w:rPr>
          <w:rFonts w:ascii="Calibri" w:hAnsi="Calibri" w:cs="Calibri"/>
        </w:rPr>
        <w:t>.</w:t>
      </w:r>
    </w:p>
    <w:p w14:paraId="13C6E34C" w14:textId="77777777" w:rsidR="00E97CDA" w:rsidRPr="00A5689A" w:rsidRDefault="00E97CDA" w:rsidP="00E97CDA">
      <w:pPr>
        <w:pStyle w:val="ListParagraph"/>
        <w:spacing w:before="120" w:after="120"/>
        <w:ind w:left="900"/>
        <w:jc w:val="both"/>
        <w:rPr>
          <w:rFonts w:ascii="Calibri" w:hAnsi="Calibri" w:cs="Calibri"/>
        </w:rPr>
      </w:pPr>
    </w:p>
    <w:p w14:paraId="7B748D37" w14:textId="09CB34A7" w:rsidR="00354EA1" w:rsidRPr="00857832" w:rsidRDefault="03C56FB6" w:rsidP="3F1DEBE1">
      <w:pPr>
        <w:pStyle w:val="IOTCAgendaH1"/>
        <w:keepNext w:val="0"/>
        <w:tabs>
          <w:tab w:val="left" w:pos="7290"/>
        </w:tabs>
        <w:rPr>
          <w:rFonts w:ascii="Calibri" w:hAnsi="Calibri" w:cs="Calibri"/>
        </w:rPr>
      </w:pPr>
      <w:r w:rsidRPr="3F1DEBE1">
        <w:rPr>
          <w:rFonts w:ascii="Calibri" w:hAnsi="Calibri" w:cs="Calibri"/>
        </w:rPr>
        <w:t xml:space="preserve"> </w:t>
      </w:r>
      <w:bookmarkStart w:id="59" w:name="_Toc210218014"/>
      <w:r w:rsidR="00354EA1" w:rsidRPr="3F1DEBE1">
        <w:rPr>
          <w:rFonts w:ascii="Calibri" w:hAnsi="Calibri" w:cs="Calibri"/>
        </w:rPr>
        <w:t>Other business</w:t>
      </w:r>
      <w:bookmarkEnd w:id="59"/>
    </w:p>
    <w:p w14:paraId="2244453D" w14:textId="501A76DD" w:rsidR="001E3369" w:rsidRPr="00613ADA" w:rsidRDefault="007435B8" w:rsidP="00613ADA">
      <w:pPr>
        <w:pStyle w:val="IOTCsubheading2"/>
        <w:ind w:left="1134" w:hanging="720"/>
        <w:rPr>
          <w:rFonts w:ascii="Calibri" w:hAnsi="Calibri" w:cs="Calibri"/>
        </w:rPr>
      </w:pPr>
      <w:bookmarkStart w:id="60" w:name="_Toc462328920"/>
      <w:bookmarkStart w:id="61" w:name="_Toc462328921"/>
      <w:bookmarkStart w:id="62" w:name="_Hlk84597888"/>
      <w:bookmarkStart w:id="63" w:name="_Toc218916705"/>
      <w:bookmarkEnd w:id="54"/>
      <w:bookmarkEnd w:id="55"/>
      <w:bookmarkEnd w:id="56"/>
      <w:bookmarkEnd w:id="57"/>
      <w:bookmarkEnd w:id="58"/>
      <w:bookmarkEnd w:id="60"/>
      <w:bookmarkEnd w:id="61"/>
      <w:r w:rsidRPr="007435B8">
        <w:rPr>
          <w:rFonts w:ascii="Calibri" w:hAnsi="Calibri" w:cs="Calibri"/>
        </w:rPr>
        <w:t>Election of the Chairperson and Vice-Chairperson of the WPB for the next biennium (Secretariat)</w:t>
      </w:r>
    </w:p>
    <w:p w14:paraId="64E3F934" w14:textId="77777777" w:rsidR="001E3369" w:rsidRPr="00D76CC8" w:rsidRDefault="001E3369" w:rsidP="001E3369">
      <w:pPr>
        <w:pStyle w:val="IOTCReportNormalNumbered"/>
        <w:numPr>
          <w:ilvl w:val="0"/>
          <w:numId w:val="0"/>
        </w:numPr>
        <w:ind w:left="505"/>
        <w:rPr>
          <w:rFonts w:ascii="Calibri" w:eastAsia="Calibri" w:hAnsi="Calibri" w:cs="Calibri"/>
          <w:b/>
          <w:i/>
          <w:iCs/>
        </w:rPr>
      </w:pPr>
      <w:r w:rsidRPr="00D76CC8">
        <w:rPr>
          <w:rFonts w:ascii="Calibri" w:eastAsia="Calibri" w:hAnsi="Calibri" w:cs="Calibri"/>
          <w:b/>
          <w:i/>
          <w:iCs/>
        </w:rPr>
        <w:t>Chairperson</w:t>
      </w:r>
    </w:p>
    <w:p w14:paraId="24BE993E" w14:textId="77777777" w:rsidR="00E4595D" w:rsidRPr="00D76CC8" w:rsidRDefault="00E4595D" w:rsidP="00E4595D">
      <w:pPr>
        <w:pStyle w:val="IOTCReportNormalNumbered"/>
        <w:ind w:left="505"/>
        <w:rPr>
          <w:rFonts w:ascii="Calibri" w:eastAsia="Calibri" w:hAnsi="Calibri" w:cs="Calibri"/>
          <w:bCs/>
        </w:rPr>
      </w:pPr>
      <w:r w:rsidRPr="7378E142">
        <w:rPr>
          <w:rFonts w:ascii="Calibri" w:eastAsia="Calibri" w:hAnsi="Calibri" w:cs="Calibri"/>
        </w:rPr>
        <w:t xml:space="preserve">The WPB </w:t>
      </w:r>
      <w:r w:rsidRPr="7378E142">
        <w:rPr>
          <w:rFonts w:ascii="Calibri" w:eastAsia="Calibri" w:hAnsi="Calibri" w:cs="Calibri"/>
          <w:b/>
          <w:bCs/>
        </w:rPr>
        <w:t>NOTED</w:t>
      </w:r>
      <w:r w:rsidRPr="7378E142">
        <w:rPr>
          <w:rFonts w:ascii="Calibri" w:eastAsia="Calibri" w:hAnsi="Calibri" w:cs="Calibri"/>
        </w:rPr>
        <w:t xml:space="preserve"> that the </w:t>
      </w:r>
      <w:r>
        <w:rPr>
          <w:rFonts w:ascii="Calibri" w:eastAsia="Calibri" w:hAnsi="Calibri" w:cs="Calibri"/>
        </w:rPr>
        <w:t>first</w:t>
      </w:r>
      <w:r w:rsidRPr="7378E142">
        <w:rPr>
          <w:rFonts w:ascii="Calibri" w:eastAsia="Calibri" w:hAnsi="Calibri" w:cs="Calibri"/>
        </w:rPr>
        <w:t xml:space="preserve"> term of the current Chairperson, Dr </w:t>
      </w:r>
      <w:r>
        <w:rPr>
          <w:rFonts w:ascii="Calibri" w:eastAsia="Calibri" w:hAnsi="Calibri" w:cs="Calibri"/>
        </w:rPr>
        <w:t>Jie</w:t>
      </w:r>
      <w:r w:rsidRPr="7378E142">
        <w:rPr>
          <w:rFonts w:ascii="Calibri" w:eastAsia="Calibri" w:hAnsi="Calibri" w:cs="Calibri"/>
        </w:rPr>
        <w:t xml:space="preserve"> </w:t>
      </w:r>
      <w:r>
        <w:rPr>
          <w:rFonts w:ascii="Calibri" w:eastAsia="Calibri" w:hAnsi="Calibri" w:cs="Calibri"/>
        </w:rPr>
        <w:t xml:space="preserve">Cao </w:t>
      </w:r>
      <w:r w:rsidRPr="7378E142">
        <w:rPr>
          <w:rFonts w:ascii="Calibri" w:eastAsia="Calibri" w:hAnsi="Calibri" w:cs="Calibri"/>
        </w:rPr>
        <w:t>(CHN) expired at the close of the WPB2</w:t>
      </w:r>
      <w:r>
        <w:rPr>
          <w:rFonts w:ascii="Calibri" w:eastAsia="Calibri" w:hAnsi="Calibri" w:cs="Calibri"/>
        </w:rPr>
        <w:t>3</w:t>
      </w:r>
      <w:r w:rsidRPr="7378E142">
        <w:rPr>
          <w:rFonts w:ascii="Calibri" w:eastAsia="Calibri" w:hAnsi="Calibri" w:cs="Calibri"/>
        </w:rPr>
        <w:t xml:space="preserve"> meeting and, as per the IOTC Rules of Procedure (2014), participants are required to elect a new Chairperson of the WPB for the next biennium.</w:t>
      </w:r>
    </w:p>
    <w:p w14:paraId="3F09A4FB" w14:textId="77777777" w:rsidR="00E4595D" w:rsidRPr="00D76CC8" w:rsidRDefault="00E4595D" w:rsidP="00E4595D">
      <w:pPr>
        <w:pStyle w:val="IOTCReportNormalNumbered"/>
        <w:ind w:left="505"/>
        <w:rPr>
          <w:rFonts w:ascii="Calibri" w:eastAsia="Calibri" w:hAnsi="Calibri" w:cs="Calibri"/>
          <w:bCs/>
        </w:rPr>
      </w:pPr>
      <w:r w:rsidRPr="7378E142">
        <w:rPr>
          <w:rFonts w:ascii="Calibri" w:eastAsia="Calibri" w:hAnsi="Calibri" w:cs="Calibri"/>
          <w:b/>
          <w:bCs/>
        </w:rPr>
        <w:t>NOTING</w:t>
      </w:r>
      <w:r w:rsidRPr="7378E142">
        <w:rPr>
          <w:rFonts w:ascii="Calibri" w:eastAsia="Calibri" w:hAnsi="Calibri" w:cs="Calibri"/>
        </w:rPr>
        <w:t xml:space="preserve"> the Rules of Procedure (2014), the WPB </w:t>
      </w:r>
      <w:r w:rsidRPr="7378E142">
        <w:rPr>
          <w:rFonts w:ascii="Calibri" w:eastAsia="Calibri" w:hAnsi="Calibri" w:cs="Calibri"/>
          <w:b/>
          <w:bCs/>
        </w:rPr>
        <w:t>CALLED</w:t>
      </w:r>
      <w:r w:rsidRPr="7378E142">
        <w:rPr>
          <w:rFonts w:ascii="Calibri" w:eastAsia="Calibri" w:hAnsi="Calibri" w:cs="Calibri"/>
        </w:rPr>
        <w:t xml:space="preserve"> for nominations for the position of Chairperson of the IOTC WPB for the next biennium. Dr Cao (CHN) was nominated, seconded and </w:t>
      </w:r>
      <w:r>
        <w:rPr>
          <w:rFonts w:ascii="Calibri" w:eastAsia="Calibri" w:hAnsi="Calibri" w:cs="Calibri"/>
        </w:rPr>
        <w:t>re-</w:t>
      </w:r>
      <w:r w:rsidRPr="7378E142">
        <w:rPr>
          <w:rFonts w:ascii="Calibri" w:eastAsia="Calibri" w:hAnsi="Calibri" w:cs="Calibri"/>
        </w:rPr>
        <w:t>elected as Chairperson of the WPB for the next biennium.</w:t>
      </w:r>
    </w:p>
    <w:p w14:paraId="6C427742" w14:textId="77777777" w:rsidR="001E3369" w:rsidRPr="00D76CC8" w:rsidRDefault="001E3369" w:rsidP="001E3369">
      <w:pPr>
        <w:pStyle w:val="IOTCReportNormalNumbered"/>
        <w:numPr>
          <w:ilvl w:val="0"/>
          <w:numId w:val="0"/>
        </w:numPr>
        <w:ind w:left="505"/>
        <w:rPr>
          <w:rFonts w:ascii="Calibri" w:eastAsia="Calibri" w:hAnsi="Calibri" w:cs="Calibri"/>
          <w:b/>
          <w:i/>
          <w:iCs/>
        </w:rPr>
      </w:pPr>
      <w:r w:rsidRPr="00D76CC8">
        <w:rPr>
          <w:rFonts w:ascii="Calibri" w:eastAsia="Calibri" w:hAnsi="Calibri" w:cs="Calibri"/>
          <w:b/>
          <w:i/>
          <w:iCs/>
        </w:rPr>
        <w:t>Vice-Chairperson</w:t>
      </w:r>
    </w:p>
    <w:p w14:paraId="4292BABA" w14:textId="229EF2D5" w:rsidR="00AB1AFF" w:rsidRPr="00D76CC8" w:rsidRDefault="00AB1AFF" w:rsidP="00AB1AFF">
      <w:pPr>
        <w:pStyle w:val="IOTCReportNormalNumbered"/>
        <w:ind w:left="505"/>
        <w:rPr>
          <w:rFonts w:ascii="Calibri" w:eastAsia="Calibri" w:hAnsi="Calibri" w:cs="Calibri"/>
          <w:bCs/>
        </w:rPr>
      </w:pPr>
      <w:r w:rsidRPr="7378E142">
        <w:rPr>
          <w:rFonts w:ascii="Calibri" w:eastAsia="Calibri" w:hAnsi="Calibri" w:cs="Calibri"/>
        </w:rPr>
        <w:t xml:space="preserve">The WPB </w:t>
      </w:r>
      <w:r w:rsidRPr="7378E142">
        <w:rPr>
          <w:rFonts w:ascii="Calibri" w:eastAsia="Calibri" w:hAnsi="Calibri" w:cs="Calibri"/>
          <w:b/>
          <w:bCs/>
        </w:rPr>
        <w:t>NOTED</w:t>
      </w:r>
      <w:r w:rsidRPr="7378E142">
        <w:rPr>
          <w:rFonts w:ascii="Calibri" w:eastAsia="Calibri" w:hAnsi="Calibri" w:cs="Calibri"/>
        </w:rPr>
        <w:t xml:space="preserve"> that the second term of the current Vice-Chairperson, Dr </w:t>
      </w:r>
      <w:r w:rsidRPr="006E63A1">
        <w:rPr>
          <w:rFonts w:ascii="Calibri" w:eastAsia="Calibri" w:hAnsi="Calibri" w:cs="Calibri"/>
        </w:rPr>
        <w:t xml:space="preserve">Sylvain Bonhommeau </w:t>
      </w:r>
      <w:r w:rsidRPr="7378E142">
        <w:rPr>
          <w:rFonts w:ascii="Calibri" w:eastAsia="Calibri" w:hAnsi="Calibri" w:cs="Calibri"/>
        </w:rPr>
        <w:t>(</w:t>
      </w:r>
      <w:r>
        <w:rPr>
          <w:rFonts w:ascii="Calibri" w:eastAsia="Calibri" w:hAnsi="Calibri" w:cs="Calibri"/>
        </w:rPr>
        <w:t>EU. France</w:t>
      </w:r>
      <w:r w:rsidRPr="7378E142">
        <w:rPr>
          <w:rFonts w:ascii="Calibri" w:eastAsia="Calibri" w:hAnsi="Calibri" w:cs="Calibri"/>
        </w:rPr>
        <w:t>) expired at the close of the WPB2</w:t>
      </w:r>
      <w:r w:rsidR="00877E43">
        <w:rPr>
          <w:rFonts w:ascii="Calibri" w:eastAsia="Calibri" w:hAnsi="Calibri" w:cs="Calibri"/>
        </w:rPr>
        <w:t>3</w:t>
      </w:r>
      <w:r w:rsidRPr="7378E142">
        <w:rPr>
          <w:rFonts w:ascii="Calibri" w:eastAsia="Calibri" w:hAnsi="Calibri" w:cs="Calibri"/>
        </w:rPr>
        <w:t xml:space="preserve"> meeting. As per the IOTC Rules of Procedure (2014), participants are required to elect a new Vice-Chairperson of the WPB for the next biennium.</w:t>
      </w:r>
    </w:p>
    <w:p w14:paraId="12123A1B" w14:textId="07C9DEF4" w:rsidR="00AB1AFF" w:rsidRPr="00D76CC8" w:rsidRDefault="00AB1AFF" w:rsidP="00AB1AFF">
      <w:pPr>
        <w:pStyle w:val="IOTCReportNormalNumbered"/>
        <w:ind w:left="505"/>
        <w:rPr>
          <w:rFonts w:ascii="Calibri" w:eastAsia="Calibri" w:hAnsi="Calibri" w:cs="Calibri"/>
          <w:bCs/>
        </w:rPr>
      </w:pPr>
      <w:r w:rsidRPr="7378E142">
        <w:rPr>
          <w:rFonts w:ascii="Calibri" w:eastAsia="Calibri" w:hAnsi="Calibri" w:cs="Calibri"/>
          <w:b/>
          <w:bCs/>
        </w:rPr>
        <w:t>NOTING</w:t>
      </w:r>
      <w:r w:rsidRPr="7378E142">
        <w:rPr>
          <w:rFonts w:ascii="Calibri" w:eastAsia="Calibri" w:hAnsi="Calibri" w:cs="Calibri"/>
        </w:rPr>
        <w:t xml:space="preserve"> the Rules of Procedure (2014), the WPB </w:t>
      </w:r>
      <w:r w:rsidRPr="7378E142">
        <w:rPr>
          <w:rFonts w:ascii="Calibri" w:eastAsia="Calibri" w:hAnsi="Calibri" w:cs="Calibri"/>
          <w:b/>
          <w:bCs/>
        </w:rPr>
        <w:t>CALLED</w:t>
      </w:r>
      <w:r w:rsidRPr="7378E142">
        <w:rPr>
          <w:rFonts w:ascii="Calibri" w:eastAsia="Calibri" w:hAnsi="Calibri" w:cs="Calibri"/>
        </w:rPr>
        <w:t xml:space="preserve"> for nominations for the positions of Vice-Chairperson of the IOTC WPB for the next biennium</w:t>
      </w:r>
      <w:r w:rsidRPr="00602BAE">
        <w:rPr>
          <w:rFonts w:ascii="Calibri" w:eastAsia="Calibri" w:hAnsi="Calibri" w:cs="Calibri"/>
        </w:rPr>
        <w:t xml:space="preserve">. </w:t>
      </w:r>
      <w:r w:rsidR="005D5085">
        <w:rPr>
          <w:rFonts w:ascii="Calibri" w:eastAsia="Calibri" w:hAnsi="Calibri" w:cs="Calibri"/>
        </w:rPr>
        <w:t>D</w:t>
      </w:r>
      <w:r w:rsidRPr="00602BAE">
        <w:rPr>
          <w:rFonts w:ascii="Calibri" w:eastAsia="Calibri" w:hAnsi="Calibri" w:cs="Calibri"/>
        </w:rPr>
        <w:t xml:space="preserve">r </w:t>
      </w:r>
      <w:r w:rsidRPr="006E63A1">
        <w:rPr>
          <w:rFonts w:ascii="Calibri" w:eastAsia="Calibri" w:hAnsi="Calibri" w:cs="Calibri"/>
        </w:rPr>
        <w:t xml:space="preserve">Bonhommeau </w:t>
      </w:r>
      <w:r w:rsidRPr="00602BAE">
        <w:rPr>
          <w:rFonts w:ascii="Calibri" w:eastAsia="Calibri" w:hAnsi="Calibri" w:cs="Calibri"/>
        </w:rPr>
        <w:t>was nominated, seconded and elected as Vice-Chairperson of the WPB for the next biennium.</w:t>
      </w:r>
    </w:p>
    <w:p w14:paraId="7B0AB58E" w14:textId="77777777" w:rsidR="001E3369" w:rsidRPr="001E3369" w:rsidRDefault="001E3369" w:rsidP="001E3369"/>
    <w:p w14:paraId="415A60B4" w14:textId="5EB522BC" w:rsidR="00414C2D" w:rsidRPr="00647686" w:rsidRDefault="0B15C60C" w:rsidP="00611AC8">
      <w:pPr>
        <w:pStyle w:val="IOTCsubheading2"/>
        <w:ind w:left="1134" w:hanging="720"/>
        <w:rPr>
          <w:rFonts w:ascii="Calibri" w:hAnsi="Calibri" w:cs="Calibri"/>
        </w:rPr>
      </w:pPr>
      <w:r w:rsidRPr="267C31E2">
        <w:rPr>
          <w:rFonts w:ascii="Calibri" w:hAnsi="Calibri" w:cs="Calibri"/>
        </w:rPr>
        <w:t xml:space="preserve">Date and place of the </w:t>
      </w:r>
      <w:r w:rsidR="322DF20B" w:rsidRPr="267C31E2">
        <w:rPr>
          <w:rFonts w:ascii="Calibri" w:hAnsi="Calibri" w:cs="Calibri"/>
        </w:rPr>
        <w:t>2</w:t>
      </w:r>
      <w:r w:rsidR="00B13DDB">
        <w:rPr>
          <w:rFonts w:ascii="Calibri" w:hAnsi="Calibri" w:cs="Calibri"/>
        </w:rPr>
        <w:t>4</w:t>
      </w:r>
      <w:r w:rsidR="00B13DDB">
        <w:rPr>
          <w:rFonts w:ascii="Calibri" w:hAnsi="Calibri" w:cs="Calibri"/>
          <w:vertAlign w:val="superscript"/>
        </w:rPr>
        <w:t>th</w:t>
      </w:r>
      <w:r w:rsidR="194359CA" w:rsidRPr="267C31E2">
        <w:rPr>
          <w:rFonts w:ascii="Calibri" w:hAnsi="Calibri" w:cs="Calibri"/>
        </w:rPr>
        <w:t xml:space="preserve"> </w:t>
      </w:r>
      <w:r w:rsidR="57B13429" w:rsidRPr="267C31E2">
        <w:rPr>
          <w:rFonts w:ascii="Calibri" w:hAnsi="Calibri" w:cs="Calibri"/>
        </w:rPr>
        <w:t xml:space="preserve">and </w:t>
      </w:r>
      <w:r w:rsidR="7AEF4DA3" w:rsidRPr="267C31E2">
        <w:rPr>
          <w:rFonts w:ascii="Calibri" w:hAnsi="Calibri" w:cs="Calibri"/>
        </w:rPr>
        <w:t>2</w:t>
      </w:r>
      <w:r w:rsidR="00B13DDB">
        <w:rPr>
          <w:rFonts w:ascii="Calibri" w:hAnsi="Calibri" w:cs="Calibri"/>
        </w:rPr>
        <w:t>5</w:t>
      </w:r>
      <w:r w:rsidR="77E532D2" w:rsidRPr="267C31E2">
        <w:rPr>
          <w:rFonts w:ascii="Calibri" w:hAnsi="Calibri" w:cs="Calibri"/>
          <w:vertAlign w:val="superscript"/>
        </w:rPr>
        <w:t>th</w:t>
      </w:r>
      <w:r w:rsidR="4FB6A599" w:rsidRPr="267C31E2">
        <w:rPr>
          <w:rFonts w:ascii="Calibri" w:hAnsi="Calibri" w:cs="Calibri"/>
          <w:vertAlign w:val="superscript"/>
        </w:rPr>
        <w:t xml:space="preserve"> </w:t>
      </w:r>
      <w:r w:rsidRPr="267C31E2">
        <w:rPr>
          <w:rFonts w:ascii="Calibri" w:hAnsi="Calibri" w:cs="Calibri"/>
        </w:rPr>
        <w:t>Session</w:t>
      </w:r>
      <w:r w:rsidR="57B13429" w:rsidRPr="267C31E2">
        <w:rPr>
          <w:rFonts w:ascii="Calibri" w:hAnsi="Calibri" w:cs="Calibri"/>
        </w:rPr>
        <w:t>s</w:t>
      </w:r>
      <w:r w:rsidRPr="267C31E2">
        <w:rPr>
          <w:rFonts w:ascii="Calibri" w:hAnsi="Calibri" w:cs="Calibri"/>
        </w:rPr>
        <w:t xml:space="preserve"> of the Working Party on Billfish</w:t>
      </w:r>
      <w:bookmarkEnd w:id="62"/>
    </w:p>
    <w:p w14:paraId="0627E089" w14:textId="3769E21D" w:rsidR="00497200" w:rsidRPr="00D76CC8" w:rsidRDefault="2E07F932" w:rsidP="267C31E2">
      <w:pPr>
        <w:pStyle w:val="IOTCReportNormalNumbered"/>
        <w:ind w:left="505" w:hanging="505"/>
        <w:rPr>
          <w:rFonts w:ascii="Calibri" w:eastAsia="Calibri" w:hAnsi="Calibri" w:cs="Calibri"/>
        </w:rPr>
      </w:pPr>
      <w:bookmarkStart w:id="64" w:name="_Hlk84597837"/>
      <w:r w:rsidRPr="267C31E2">
        <w:rPr>
          <w:rFonts w:ascii="Calibri" w:eastAsia="Calibri" w:hAnsi="Calibri" w:cs="Calibri"/>
        </w:rPr>
        <w:t>The WP</w:t>
      </w:r>
      <w:r w:rsidR="046808EC" w:rsidRPr="267C31E2">
        <w:rPr>
          <w:rFonts w:ascii="Calibri" w:eastAsia="Calibri" w:hAnsi="Calibri" w:cs="Calibri"/>
        </w:rPr>
        <w:t>B</w:t>
      </w:r>
      <w:r w:rsidRPr="267C31E2">
        <w:rPr>
          <w:rFonts w:ascii="Calibri" w:eastAsia="Calibri" w:hAnsi="Calibri" w:cs="Calibri"/>
        </w:rPr>
        <w:t xml:space="preserve"> </w:t>
      </w:r>
      <w:r w:rsidRPr="267C31E2">
        <w:rPr>
          <w:rFonts w:ascii="Calibri" w:eastAsia="Calibri" w:hAnsi="Calibri" w:cs="Calibri"/>
          <w:b/>
          <w:bCs/>
        </w:rPr>
        <w:t>REQUESTED</w:t>
      </w:r>
      <w:r w:rsidRPr="267C31E2">
        <w:rPr>
          <w:rFonts w:ascii="Calibri" w:eastAsia="Calibri" w:hAnsi="Calibri" w:cs="Calibri"/>
        </w:rPr>
        <w:t xml:space="preserve"> </w:t>
      </w:r>
      <w:r w:rsidR="49AE8BD9" w:rsidRPr="267C31E2">
        <w:rPr>
          <w:rFonts w:ascii="Calibri" w:eastAsia="Calibri" w:hAnsi="Calibri" w:cs="Calibri"/>
        </w:rPr>
        <w:t xml:space="preserve">that </w:t>
      </w:r>
      <w:r w:rsidRPr="267C31E2">
        <w:rPr>
          <w:rFonts w:ascii="Calibri" w:eastAsia="Calibri" w:hAnsi="Calibri" w:cs="Calibri"/>
        </w:rPr>
        <w:t>CPCs that may be interested in hosting the 2</w:t>
      </w:r>
      <w:r w:rsidR="00B13DDB">
        <w:rPr>
          <w:rFonts w:ascii="Calibri" w:eastAsia="Calibri" w:hAnsi="Calibri" w:cs="Calibri"/>
        </w:rPr>
        <w:t>4</w:t>
      </w:r>
      <w:r w:rsidR="00B13DDB">
        <w:rPr>
          <w:rFonts w:ascii="Calibri" w:eastAsia="Calibri" w:hAnsi="Calibri" w:cs="Calibri"/>
          <w:vertAlign w:val="superscript"/>
        </w:rPr>
        <w:t>th</w:t>
      </w:r>
      <w:r w:rsidRPr="267C31E2">
        <w:rPr>
          <w:rFonts w:ascii="Calibri" w:eastAsia="Calibri" w:hAnsi="Calibri" w:cs="Calibri"/>
        </w:rPr>
        <w:t xml:space="preserve"> and 2</w:t>
      </w:r>
      <w:r w:rsidR="00B13DDB">
        <w:rPr>
          <w:rFonts w:ascii="Calibri" w:eastAsia="Calibri" w:hAnsi="Calibri" w:cs="Calibri"/>
        </w:rPr>
        <w:t>5</w:t>
      </w:r>
      <w:r w:rsidR="77E532D2" w:rsidRPr="267C31E2">
        <w:rPr>
          <w:rFonts w:ascii="Calibri" w:eastAsia="Calibri" w:hAnsi="Calibri" w:cs="Calibri"/>
          <w:vertAlign w:val="superscript"/>
        </w:rPr>
        <w:t>th</w:t>
      </w:r>
      <w:r w:rsidRPr="267C31E2">
        <w:rPr>
          <w:rFonts w:ascii="Calibri" w:eastAsia="Calibri" w:hAnsi="Calibri" w:cs="Calibri"/>
        </w:rPr>
        <w:t xml:space="preserve"> Working Party on Billfish meetings contact the Secretariat</w:t>
      </w:r>
      <w:r w:rsidR="0D33039E" w:rsidRPr="267C31E2">
        <w:rPr>
          <w:rFonts w:ascii="Calibri" w:eastAsia="Calibri" w:hAnsi="Calibri" w:cs="Calibri"/>
        </w:rPr>
        <w:t>.</w:t>
      </w:r>
    </w:p>
    <w:p w14:paraId="7DD03A47" w14:textId="69629D43" w:rsidR="60912F6B" w:rsidRDefault="60912F6B" w:rsidP="267C31E2">
      <w:pPr>
        <w:pStyle w:val="IOTCReportNormalNumbered"/>
        <w:ind w:left="505" w:hanging="505"/>
        <w:rPr>
          <w:rFonts w:ascii="Calibri" w:eastAsia="Calibri" w:hAnsi="Calibri" w:cs="Calibri"/>
        </w:rPr>
      </w:pPr>
      <w:r w:rsidRPr="267C31E2">
        <w:rPr>
          <w:rFonts w:ascii="Calibri" w:eastAsia="Calibri" w:hAnsi="Calibri" w:cs="Calibri"/>
        </w:rPr>
        <w:t xml:space="preserve">The WPB </w:t>
      </w:r>
      <w:r w:rsidRPr="267C31E2">
        <w:rPr>
          <w:rFonts w:ascii="Calibri" w:eastAsia="Calibri" w:hAnsi="Calibri" w:cs="Calibri"/>
          <w:b/>
          <w:bCs/>
        </w:rPr>
        <w:t>NOTED</w:t>
      </w:r>
      <w:r w:rsidRPr="267C31E2">
        <w:rPr>
          <w:rFonts w:ascii="Calibri" w:eastAsia="Calibri" w:hAnsi="Calibri" w:cs="Calibri"/>
        </w:rPr>
        <w:t xml:space="preserve"> that the SC emphasized the importance of holding working party meetings in a hybrid format whenever feasible. However, the WPB further </w:t>
      </w:r>
      <w:r w:rsidRPr="267C31E2">
        <w:rPr>
          <w:rFonts w:ascii="Calibri" w:eastAsia="Calibri" w:hAnsi="Calibri" w:cs="Calibri"/>
          <w:b/>
          <w:bCs/>
        </w:rPr>
        <w:t>NOTED</w:t>
      </w:r>
      <w:r w:rsidRPr="267C31E2">
        <w:rPr>
          <w:rFonts w:ascii="Calibri" w:eastAsia="Calibri" w:hAnsi="Calibri" w:cs="Calibri"/>
        </w:rPr>
        <w:t xml:space="preserve"> that this should not discourage CPCs from offering to host the meetings, even if they are unable to accommodate a hybrid format.</w:t>
      </w:r>
    </w:p>
    <w:p w14:paraId="67B61604" w14:textId="7A5B957B" w:rsidR="000E0FCF" w:rsidRPr="00530197" w:rsidRDefault="5BD82742" w:rsidP="00530197">
      <w:pPr>
        <w:pStyle w:val="IOTCReportNormalNumbered"/>
        <w:ind w:left="505" w:hanging="505"/>
        <w:rPr>
          <w:rFonts w:ascii="Calibri" w:eastAsia="Calibri" w:hAnsi="Calibri" w:cs="Calibri"/>
        </w:rPr>
      </w:pPr>
      <w:r w:rsidRPr="267C31E2">
        <w:rPr>
          <w:rFonts w:ascii="Calibri" w:eastAsia="Calibri" w:hAnsi="Calibri" w:cs="Calibri"/>
        </w:rPr>
        <w:t xml:space="preserve">The WPB </w:t>
      </w:r>
      <w:r w:rsidRPr="267C31E2">
        <w:rPr>
          <w:rFonts w:ascii="Calibri" w:eastAsia="Calibri" w:hAnsi="Calibri" w:cs="Calibri"/>
          <w:b/>
          <w:bCs/>
        </w:rPr>
        <w:t>RECOMMENDED</w:t>
      </w:r>
      <w:r w:rsidRPr="267C31E2">
        <w:rPr>
          <w:rFonts w:ascii="Calibri" w:eastAsia="Calibri" w:hAnsi="Calibri" w:cs="Calibri"/>
        </w:rPr>
        <w:t xml:space="preserve"> the SC consider early September as a preferred time period to hold the WPB2</w:t>
      </w:r>
      <w:r w:rsidR="00584183">
        <w:rPr>
          <w:rFonts w:ascii="Calibri" w:eastAsia="Calibri" w:hAnsi="Calibri" w:cs="Calibri"/>
        </w:rPr>
        <w:t>4</w:t>
      </w:r>
      <w:r w:rsidRPr="267C31E2">
        <w:rPr>
          <w:rFonts w:ascii="Calibri" w:eastAsia="Calibri" w:hAnsi="Calibri" w:cs="Calibri"/>
        </w:rPr>
        <w:t xml:space="preserve"> in 202</w:t>
      </w:r>
      <w:r w:rsidR="00584183">
        <w:rPr>
          <w:rFonts w:ascii="Calibri" w:eastAsia="Calibri" w:hAnsi="Calibri" w:cs="Calibri"/>
        </w:rPr>
        <w:t>6</w:t>
      </w:r>
      <w:r w:rsidR="4671B679" w:rsidRPr="267C31E2">
        <w:rPr>
          <w:rFonts w:ascii="Calibri" w:eastAsia="Calibri" w:hAnsi="Calibri" w:cs="Calibri"/>
        </w:rPr>
        <w:t xml:space="preserve">. As usual it was also </w:t>
      </w:r>
      <w:r w:rsidR="4671B679" w:rsidRPr="267C31E2">
        <w:rPr>
          <w:rFonts w:ascii="Calibri" w:eastAsia="Calibri" w:hAnsi="Calibri" w:cs="Calibri"/>
          <w:b/>
          <w:bCs/>
        </w:rPr>
        <w:t>AGR</w:t>
      </w:r>
      <w:r w:rsidR="1FF04DE5" w:rsidRPr="267C31E2">
        <w:rPr>
          <w:rFonts w:ascii="Calibri" w:eastAsia="Calibri" w:hAnsi="Calibri" w:cs="Calibri"/>
          <w:b/>
          <w:bCs/>
        </w:rPr>
        <w:t>E</w:t>
      </w:r>
      <w:r w:rsidR="4671B679" w:rsidRPr="267C31E2">
        <w:rPr>
          <w:rFonts w:ascii="Calibri" w:eastAsia="Calibri" w:hAnsi="Calibri" w:cs="Calibri"/>
          <w:b/>
          <w:bCs/>
        </w:rPr>
        <w:t>ED</w:t>
      </w:r>
      <w:r w:rsidR="4671B679" w:rsidRPr="267C31E2">
        <w:rPr>
          <w:rFonts w:ascii="Calibri" w:eastAsia="Calibri" w:hAnsi="Calibri" w:cs="Calibri"/>
        </w:rPr>
        <w:t xml:space="preserve"> that this meeting should continue to be held back-to-back with the WPEB</w:t>
      </w:r>
      <w:r w:rsidR="3B54AD07" w:rsidRPr="267C31E2">
        <w:rPr>
          <w:rFonts w:ascii="Calibri" w:eastAsia="Calibri" w:hAnsi="Calibri" w:cs="Calibri"/>
        </w:rPr>
        <w:t xml:space="preserve"> and that in 202</w:t>
      </w:r>
      <w:r w:rsidR="00584183">
        <w:rPr>
          <w:rFonts w:ascii="Calibri" w:eastAsia="Calibri" w:hAnsi="Calibri" w:cs="Calibri"/>
        </w:rPr>
        <w:t>6</w:t>
      </w:r>
      <w:r w:rsidR="3B54AD07" w:rsidRPr="267C31E2">
        <w:rPr>
          <w:rFonts w:ascii="Calibri" w:eastAsia="Calibri" w:hAnsi="Calibri" w:cs="Calibri"/>
        </w:rPr>
        <w:t xml:space="preserve"> WPB will be held in the week </w:t>
      </w:r>
      <w:r w:rsidR="00584183">
        <w:rPr>
          <w:rFonts w:ascii="Calibri" w:eastAsia="Calibri" w:hAnsi="Calibri" w:cs="Calibri"/>
        </w:rPr>
        <w:t>before</w:t>
      </w:r>
      <w:r w:rsidR="3B54AD07" w:rsidRPr="267C31E2">
        <w:rPr>
          <w:rFonts w:ascii="Calibri" w:eastAsia="Calibri" w:hAnsi="Calibri" w:cs="Calibri"/>
        </w:rPr>
        <w:t xml:space="preserve"> the WPEB</w:t>
      </w:r>
      <w:r w:rsidR="4671B679" w:rsidRPr="267C31E2">
        <w:rPr>
          <w:rFonts w:ascii="Calibri" w:eastAsia="Calibri" w:hAnsi="Calibri" w:cs="Calibri"/>
        </w:rPr>
        <w:t xml:space="preserve">. </w:t>
      </w:r>
    </w:p>
    <w:p w14:paraId="4540C563" w14:textId="3CED4794" w:rsidR="000E0FCF" w:rsidRPr="00530197" w:rsidRDefault="000E0FCF" w:rsidP="00530197">
      <w:pPr>
        <w:pStyle w:val="IOTCReportNormalNumbered"/>
        <w:ind w:left="505" w:hanging="505"/>
        <w:rPr>
          <w:rFonts w:ascii="Calibri" w:eastAsia="Calibri" w:hAnsi="Calibri" w:cs="Calibri"/>
        </w:rPr>
      </w:pPr>
      <w:r w:rsidRPr="00530197">
        <w:rPr>
          <w:rFonts w:ascii="Calibri" w:eastAsia="Calibri" w:hAnsi="Calibri" w:cs="Calibri"/>
        </w:rPr>
        <w:t xml:space="preserve">The WPB </w:t>
      </w:r>
      <w:r w:rsidRPr="00530197">
        <w:rPr>
          <w:rFonts w:ascii="Calibri" w:eastAsia="Calibri" w:hAnsi="Calibri" w:cs="Calibri"/>
          <w:b/>
          <w:bCs/>
        </w:rPr>
        <w:t>NOTED</w:t>
      </w:r>
      <w:r w:rsidRPr="00530197">
        <w:rPr>
          <w:rFonts w:ascii="Calibri" w:eastAsia="Calibri" w:hAnsi="Calibri" w:cs="Calibri"/>
        </w:rPr>
        <w:t xml:space="preserve"> that EU. France tentatively offered to host the </w:t>
      </w:r>
      <w:r w:rsidR="00C27EBC">
        <w:rPr>
          <w:rFonts w:ascii="Calibri" w:eastAsia="Calibri" w:hAnsi="Calibri" w:cs="Calibri"/>
        </w:rPr>
        <w:t>next</w:t>
      </w:r>
      <w:r w:rsidRPr="00530197">
        <w:rPr>
          <w:rFonts w:ascii="Calibri" w:eastAsia="Calibri" w:hAnsi="Calibri" w:cs="Calibri"/>
        </w:rPr>
        <w:t xml:space="preserve"> WPB </w:t>
      </w:r>
      <w:r w:rsidR="00C27EBC">
        <w:rPr>
          <w:rFonts w:ascii="Calibri" w:eastAsia="Calibri" w:hAnsi="Calibri" w:cs="Calibri"/>
        </w:rPr>
        <w:t xml:space="preserve">and </w:t>
      </w:r>
      <w:r w:rsidRPr="00530197">
        <w:rPr>
          <w:rFonts w:ascii="Calibri" w:eastAsia="Calibri" w:hAnsi="Calibri" w:cs="Calibri"/>
        </w:rPr>
        <w:t>WPEB</w:t>
      </w:r>
      <w:r w:rsidR="00C27EBC">
        <w:rPr>
          <w:rFonts w:ascii="Calibri" w:eastAsia="Calibri" w:hAnsi="Calibri" w:cs="Calibri"/>
        </w:rPr>
        <w:t>)</w:t>
      </w:r>
      <w:r w:rsidRPr="00530197">
        <w:rPr>
          <w:rFonts w:ascii="Calibri" w:eastAsia="Calibri" w:hAnsi="Calibri" w:cs="Calibri"/>
        </w:rPr>
        <w:t xml:space="preserve"> meeting</w:t>
      </w:r>
      <w:r w:rsidR="00C27EBC">
        <w:rPr>
          <w:rFonts w:ascii="Calibri" w:eastAsia="Calibri" w:hAnsi="Calibri" w:cs="Calibri"/>
        </w:rPr>
        <w:t>s</w:t>
      </w:r>
      <w:r w:rsidRPr="00530197">
        <w:rPr>
          <w:rFonts w:ascii="Calibri" w:eastAsia="Calibri" w:hAnsi="Calibri" w:cs="Calibri"/>
        </w:rPr>
        <w:t xml:space="preserve"> in Reunion, with confirmation to be provided at the SC meeting in December. The WPB </w:t>
      </w:r>
      <w:r w:rsidR="00F82C24" w:rsidRPr="00F82C24">
        <w:rPr>
          <w:rFonts w:ascii="Calibri" w:eastAsia="Calibri" w:hAnsi="Calibri" w:cs="Calibri"/>
          <w:b/>
          <w:bCs/>
        </w:rPr>
        <w:t>THANKED</w:t>
      </w:r>
      <w:r w:rsidRPr="00530197">
        <w:rPr>
          <w:rFonts w:ascii="Calibri" w:eastAsia="Calibri" w:hAnsi="Calibri" w:cs="Calibri"/>
        </w:rPr>
        <w:t xml:space="preserve"> EU. France for this offer.</w:t>
      </w:r>
    </w:p>
    <w:p w14:paraId="006AD4FC" w14:textId="36C74380" w:rsidR="00006971" w:rsidRPr="009B294D" w:rsidRDefault="00006971" w:rsidP="00611AC8">
      <w:pPr>
        <w:pStyle w:val="IOTCsubheading2"/>
        <w:spacing w:before="240"/>
        <w:ind w:left="1134" w:hanging="720"/>
        <w:rPr>
          <w:rFonts w:ascii="Calibri" w:hAnsi="Calibri" w:cs="Calibri"/>
          <w:color w:val="auto"/>
        </w:rPr>
      </w:pPr>
      <w:bookmarkStart w:id="65" w:name="_Toc218672872"/>
      <w:bookmarkStart w:id="66" w:name="_Toc218916711"/>
      <w:bookmarkStart w:id="67" w:name="_Toc289173019"/>
      <w:bookmarkStart w:id="68" w:name="_Toc163032608"/>
      <w:bookmarkEnd w:id="63"/>
      <w:bookmarkEnd w:id="64"/>
      <w:r w:rsidRPr="009B294D">
        <w:rPr>
          <w:rFonts w:ascii="Calibri" w:hAnsi="Calibri" w:cs="Calibri"/>
          <w:color w:val="auto"/>
        </w:rPr>
        <w:t xml:space="preserve">Review of the draft, and adoption of the Report of the </w:t>
      </w:r>
      <w:r w:rsidR="00836323">
        <w:rPr>
          <w:rFonts w:ascii="Calibri" w:hAnsi="Calibri" w:cs="Calibri"/>
          <w:color w:val="auto"/>
        </w:rPr>
        <w:t>2</w:t>
      </w:r>
      <w:r w:rsidR="00584183">
        <w:rPr>
          <w:rFonts w:ascii="Calibri" w:hAnsi="Calibri" w:cs="Calibri"/>
          <w:color w:val="auto"/>
        </w:rPr>
        <w:t>3</w:t>
      </w:r>
      <w:r w:rsidR="002845B7">
        <w:rPr>
          <w:rFonts w:ascii="Calibri" w:hAnsi="Calibri" w:cs="Calibri"/>
          <w:color w:val="auto"/>
          <w:vertAlign w:val="superscript"/>
        </w:rPr>
        <w:t>r</w:t>
      </w:r>
      <w:r w:rsidR="00AE2ACA">
        <w:rPr>
          <w:rFonts w:ascii="Calibri" w:hAnsi="Calibri" w:cs="Calibri"/>
          <w:color w:val="auto"/>
          <w:vertAlign w:val="superscript"/>
        </w:rPr>
        <w:t>d</w:t>
      </w:r>
      <w:r w:rsidR="00A5547E">
        <w:rPr>
          <w:rFonts w:ascii="Calibri" w:hAnsi="Calibri" w:cs="Calibri"/>
          <w:color w:val="auto"/>
        </w:rPr>
        <w:t xml:space="preserve"> </w:t>
      </w:r>
      <w:r w:rsidRPr="009B294D">
        <w:rPr>
          <w:rFonts w:ascii="Calibri" w:hAnsi="Calibri" w:cs="Calibri"/>
          <w:color w:val="auto"/>
        </w:rPr>
        <w:t>Session of the Working Party on Billfish</w:t>
      </w:r>
    </w:p>
    <w:p w14:paraId="1D796871" w14:textId="41582320" w:rsidR="001C7D59" w:rsidRPr="009B294D" w:rsidRDefault="724C8A25">
      <w:pPr>
        <w:pStyle w:val="IOTCReportNormalNumbered"/>
        <w:ind w:left="540" w:hanging="540"/>
        <w:rPr>
          <w:rFonts w:ascii="Calibri" w:hAnsi="Calibri" w:cs="Calibri"/>
          <w:color w:val="auto"/>
        </w:rPr>
      </w:pPr>
      <w:bookmarkStart w:id="69" w:name="_Hlk84597857"/>
      <w:bookmarkEnd w:id="65"/>
      <w:bookmarkEnd w:id="66"/>
      <w:bookmarkEnd w:id="67"/>
      <w:bookmarkEnd w:id="68"/>
      <w:r w:rsidRPr="009B294D">
        <w:rPr>
          <w:rFonts w:ascii="Calibri" w:hAnsi="Calibri" w:cs="Calibri"/>
          <w:color w:val="auto"/>
        </w:rPr>
        <w:t xml:space="preserve">The WPB </w:t>
      </w:r>
      <w:r w:rsidRPr="009B294D">
        <w:rPr>
          <w:rFonts w:ascii="Calibri" w:eastAsia="MS Mincho" w:hAnsi="Calibri" w:cs="Calibri"/>
          <w:b/>
          <w:bCs/>
          <w:snapToGrid/>
          <w:color w:val="auto"/>
        </w:rPr>
        <w:t>RECOMMENDED</w:t>
      </w:r>
      <w:r w:rsidRPr="1EA925F2">
        <w:rPr>
          <w:rFonts w:ascii="Calibri" w:eastAsia="MS Mincho" w:hAnsi="Calibri" w:cs="Calibri"/>
          <w:snapToGrid/>
          <w:color w:val="auto"/>
        </w:rPr>
        <w:t xml:space="preserve"> that the </w:t>
      </w:r>
      <w:r w:rsidRPr="009B294D">
        <w:rPr>
          <w:rFonts w:ascii="Calibri" w:eastAsia="MS Mincho" w:hAnsi="Calibri" w:cs="Calibri"/>
          <w:snapToGrid/>
          <w:color w:val="auto"/>
        </w:rPr>
        <w:t>Scientific Committee</w:t>
      </w:r>
      <w:r w:rsidRPr="1EA925F2">
        <w:rPr>
          <w:rFonts w:ascii="Calibri" w:eastAsia="MS Mincho" w:hAnsi="Calibri" w:cs="Calibri"/>
          <w:snapToGrid/>
          <w:color w:val="auto"/>
        </w:rPr>
        <w:t xml:space="preserve"> consider the consolidated set of recommendations arising from WPB</w:t>
      </w:r>
      <w:r w:rsidR="5F47D391" w:rsidRPr="1EA925F2">
        <w:rPr>
          <w:rFonts w:ascii="Calibri" w:eastAsia="MS Mincho" w:hAnsi="Calibri" w:cs="Calibri"/>
          <w:snapToGrid/>
          <w:color w:val="auto"/>
        </w:rPr>
        <w:t>2</w:t>
      </w:r>
      <w:r w:rsidR="002845B7">
        <w:rPr>
          <w:rFonts w:ascii="Calibri" w:eastAsia="MS Mincho" w:hAnsi="Calibri" w:cs="Calibri"/>
          <w:snapToGrid/>
          <w:color w:val="auto"/>
        </w:rPr>
        <w:t>3</w:t>
      </w:r>
      <w:r w:rsidRPr="1EA925F2">
        <w:rPr>
          <w:rFonts w:ascii="Calibri" w:eastAsia="MS Mincho" w:hAnsi="Calibri" w:cs="Calibri"/>
          <w:snapToGrid/>
          <w:color w:val="auto"/>
        </w:rPr>
        <w:t>, provided</w:t>
      </w:r>
      <w:r w:rsidR="36BB2063" w:rsidRPr="1EA925F2">
        <w:rPr>
          <w:rFonts w:ascii="Calibri" w:eastAsia="MS Mincho" w:hAnsi="Calibri" w:cs="Calibri"/>
          <w:snapToGrid/>
          <w:color w:val="auto"/>
        </w:rPr>
        <w:t xml:space="preserve"> </w:t>
      </w:r>
      <w:r w:rsidRPr="1EA925F2">
        <w:rPr>
          <w:rFonts w:ascii="Calibri" w:eastAsia="MS Mincho" w:hAnsi="Calibri" w:cs="Calibri"/>
          <w:snapToGrid/>
          <w:color w:val="auto"/>
        </w:rPr>
        <w:t xml:space="preserve"> at </w:t>
      </w:r>
      <w:hyperlink w:anchor="APP11" w:history="1">
        <w:r w:rsidR="00DD4342" w:rsidRPr="00B45DB0">
          <w:rPr>
            <w:rStyle w:val="Hyperlink"/>
            <w:rFonts w:ascii="Calibri" w:eastAsia="MS Mincho" w:hAnsi="Calibri" w:cs="Calibri"/>
          </w:rPr>
          <w:t>Appendix X</w:t>
        </w:r>
        <w:r w:rsidR="00C63C9B">
          <w:rPr>
            <w:rStyle w:val="Hyperlink"/>
            <w:rFonts w:ascii="Calibri" w:eastAsia="MS Mincho" w:hAnsi="Calibri" w:cs="Calibri"/>
          </w:rPr>
          <w:t>I</w:t>
        </w:r>
      </w:hyperlink>
      <w:r w:rsidRPr="1EA925F2">
        <w:rPr>
          <w:rFonts w:ascii="Calibri" w:eastAsia="MS Mincho" w:hAnsi="Calibri" w:cs="Calibri"/>
          <w:snapToGrid/>
          <w:color w:val="auto"/>
        </w:rPr>
        <w:t>, as well as the management advice provided in the draft resource stock status summary for each of the</w:t>
      </w:r>
      <w:r w:rsidR="243C7C7A" w:rsidRPr="1EA925F2">
        <w:rPr>
          <w:rFonts w:ascii="Calibri" w:eastAsia="MS Mincho" w:hAnsi="Calibri" w:cs="Calibri"/>
          <w:snapToGrid/>
          <w:color w:val="auto"/>
        </w:rPr>
        <w:t xml:space="preserve"> five</w:t>
      </w:r>
      <w:r w:rsidRPr="1EA925F2">
        <w:rPr>
          <w:rFonts w:ascii="Calibri" w:eastAsia="MS Mincho" w:hAnsi="Calibri" w:cs="Calibri"/>
          <w:snapToGrid/>
          <w:color w:val="auto"/>
        </w:rPr>
        <w:t xml:space="preserve"> billfish species under the IOTC mandate</w:t>
      </w:r>
      <w:r w:rsidR="243C7C7A" w:rsidRPr="1EA925F2">
        <w:rPr>
          <w:rFonts w:ascii="Calibri" w:eastAsia="MS Mincho" w:hAnsi="Calibri" w:cs="Calibri"/>
          <w:snapToGrid/>
          <w:color w:val="auto"/>
        </w:rPr>
        <w:t xml:space="preserve">, and the combined Kobe plot for the </w:t>
      </w:r>
      <w:r w:rsidR="66D931FF" w:rsidRPr="1EA925F2">
        <w:rPr>
          <w:rFonts w:ascii="Calibri" w:eastAsia="MS Mincho" w:hAnsi="Calibri" w:cs="Calibri"/>
          <w:snapToGrid/>
          <w:color w:val="auto"/>
        </w:rPr>
        <w:t>five</w:t>
      </w:r>
      <w:r w:rsidR="243C7C7A" w:rsidRPr="1EA925F2">
        <w:rPr>
          <w:rFonts w:ascii="Calibri" w:eastAsia="MS Mincho" w:hAnsi="Calibri" w:cs="Calibri"/>
          <w:snapToGrid/>
          <w:color w:val="auto"/>
        </w:rPr>
        <w:t xml:space="preserve"> species assigned a stock status in 20</w:t>
      </w:r>
      <w:r w:rsidR="04E18D7B" w:rsidRPr="1EA925F2">
        <w:rPr>
          <w:rFonts w:ascii="Calibri" w:eastAsia="MS Mincho" w:hAnsi="Calibri" w:cs="Calibri"/>
          <w:snapToGrid/>
          <w:color w:val="auto"/>
        </w:rPr>
        <w:t>2</w:t>
      </w:r>
      <w:r w:rsidR="002845B7">
        <w:rPr>
          <w:rFonts w:ascii="Calibri" w:eastAsia="MS Mincho" w:hAnsi="Calibri" w:cs="Calibri"/>
          <w:snapToGrid/>
          <w:color w:val="auto"/>
        </w:rPr>
        <w:t>5</w:t>
      </w:r>
      <w:r w:rsidR="243C7C7A" w:rsidRPr="1EA925F2">
        <w:rPr>
          <w:rFonts w:ascii="Calibri" w:eastAsia="MS Mincho" w:hAnsi="Calibri" w:cs="Calibri"/>
          <w:snapToGrid/>
          <w:color w:val="auto"/>
        </w:rPr>
        <w:t xml:space="preserve"> (</w:t>
      </w:r>
      <w:r w:rsidR="243C7C7A" w:rsidRPr="00F13C38">
        <w:rPr>
          <w:rStyle w:val="Hyperlink"/>
          <w:rFonts w:ascii="Calibri" w:eastAsia="MS Mincho" w:hAnsi="Calibri" w:cs="Calibri"/>
          <w:color w:val="auto"/>
          <w:u w:val="none"/>
        </w:rPr>
        <w:t>Fig.</w:t>
      </w:r>
      <w:r w:rsidR="3AC77B84" w:rsidRPr="00F13C38">
        <w:rPr>
          <w:rStyle w:val="Hyperlink"/>
          <w:rFonts w:ascii="Calibri" w:eastAsia="MS Mincho" w:hAnsi="Calibri" w:cs="Calibri"/>
          <w:color w:val="auto"/>
          <w:u w:val="none"/>
        </w:rPr>
        <w:t xml:space="preserve"> </w:t>
      </w:r>
      <w:r w:rsidR="002740CC">
        <w:rPr>
          <w:rStyle w:val="Hyperlink"/>
          <w:rFonts w:ascii="Calibri" w:eastAsiaTheme="minorEastAsia" w:hAnsi="Calibri" w:cs="Calibri"/>
          <w:color w:val="auto"/>
          <w:u w:val="none"/>
          <w:lang w:eastAsia="zh-CN"/>
        </w:rPr>
        <w:t>3</w:t>
      </w:r>
      <w:r w:rsidR="243C7C7A" w:rsidRPr="1EA925F2">
        <w:rPr>
          <w:rFonts w:ascii="Calibri" w:eastAsia="MS Mincho" w:hAnsi="Calibri" w:cs="Calibri"/>
          <w:snapToGrid/>
          <w:color w:val="auto"/>
        </w:rPr>
        <w:t>):</w:t>
      </w:r>
    </w:p>
    <w:p w14:paraId="55A886ED" w14:textId="75F5079D" w:rsidR="003D3595" w:rsidRPr="009B294D" w:rsidRDefault="003D3595" w:rsidP="0099225C">
      <w:pPr>
        <w:numPr>
          <w:ilvl w:val="1"/>
          <w:numId w:val="13"/>
        </w:numPr>
        <w:spacing w:before="240"/>
        <w:jc w:val="both"/>
        <w:rPr>
          <w:rFonts w:ascii="Calibri" w:eastAsia="MS Mincho" w:hAnsi="Calibri" w:cs="Calibri"/>
          <w:snapToGrid w:val="0"/>
          <w:lang w:eastAsia="en-US"/>
        </w:rPr>
      </w:pPr>
      <w:r w:rsidRPr="009B294D">
        <w:rPr>
          <w:rFonts w:ascii="Calibri" w:eastAsia="MS Mincho" w:hAnsi="Calibri" w:cs="Calibri"/>
          <w:snapToGrid w:val="0"/>
          <w:lang w:eastAsia="en-US"/>
        </w:rPr>
        <w:t>Swordfish (</w:t>
      </w:r>
      <w:r w:rsidRPr="009B294D">
        <w:rPr>
          <w:rFonts w:ascii="Calibri" w:eastAsia="MS Mincho" w:hAnsi="Calibri" w:cs="Calibri"/>
          <w:i/>
          <w:snapToGrid w:val="0"/>
          <w:lang w:eastAsia="en-US"/>
        </w:rPr>
        <w:t>Xiphias gladius</w:t>
      </w:r>
      <w:r w:rsidRPr="009B294D">
        <w:rPr>
          <w:rFonts w:ascii="Calibri" w:eastAsia="MS Mincho" w:hAnsi="Calibri" w:cs="Calibri"/>
          <w:snapToGrid w:val="0"/>
          <w:lang w:eastAsia="en-US"/>
        </w:rPr>
        <w:t>)</w:t>
      </w:r>
      <w:r w:rsidRPr="009B294D">
        <w:rPr>
          <w:rFonts w:ascii="Calibri" w:hAnsi="Calibri" w:cs="Calibri"/>
        </w:rPr>
        <w:t xml:space="preserve">– </w:t>
      </w:r>
      <w:hyperlink w:anchor="APP4" w:history="1">
        <w:r w:rsidR="00DD4342">
          <w:rPr>
            <w:rStyle w:val="Hyperlink"/>
            <w:rFonts w:ascii="Calibri" w:hAnsi="Calibri" w:cs="Calibri"/>
          </w:rPr>
          <w:t>Appendix IV</w:t>
        </w:r>
      </w:hyperlink>
    </w:p>
    <w:p w14:paraId="3D4D0934" w14:textId="0FC64169" w:rsidR="002D7D9E" w:rsidRPr="009B294D" w:rsidRDefault="002D7D9E" w:rsidP="0099225C">
      <w:pPr>
        <w:numPr>
          <w:ilvl w:val="1"/>
          <w:numId w:val="13"/>
        </w:numPr>
        <w:jc w:val="both"/>
        <w:rPr>
          <w:rFonts w:ascii="Calibri" w:eastAsia="MS Mincho" w:hAnsi="Calibri" w:cs="Calibri"/>
          <w:snapToGrid w:val="0"/>
          <w:lang w:eastAsia="en-US"/>
        </w:rPr>
      </w:pPr>
      <w:r w:rsidRPr="009B294D">
        <w:rPr>
          <w:rFonts w:ascii="Calibri" w:eastAsia="MS Mincho" w:hAnsi="Calibri" w:cs="Calibri"/>
          <w:snapToGrid w:val="0"/>
          <w:lang w:eastAsia="en-US"/>
        </w:rPr>
        <w:t>Black marlin</w:t>
      </w:r>
      <w:r w:rsidR="00F91FC9" w:rsidRPr="009B294D">
        <w:rPr>
          <w:rFonts w:ascii="Calibri" w:eastAsia="MS Mincho" w:hAnsi="Calibri" w:cs="Calibri"/>
          <w:snapToGrid w:val="0"/>
          <w:lang w:eastAsia="en-US"/>
        </w:rPr>
        <w:t xml:space="preserve"> (</w:t>
      </w:r>
      <w:r w:rsidR="65006BF3" w:rsidRPr="009B294D">
        <w:rPr>
          <w:rFonts w:ascii="Calibri" w:eastAsia="MS Mincho" w:hAnsi="Calibri" w:cs="Calibri"/>
          <w:snapToGrid w:val="0"/>
          <w:lang w:eastAsia="en-US"/>
        </w:rPr>
        <w:t xml:space="preserve">Istiompax </w:t>
      </w:r>
      <w:r w:rsidRPr="24FF6681">
        <w:rPr>
          <w:rFonts w:ascii="Calibri" w:eastAsia="MS Mincho" w:hAnsi="Calibri" w:cs="Calibri"/>
          <w:i/>
          <w:iCs/>
          <w:snapToGrid w:val="0"/>
          <w:lang w:eastAsia="en-US"/>
        </w:rPr>
        <w:t>indica</w:t>
      </w:r>
      <w:r w:rsidR="00F91FC9" w:rsidRPr="009B294D">
        <w:rPr>
          <w:rFonts w:ascii="Calibri" w:eastAsia="MS Mincho" w:hAnsi="Calibri" w:cs="Calibri"/>
          <w:snapToGrid w:val="0"/>
          <w:lang w:eastAsia="en-US"/>
        </w:rPr>
        <w:t xml:space="preserve">) </w:t>
      </w:r>
      <w:r w:rsidR="00F91FC9" w:rsidRPr="009B294D">
        <w:rPr>
          <w:rFonts w:ascii="Calibri" w:hAnsi="Calibri" w:cs="Calibri"/>
        </w:rPr>
        <w:t xml:space="preserve">– </w:t>
      </w:r>
      <w:hyperlink w:anchor="APP5" w:history="1">
        <w:r w:rsidR="00DD4342">
          <w:rPr>
            <w:rStyle w:val="Hyperlink"/>
            <w:rFonts w:ascii="Calibri" w:hAnsi="Calibri" w:cs="Calibri"/>
          </w:rPr>
          <w:t>Appendix V</w:t>
        </w:r>
      </w:hyperlink>
    </w:p>
    <w:p w14:paraId="4F66DC9E" w14:textId="0725A679" w:rsidR="002D7D9E" w:rsidRPr="002B0E95" w:rsidRDefault="002D7D9E" w:rsidP="0099225C">
      <w:pPr>
        <w:numPr>
          <w:ilvl w:val="1"/>
          <w:numId w:val="13"/>
        </w:numPr>
        <w:jc w:val="both"/>
        <w:rPr>
          <w:rFonts w:ascii="Calibri" w:eastAsia="MS Mincho" w:hAnsi="Calibri" w:cs="Calibri"/>
          <w:i/>
          <w:snapToGrid w:val="0"/>
          <w:lang w:eastAsia="en-US"/>
        </w:rPr>
      </w:pPr>
      <w:r w:rsidRPr="009B294D">
        <w:rPr>
          <w:rFonts w:ascii="Calibri" w:eastAsia="MS Mincho" w:hAnsi="Calibri" w:cs="Calibri"/>
          <w:snapToGrid w:val="0"/>
          <w:lang w:eastAsia="en-US"/>
        </w:rPr>
        <w:t>Blue marlin</w:t>
      </w:r>
      <w:r w:rsidR="00F91FC9" w:rsidRPr="009B294D">
        <w:rPr>
          <w:rFonts w:ascii="Calibri" w:eastAsia="MS Mincho" w:hAnsi="Calibri" w:cs="Calibri"/>
          <w:snapToGrid w:val="0"/>
          <w:lang w:eastAsia="en-US"/>
        </w:rPr>
        <w:t xml:space="preserve"> (</w:t>
      </w:r>
      <w:r w:rsidRPr="009B294D">
        <w:rPr>
          <w:rFonts w:ascii="Calibri" w:eastAsia="MS Mincho" w:hAnsi="Calibri" w:cs="Calibri"/>
          <w:i/>
          <w:snapToGrid w:val="0"/>
          <w:lang w:eastAsia="en-US"/>
        </w:rPr>
        <w:t>Makaira nigricans</w:t>
      </w:r>
      <w:r w:rsidR="00F91FC9" w:rsidRPr="009B294D">
        <w:rPr>
          <w:rFonts w:ascii="Calibri" w:eastAsia="MS Mincho" w:hAnsi="Calibri" w:cs="Calibri"/>
          <w:snapToGrid w:val="0"/>
          <w:lang w:eastAsia="en-US"/>
        </w:rPr>
        <w:t xml:space="preserve">) </w:t>
      </w:r>
      <w:r w:rsidR="00F91FC9" w:rsidRPr="009B294D">
        <w:rPr>
          <w:rFonts w:ascii="Calibri" w:hAnsi="Calibri" w:cs="Calibri"/>
        </w:rPr>
        <w:t xml:space="preserve">– </w:t>
      </w:r>
      <w:hyperlink w:anchor="APP6" w:history="1">
        <w:r w:rsidR="00DD4342">
          <w:rPr>
            <w:rStyle w:val="Hyperlink"/>
            <w:rFonts w:ascii="Calibri" w:hAnsi="Calibri" w:cs="Calibri"/>
          </w:rPr>
          <w:t>Appendix VI</w:t>
        </w:r>
      </w:hyperlink>
    </w:p>
    <w:p w14:paraId="382A733D" w14:textId="2223C517" w:rsidR="002D7D9E" w:rsidRPr="002B0E95" w:rsidRDefault="002D7D9E" w:rsidP="0099225C">
      <w:pPr>
        <w:numPr>
          <w:ilvl w:val="1"/>
          <w:numId w:val="13"/>
        </w:numPr>
        <w:jc w:val="both"/>
        <w:rPr>
          <w:rFonts w:ascii="Calibri" w:eastAsia="MS Mincho" w:hAnsi="Calibri" w:cs="Calibri"/>
          <w:snapToGrid w:val="0"/>
          <w:lang w:eastAsia="en-US"/>
        </w:rPr>
      </w:pPr>
      <w:r w:rsidRPr="002B0E95">
        <w:rPr>
          <w:rFonts w:ascii="Calibri" w:eastAsia="MS Mincho" w:hAnsi="Calibri" w:cs="Calibri"/>
          <w:snapToGrid w:val="0"/>
          <w:lang w:eastAsia="en-US"/>
        </w:rPr>
        <w:t>Striped marlin</w:t>
      </w:r>
      <w:r w:rsidR="00F91FC9" w:rsidRPr="002B0E95">
        <w:rPr>
          <w:rFonts w:ascii="Calibri" w:eastAsia="MS Mincho" w:hAnsi="Calibri" w:cs="Calibri"/>
          <w:snapToGrid w:val="0"/>
          <w:lang w:eastAsia="en-US"/>
        </w:rPr>
        <w:t xml:space="preserve"> (</w:t>
      </w:r>
      <w:r w:rsidR="17BE0227" w:rsidRPr="24FF6681">
        <w:rPr>
          <w:rFonts w:ascii="Calibri" w:eastAsia="MS Mincho" w:hAnsi="Calibri" w:cs="Calibri"/>
          <w:i/>
          <w:iCs/>
          <w:snapToGrid w:val="0"/>
          <w:lang w:eastAsia="en-US"/>
        </w:rPr>
        <w:t>Kajikia</w:t>
      </w:r>
      <w:r w:rsidRPr="24FF6681">
        <w:rPr>
          <w:rFonts w:ascii="Calibri" w:eastAsia="MS Mincho" w:hAnsi="Calibri" w:cs="Calibri"/>
          <w:i/>
          <w:iCs/>
          <w:snapToGrid w:val="0"/>
          <w:lang w:eastAsia="en-US"/>
        </w:rPr>
        <w:t xml:space="preserve"> audax</w:t>
      </w:r>
      <w:r w:rsidR="00F91FC9" w:rsidRPr="002B0E95">
        <w:rPr>
          <w:rFonts w:ascii="Calibri" w:eastAsia="MS Mincho" w:hAnsi="Calibri" w:cs="Calibri"/>
          <w:snapToGrid w:val="0"/>
          <w:lang w:eastAsia="en-US"/>
        </w:rPr>
        <w:t xml:space="preserve">) </w:t>
      </w:r>
      <w:r w:rsidR="00F91FC9" w:rsidRPr="002B0E95">
        <w:rPr>
          <w:rFonts w:ascii="Calibri" w:hAnsi="Calibri" w:cs="Calibri"/>
        </w:rPr>
        <w:t xml:space="preserve">– </w:t>
      </w:r>
      <w:hyperlink w:anchor="APP7" w:history="1">
        <w:r w:rsidR="003D3595" w:rsidRPr="00DD4342">
          <w:rPr>
            <w:rStyle w:val="Hyperlink"/>
            <w:rFonts w:ascii="Calibri" w:hAnsi="Calibri" w:cs="Calibri"/>
          </w:rPr>
          <w:t xml:space="preserve">Appendix </w:t>
        </w:r>
        <w:r w:rsidR="00DD4342" w:rsidRPr="00DD4342">
          <w:rPr>
            <w:rStyle w:val="Hyperlink"/>
            <w:rFonts w:ascii="Calibri" w:hAnsi="Calibri" w:cs="Calibri"/>
          </w:rPr>
          <w:t>VII</w:t>
        </w:r>
      </w:hyperlink>
    </w:p>
    <w:p w14:paraId="4F93BCD5" w14:textId="73678F3F" w:rsidR="002D7D9E" w:rsidRPr="002B0E95" w:rsidRDefault="002D7D9E" w:rsidP="0099225C">
      <w:pPr>
        <w:numPr>
          <w:ilvl w:val="1"/>
          <w:numId w:val="13"/>
        </w:numPr>
        <w:jc w:val="both"/>
        <w:rPr>
          <w:rFonts w:ascii="Calibri" w:eastAsia="MS Mincho" w:hAnsi="Calibri" w:cs="Calibri"/>
          <w:snapToGrid w:val="0"/>
          <w:lang w:eastAsia="en-US"/>
        </w:rPr>
      </w:pPr>
      <w:r w:rsidRPr="002B0E95">
        <w:rPr>
          <w:rFonts w:ascii="Calibri" w:eastAsia="MS Mincho" w:hAnsi="Calibri" w:cs="Calibri"/>
          <w:snapToGrid w:val="0"/>
          <w:lang w:eastAsia="en-US"/>
        </w:rPr>
        <w:t>Indo-Pacific sailfish</w:t>
      </w:r>
      <w:r w:rsidR="00F91FC9" w:rsidRPr="002B0E95">
        <w:rPr>
          <w:rFonts w:ascii="Calibri" w:eastAsia="MS Mincho" w:hAnsi="Calibri" w:cs="Calibri"/>
          <w:snapToGrid w:val="0"/>
          <w:lang w:eastAsia="en-US"/>
        </w:rPr>
        <w:t xml:space="preserve"> (</w:t>
      </w:r>
      <w:r w:rsidRPr="002B0E95">
        <w:rPr>
          <w:rFonts w:ascii="Calibri" w:eastAsia="MS Mincho" w:hAnsi="Calibri" w:cs="Calibri"/>
          <w:i/>
          <w:snapToGrid w:val="0"/>
          <w:lang w:eastAsia="en-US"/>
        </w:rPr>
        <w:t>Istiophorus platypterus</w:t>
      </w:r>
      <w:r w:rsidR="00F91FC9" w:rsidRPr="002B0E95">
        <w:rPr>
          <w:rFonts w:ascii="Calibri" w:eastAsia="MS Mincho" w:hAnsi="Calibri" w:cs="Calibri"/>
          <w:snapToGrid w:val="0"/>
          <w:lang w:eastAsia="en-US"/>
        </w:rPr>
        <w:t xml:space="preserve">)  </w:t>
      </w:r>
      <w:r w:rsidR="00F91FC9" w:rsidRPr="002B0E95">
        <w:rPr>
          <w:rFonts w:ascii="Calibri" w:hAnsi="Calibri" w:cs="Calibri"/>
        </w:rPr>
        <w:t xml:space="preserve">– </w:t>
      </w:r>
      <w:hyperlink w:anchor="APP8" w:history="1">
        <w:r w:rsidR="00DD4342">
          <w:rPr>
            <w:rStyle w:val="Hyperlink"/>
            <w:rFonts w:ascii="Calibri" w:hAnsi="Calibri" w:cs="Calibri"/>
          </w:rPr>
          <w:t>Appendix VIII</w:t>
        </w:r>
      </w:hyperlink>
    </w:p>
    <w:bookmarkEnd w:id="69"/>
    <w:p w14:paraId="71C010C4" w14:textId="351B3C3E" w:rsidR="005009C5" w:rsidRPr="002B0E95" w:rsidRDefault="005009C5" w:rsidP="005009C5">
      <w:pPr>
        <w:pStyle w:val="IOTCReportNormalNumbered"/>
        <w:numPr>
          <w:ilvl w:val="0"/>
          <w:numId w:val="0"/>
        </w:numPr>
        <w:spacing w:before="0"/>
        <w:jc w:val="center"/>
        <w:rPr>
          <w:rFonts w:ascii="Calibri" w:hAnsi="Calibri" w:cs="Calibri"/>
          <w:b/>
          <w:color w:val="auto"/>
        </w:rPr>
      </w:pPr>
    </w:p>
    <w:p w14:paraId="7C505AE1" w14:textId="09041DA3" w:rsidR="00A170FA" w:rsidRPr="00BA1EB7" w:rsidRDefault="00AC53BB" w:rsidP="00A170FA">
      <w:pPr>
        <w:pStyle w:val="ListParagraph"/>
        <w:spacing w:after="240"/>
        <w:jc w:val="center"/>
        <w:rPr>
          <w:highlight w:val="yellow"/>
        </w:rPr>
      </w:pPr>
      <w:r>
        <w:rPr>
          <w:noProof/>
        </w:rPr>
        <w:lastRenderedPageBreak/>
        <w:drawing>
          <wp:inline distT="0" distB="0" distL="0" distR="0" wp14:anchorId="7DF1AD49" wp14:editId="66C231E3">
            <wp:extent cx="3200400" cy="3196800"/>
            <wp:effectExtent l="0" t="0" r="0" b="3810"/>
            <wp:docPr id="461109766" name="Picture 7" descr="A chart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109766" name="Picture 7" descr="A chart with different colored squares&#10;&#10;AI-generated content may be incorrect."/>
                    <pic:cNvPicPr/>
                  </pic:nvPicPr>
                  <pic:blipFill>
                    <a:blip r:embed="rId15"/>
                    <a:stretch>
                      <a:fillRect/>
                    </a:stretch>
                  </pic:blipFill>
                  <pic:spPr>
                    <a:xfrm>
                      <a:off x="0" y="0"/>
                      <a:ext cx="3200400" cy="3196800"/>
                    </a:xfrm>
                    <a:prstGeom prst="rect">
                      <a:avLst/>
                    </a:prstGeom>
                  </pic:spPr>
                </pic:pic>
              </a:graphicData>
            </a:graphic>
          </wp:inline>
        </w:drawing>
      </w:r>
    </w:p>
    <w:p w14:paraId="705023CA" w14:textId="56690555" w:rsidR="0020442F" w:rsidRPr="00A170FA" w:rsidRDefault="00A170FA" w:rsidP="00A170FA">
      <w:pPr>
        <w:pStyle w:val="IOTCReportNormalNumbered"/>
        <w:numPr>
          <w:ilvl w:val="0"/>
          <w:numId w:val="0"/>
        </w:numPr>
        <w:spacing w:after="240"/>
        <w:ind w:left="567" w:right="543"/>
        <w:rPr>
          <w:rFonts w:ascii="Calibri" w:hAnsi="Calibri" w:cs="Calibri"/>
          <w:b/>
          <w:bCs/>
          <w:color w:val="auto"/>
        </w:rPr>
      </w:pPr>
      <w:r w:rsidRPr="00D516FC">
        <w:rPr>
          <w:rFonts w:ascii="Calibri" w:hAnsi="Calibri" w:cs="Calibri"/>
          <w:b/>
          <w:bCs/>
          <w:color w:val="auto"/>
          <w:sz w:val="20"/>
        </w:rPr>
        <w:t xml:space="preserve">Fig. </w:t>
      </w:r>
      <w:r w:rsidR="00F84091">
        <w:rPr>
          <w:rFonts w:ascii="Calibri" w:hAnsi="Calibri" w:cs="Calibri"/>
          <w:b/>
          <w:bCs/>
          <w:color w:val="auto"/>
          <w:sz w:val="20"/>
        </w:rPr>
        <w:t>3</w:t>
      </w:r>
      <w:r w:rsidRPr="00D516FC">
        <w:rPr>
          <w:rFonts w:ascii="Calibri" w:hAnsi="Calibri" w:cs="Calibri"/>
          <w:b/>
          <w:bCs/>
          <w:color w:val="auto"/>
          <w:sz w:val="20"/>
        </w:rPr>
        <w:t>.</w:t>
      </w:r>
      <w:r w:rsidRPr="00D516FC">
        <w:rPr>
          <w:rFonts w:ascii="Calibri" w:hAnsi="Calibri" w:cs="Calibri"/>
          <w:color w:val="auto"/>
          <w:sz w:val="20"/>
        </w:rPr>
        <w:t xml:space="preserve"> Combined Kobe plot for swordfish (grey), indo-pacific sailfish (cyan), black marlin (black), blue marlin (blue) and striped marlin (purple) showing the 202</w:t>
      </w:r>
      <w:r w:rsidR="007B0E3D">
        <w:rPr>
          <w:rFonts w:ascii="Calibri" w:hAnsi="Calibri" w:cs="Calibri"/>
          <w:color w:val="auto"/>
          <w:sz w:val="20"/>
        </w:rPr>
        <w:t xml:space="preserve">3, </w:t>
      </w:r>
      <w:r w:rsidR="0003272D" w:rsidRPr="00D516FC">
        <w:rPr>
          <w:rFonts w:ascii="Calibri" w:hAnsi="Calibri" w:cs="Calibri"/>
          <w:color w:val="auto"/>
          <w:sz w:val="20"/>
        </w:rPr>
        <w:t>2004</w:t>
      </w:r>
      <w:r w:rsidR="007B0E3D">
        <w:rPr>
          <w:rFonts w:ascii="Calibri" w:hAnsi="Calibri" w:cs="Calibri"/>
          <w:color w:val="auto"/>
          <w:sz w:val="20"/>
        </w:rPr>
        <w:t>, and 2025</w:t>
      </w:r>
      <w:r w:rsidRPr="00D516FC">
        <w:rPr>
          <w:rFonts w:ascii="Calibri" w:hAnsi="Calibri" w:cs="Calibri"/>
          <w:color w:val="auto"/>
          <w:sz w:val="20"/>
        </w:rPr>
        <w:t xml:space="preserve"> estimates of current stock size (SB or B, species assessment dependent) and current fishing mortality (F) in relation to optimal spawning stock size and optimal fishing mortality. Cross bars illustrate the range of uncertainty from the model runs.</w:t>
      </w:r>
      <w:bookmarkStart w:id="70" w:name="_Hlk84597958"/>
    </w:p>
    <w:bookmarkEnd w:id="70"/>
    <w:p w14:paraId="59BF708D" w14:textId="3298CA55" w:rsidR="00BA5621" w:rsidRPr="00CD0BEF" w:rsidRDefault="6F8B80BB">
      <w:pPr>
        <w:pStyle w:val="IOTCReportNormalNumbered"/>
        <w:rPr>
          <w:rFonts w:ascii="Calibri" w:eastAsia="MS Mincho" w:hAnsi="Calibri" w:cs="Calibri"/>
        </w:rPr>
      </w:pPr>
      <w:r w:rsidRPr="7378E142">
        <w:rPr>
          <w:rFonts w:ascii="Calibri" w:hAnsi="Calibri" w:cs="Calibri"/>
        </w:rPr>
        <w:t xml:space="preserve">The report of the </w:t>
      </w:r>
      <w:r w:rsidR="5F47D391" w:rsidRPr="7378E142">
        <w:rPr>
          <w:rFonts w:ascii="Calibri" w:hAnsi="Calibri" w:cs="Calibri"/>
        </w:rPr>
        <w:t>2</w:t>
      </w:r>
      <w:r w:rsidR="00C159DB">
        <w:rPr>
          <w:rFonts w:ascii="Calibri" w:hAnsi="Calibri" w:cs="Calibri"/>
        </w:rPr>
        <w:t>3</w:t>
      </w:r>
      <w:r w:rsidR="00C159DB">
        <w:rPr>
          <w:rFonts w:ascii="Calibri" w:hAnsi="Calibri" w:cs="Calibri"/>
          <w:vertAlign w:val="superscript"/>
        </w:rPr>
        <w:t>rd</w:t>
      </w:r>
      <w:r w:rsidR="3574D071" w:rsidRPr="7378E142">
        <w:rPr>
          <w:rFonts w:ascii="Calibri" w:hAnsi="Calibri" w:cs="Calibri"/>
        </w:rPr>
        <w:t xml:space="preserve"> </w:t>
      </w:r>
      <w:r w:rsidRPr="7378E142">
        <w:rPr>
          <w:rFonts w:ascii="Calibri" w:hAnsi="Calibri" w:cs="Calibri"/>
        </w:rPr>
        <w:t xml:space="preserve">Session of the </w:t>
      </w:r>
      <w:r w:rsidR="61E988AF" w:rsidRPr="7378E142">
        <w:rPr>
          <w:rFonts w:ascii="Calibri" w:hAnsi="Calibri" w:cs="Calibri"/>
        </w:rPr>
        <w:t>Working Party on Billfish</w:t>
      </w:r>
      <w:r w:rsidR="014A76F2" w:rsidRPr="7378E142">
        <w:rPr>
          <w:rFonts w:ascii="Calibri" w:hAnsi="Calibri" w:cs="Calibri"/>
        </w:rPr>
        <w:t xml:space="preserve"> </w:t>
      </w:r>
      <w:r w:rsidR="031FC870" w:rsidRPr="7378E142">
        <w:rPr>
          <w:rFonts w:ascii="Calibri" w:hAnsi="Calibri" w:cs="Calibri"/>
        </w:rPr>
        <w:t>(IOTC–20</w:t>
      </w:r>
      <w:r w:rsidR="04E18D7B" w:rsidRPr="7378E142">
        <w:rPr>
          <w:rFonts w:ascii="Calibri" w:hAnsi="Calibri" w:cs="Calibri"/>
        </w:rPr>
        <w:t>2</w:t>
      </w:r>
      <w:r w:rsidR="00C159DB">
        <w:rPr>
          <w:rFonts w:ascii="Calibri" w:hAnsi="Calibri" w:cs="Calibri"/>
        </w:rPr>
        <w:t>5</w:t>
      </w:r>
      <w:r w:rsidR="62140711" w:rsidRPr="7378E142">
        <w:rPr>
          <w:rFonts w:ascii="Calibri" w:hAnsi="Calibri" w:cs="Calibri"/>
        </w:rPr>
        <w:t>–WPB</w:t>
      </w:r>
      <w:r w:rsidR="5F47D391" w:rsidRPr="7378E142">
        <w:rPr>
          <w:rFonts w:ascii="Calibri" w:hAnsi="Calibri" w:cs="Calibri"/>
        </w:rPr>
        <w:t>2</w:t>
      </w:r>
      <w:r w:rsidR="00C159DB">
        <w:rPr>
          <w:rFonts w:ascii="Calibri" w:hAnsi="Calibri" w:cs="Calibri"/>
        </w:rPr>
        <w:t>3</w:t>
      </w:r>
      <w:r w:rsidR="031FC870" w:rsidRPr="7378E142">
        <w:rPr>
          <w:rFonts w:ascii="Calibri" w:hAnsi="Calibri" w:cs="Calibri"/>
        </w:rPr>
        <w:t xml:space="preserve">–R) </w:t>
      </w:r>
      <w:r w:rsidRPr="7378E142">
        <w:rPr>
          <w:rFonts w:ascii="Calibri" w:hAnsi="Calibri" w:cs="Calibri"/>
        </w:rPr>
        <w:t xml:space="preserve">was </w:t>
      </w:r>
      <w:r w:rsidR="2D4FB5B5" w:rsidRPr="7378E142">
        <w:rPr>
          <w:rFonts w:ascii="Calibri" w:hAnsi="Calibri" w:cs="Calibri"/>
          <w:b/>
          <w:bCs/>
        </w:rPr>
        <w:t>ADOPTED</w:t>
      </w:r>
      <w:r w:rsidRPr="7378E142">
        <w:rPr>
          <w:rFonts w:ascii="Calibri" w:hAnsi="Calibri" w:cs="Calibri"/>
        </w:rPr>
        <w:t xml:space="preserve"> </w:t>
      </w:r>
      <w:bookmarkStart w:id="71" w:name="_Toc163032610"/>
      <w:r w:rsidR="04E18D7B" w:rsidRPr="7378E142">
        <w:rPr>
          <w:rFonts w:ascii="Calibri" w:hAnsi="Calibri" w:cs="Calibri"/>
        </w:rPr>
        <w:t>by correspondence</w:t>
      </w:r>
      <w:r w:rsidR="2FD7D350" w:rsidRPr="7378E142">
        <w:rPr>
          <w:rFonts w:ascii="Calibri" w:hAnsi="Calibri" w:cs="Calibri"/>
        </w:rPr>
        <w:t>.</w:t>
      </w:r>
      <w:r w:rsidRPr="7378E142">
        <w:rPr>
          <w:rFonts w:ascii="Calibri" w:eastAsia="MS Mincho" w:hAnsi="Calibri" w:cs="Calibri"/>
        </w:rPr>
        <w:br w:type="page"/>
      </w:r>
    </w:p>
    <w:p w14:paraId="26C3A6B2" w14:textId="61A5B3ED" w:rsidR="0058551D" w:rsidRDefault="0058551D" w:rsidP="002B27A9">
      <w:pPr>
        <w:pStyle w:val="AppendixHeading"/>
      </w:pPr>
      <w:bookmarkStart w:id="72" w:name="_Toc336947269"/>
      <w:bookmarkStart w:id="73" w:name="_Toc210218015"/>
      <w:bookmarkStart w:id="74" w:name="APP1"/>
      <w:bookmarkEnd w:id="71"/>
      <w:r w:rsidRPr="009F2FC0">
        <w:rPr>
          <w:rFonts w:eastAsia="Times New Roman"/>
          <w:color w:val="000000" w:themeColor="text1"/>
          <w:lang w:eastAsia="fr-FR"/>
        </w:rPr>
        <w:lastRenderedPageBreak/>
        <w:t>Appendix I</w:t>
      </w:r>
      <w:r w:rsidR="006A24A8">
        <w:rPr>
          <w:rFonts w:eastAsia="Times New Roman"/>
          <w:color w:val="000000" w:themeColor="text1"/>
          <w:lang w:eastAsia="fr-FR"/>
        </w:rPr>
        <w:t xml:space="preserve"> - </w:t>
      </w:r>
      <w:r w:rsidRPr="009F2FC0">
        <w:t>List of participant</w:t>
      </w:r>
      <w:bookmarkEnd w:id="72"/>
      <w:r w:rsidRPr="009F2FC0">
        <w:t>s</w:t>
      </w:r>
      <w:bookmarkEnd w:id="73"/>
    </w:p>
    <w:p w14:paraId="228DD020" w14:textId="77777777" w:rsidR="00A03985" w:rsidRDefault="00A03985" w:rsidP="002B27A9">
      <w:pPr>
        <w:pStyle w:val="AppendixHeading"/>
      </w:pPr>
    </w:p>
    <w:bookmarkEnd w:id="74"/>
    <w:p w14:paraId="0C0D89C7" w14:textId="77777777" w:rsidR="0058551D" w:rsidRPr="009B294D" w:rsidRDefault="0058551D" w:rsidP="0058551D">
      <w:pPr>
        <w:rPr>
          <w:rFonts w:ascii="Calibri" w:hAnsi="Calibri" w:cs="Calibri"/>
          <w:lang w:eastAsia="en-US"/>
        </w:rPr>
        <w:sectPr w:rsidR="0058551D" w:rsidRPr="009B294D" w:rsidSect="000C0A77">
          <w:headerReference w:type="default" r:id="rId59"/>
          <w:footerReference w:type="default" r:id="rId60"/>
          <w:headerReference w:type="first" r:id="rId61"/>
          <w:footerReference w:type="first" r:id="rId62"/>
          <w:type w:val="continuous"/>
          <w:pgSz w:w="11906" w:h="16838" w:code="9"/>
          <w:pgMar w:top="720" w:right="720" w:bottom="720" w:left="720" w:header="288" w:footer="288" w:gutter="0"/>
          <w:cols w:space="720"/>
          <w:noEndnote/>
          <w:docGrid w:linePitch="299"/>
        </w:sectPr>
      </w:pPr>
    </w:p>
    <w:p w14:paraId="455499CD" w14:textId="77777777" w:rsidR="006A24A8" w:rsidRPr="00552774" w:rsidRDefault="006A24A8" w:rsidP="0058551D">
      <w:pPr>
        <w:rPr>
          <w:rFonts w:ascii="Calibri" w:hAnsi="Calibri" w:cs="Calibri"/>
          <w:lang w:eastAsia="en-US"/>
        </w:rPr>
      </w:pPr>
    </w:p>
    <w:p w14:paraId="55A481F6" w14:textId="7A81F633" w:rsidR="00A37BD1" w:rsidRPr="00552774" w:rsidRDefault="007C0562" w:rsidP="0058551D">
      <w:pPr>
        <w:rPr>
          <w:rFonts w:ascii="Calibri" w:hAnsi="Calibri" w:cs="Calibri"/>
          <w:lang w:eastAsia="en-US"/>
        </w:rPr>
        <w:sectPr w:rsidR="00A37BD1" w:rsidRPr="00552774" w:rsidSect="00163B91">
          <w:type w:val="continuous"/>
          <w:pgSz w:w="11906" w:h="16838" w:code="9"/>
          <w:pgMar w:top="720" w:right="720" w:bottom="720" w:left="720" w:header="288" w:footer="288" w:gutter="0"/>
          <w:cols w:num="3" w:space="103"/>
          <w:noEndnote/>
          <w:docGrid w:linePitch="299"/>
        </w:sectPr>
      </w:pPr>
      <w:r w:rsidRPr="00552774">
        <w:rPr>
          <w:rFonts w:ascii="Calibri" w:hAnsi="Calibri" w:cs="Calibri"/>
          <w:lang w:eastAsia="en-US"/>
        </w:rPr>
        <w:t xml:space="preserve"> </w:t>
      </w:r>
    </w:p>
    <w:tbl>
      <w:tblPr>
        <w:tblW w:w="10905" w:type="dxa"/>
        <w:tblLook w:val="04A0" w:firstRow="1" w:lastRow="0" w:firstColumn="1" w:lastColumn="0" w:noHBand="0" w:noVBand="1"/>
      </w:tblPr>
      <w:tblGrid>
        <w:gridCol w:w="612"/>
        <w:gridCol w:w="2216"/>
        <w:gridCol w:w="2009"/>
        <w:gridCol w:w="2619"/>
        <w:gridCol w:w="3449"/>
      </w:tblGrid>
      <w:tr w:rsidR="00832CA5" w:rsidRPr="00832CA5" w14:paraId="78978563" w14:textId="77777777" w:rsidTr="00832CA5">
        <w:trPr>
          <w:trHeight w:val="300"/>
        </w:trPr>
        <w:tc>
          <w:tcPr>
            <w:tcW w:w="10905" w:type="dxa"/>
            <w:gridSpan w:val="5"/>
            <w:tcBorders>
              <w:top w:val="single" w:sz="8" w:space="0" w:color="auto"/>
              <w:left w:val="single" w:sz="8" w:space="0" w:color="auto"/>
              <w:bottom w:val="single" w:sz="8" w:space="0" w:color="auto"/>
              <w:right w:val="single" w:sz="8" w:space="0" w:color="000000"/>
            </w:tcBorders>
            <w:noWrap/>
            <w:vAlign w:val="bottom"/>
            <w:hideMark/>
          </w:tcPr>
          <w:p w14:paraId="0466D8CB" w14:textId="77777777" w:rsidR="00832CA5" w:rsidRPr="00832CA5" w:rsidRDefault="00832CA5" w:rsidP="00832CA5">
            <w:pPr>
              <w:rPr>
                <w:rFonts w:ascii="Aptos Narrow" w:hAnsi="Aptos Narrow"/>
                <w:b/>
                <w:bCs/>
                <w:color w:val="000000"/>
                <w:lang w:val="en-SC" w:eastAsia="zh-CN"/>
              </w:rPr>
            </w:pPr>
            <w:bookmarkStart w:id="75" w:name="_Toc336947270"/>
            <w:r w:rsidRPr="00832CA5">
              <w:rPr>
                <w:rFonts w:ascii="Aptos Narrow" w:hAnsi="Aptos Narrow"/>
                <w:b/>
                <w:bCs/>
                <w:color w:val="000000"/>
                <w:lang w:val="en-SC" w:eastAsia="zh-CN"/>
              </w:rPr>
              <w:t>Chairpersons WPB23</w:t>
            </w:r>
          </w:p>
        </w:tc>
      </w:tr>
      <w:tr w:rsidR="00832CA5" w:rsidRPr="00832CA5" w14:paraId="2CD1780D" w14:textId="77777777" w:rsidTr="00AE188D">
        <w:trPr>
          <w:trHeight w:val="288"/>
        </w:trPr>
        <w:tc>
          <w:tcPr>
            <w:tcW w:w="612" w:type="dxa"/>
            <w:tcBorders>
              <w:top w:val="nil"/>
              <w:left w:val="single" w:sz="8" w:space="0" w:color="auto"/>
              <w:bottom w:val="nil"/>
              <w:right w:val="single" w:sz="4" w:space="0" w:color="auto"/>
            </w:tcBorders>
            <w:noWrap/>
            <w:vAlign w:val="bottom"/>
            <w:hideMark/>
          </w:tcPr>
          <w:p w14:paraId="67E51628" w14:textId="77777777" w:rsidR="00832CA5" w:rsidRPr="00832CA5" w:rsidRDefault="00832CA5" w:rsidP="00832CA5">
            <w:pPr>
              <w:rPr>
                <w:rFonts w:ascii="Aptos Narrow" w:hAnsi="Aptos Narrow"/>
                <w:b/>
                <w:bCs/>
                <w:color w:val="000000"/>
                <w:lang w:val="en-SC" w:eastAsia="zh-CN"/>
              </w:rPr>
            </w:pPr>
            <w:r w:rsidRPr="00832CA5">
              <w:rPr>
                <w:rFonts w:ascii="Aptos Narrow" w:hAnsi="Aptos Narrow"/>
                <w:b/>
                <w:bCs/>
                <w:color w:val="000000"/>
                <w:lang w:val="en-SC" w:eastAsia="zh-CN"/>
              </w:rPr>
              <w:t>Title</w:t>
            </w:r>
          </w:p>
        </w:tc>
        <w:tc>
          <w:tcPr>
            <w:tcW w:w="2216" w:type="dxa"/>
            <w:tcBorders>
              <w:top w:val="nil"/>
              <w:left w:val="nil"/>
              <w:bottom w:val="nil"/>
              <w:right w:val="single" w:sz="4" w:space="0" w:color="auto"/>
            </w:tcBorders>
            <w:noWrap/>
            <w:vAlign w:val="bottom"/>
            <w:hideMark/>
          </w:tcPr>
          <w:p w14:paraId="5A8FEBA6" w14:textId="77777777" w:rsidR="00832CA5" w:rsidRPr="00832CA5" w:rsidRDefault="00832CA5" w:rsidP="00832CA5">
            <w:pPr>
              <w:rPr>
                <w:rFonts w:ascii="Aptos Narrow" w:hAnsi="Aptos Narrow"/>
                <w:b/>
                <w:bCs/>
                <w:color w:val="000000"/>
                <w:lang w:val="en-SC" w:eastAsia="zh-CN"/>
              </w:rPr>
            </w:pPr>
            <w:r w:rsidRPr="00832CA5">
              <w:rPr>
                <w:rFonts w:ascii="Aptos Narrow" w:hAnsi="Aptos Narrow"/>
                <w:b/>
                <w:bCs/>
                <w:color w:val="000000"/>
                <w:lang w:val="en-SC" w:eastAsia="zh-CN"/>
              </w:rPr>
              <w:t>First name</w:t>
            </w:r>
          </w:p>
        </w:tc>
        <w:tc>
          <w:tcPr>
            <w:tcW w:w="2009" w:type="dxa"/>
            <w:tcBorders>
              <w:top w:val="nil"/>
              <w:left w:val="nil"/>
              <w:bottom w:val="nil"/>
              <w:right w:val="single" w:sz="4" w:space="0" w:color="auto"/>
            </w:tcBorders>
            <w:noWrap/>
            <w:vAlign w:val="bottom"/>
            <w:hideMark/>
          </w:tcPr>
          <w:p w14:paraId="5E502774" w14:textId="77777777" w:rsidR="00832CA5" w:rsidRPr="00832CA5" w:rsidRDefault="00832CA5" w:rsidP="00832CA5">
            <w:pPr>
              <w:rPr>
                <w:rFonts w:ascii="Aptos Narrow" w:hAnsi="Aptos Narrow"/>
                <w:b/>
                <w:bCs/>
                <w:color w:val="000000"/>
                <w:lang w:val="en-SC" w:eastAsia="zh-CN"/>
              </w:rPr>
            </w:pPr>
            <w:r w:rsidRPr="00832CA5">
              <w:rPr>
                <w:rFonts w:ascii="Aptos Narrow" w:hAnsi="Aptos Narrow"/>
                <w:b/>
                <w:bCs/>
                <w:color w:val="000000"/>
                <w:lang w:val="en-SC" w:eastAsia="zh-CN"/>
              </w:rPr>
              <w:t>Last name</w:t>
            </w:r>
          </w:p>
        </w:tc>
        <w:tc>
          <w:tcPr>
            <w:tcW w:w="2619" w:type="dxa"/>
            <w:tcBorders>
              <w:top w:val="nil"/>
              <w:left w:val="nil"/>
              <w:bottom w:val="nil"/>
              <w:right w:val="single" w:sz="4" w:space="0" w:color="auto"/>
            </w:tcBorders>
            <w:vAlign w:val="bottom"/>
            <w:hideMark/>
          </w:tcPr>
          <w:p w14:paraId="44067969" w14:textId="77777777" w:rsidR="00832CA5" w:rsidRPr="00832CA5" w:rsidRDefault="00832CA5" w:rsidP="00832CA5">
            <w:pPr>
              <w:rPr>
                <w:rFonts w:ascii="Aptos Narrow" w:hAnsi="Aptos Narrow"/>
                <w:b/>
                <w:bCs/>
                <w:color w:val="000000"/>
                <w:lang w:val="en-SC" w:eastAsia="zh-CN"/>
              </w:rPr>
            </w:pPr>
            <w:r w:rsidRPr="00832CA5">
              <w:rPr>
                <w:rFonts w:ascii="Aptos Narrow" w:hAnsi="Aptos Narrow"/>
                <w:b/>
                <w:bCs/>
                <w:color w:val="000000"/>
                <w:lang w:val="en-SC" w:eastAsia="zh-CN"/>
              </w:rPr>
              <w:t>Organisation</w:t>
            </w:r>
          </w:p>
        </w:tc>
        <w:tc>
          <w:tcPr>
            <w:tcW w:w="3449" w:type="dxa"/>
            <w:tcBorders>
              <w:top w:val="nil"/>
              <w:left w:val="nil"/>
              <w:bottom w:val="nil"/>
              <w:right w:val="single" w:sz="8" w:space="0" w:color="auto"/>
            </w:tcBorders>
            <w:vAlign w:val="bottom"/>
            <w:hideMark/>
          </w:tcPr>
          <w:p w14:paraId="476C9D0B" w14:textId="77777777" w:rsidR="00832CA5" w:rsidRPr="00832CA5" w:rsidRDefault="00832CA5" w:rsidP="00832CA5">
            <w:pPr>
              <w:rPr>
                <w:rFonts w:ascii="Aptos Narrow" w:hAnsi="Aptos Narrow"/>
                <w:b/>
                <w:bCs/>
                <w:color w:val="000000"/>
                <w:lang w:val="en-SC" w:eastAsia="zh-CN"/>
              </w:rPr>
            </w:pPr>
            <w:r w:rsidRPr="00832CA5">
              <w:rPr>
                <w:rFonts w:ascii="Aptos Narrow" w:hAnsi="Aptos Narrow"/>
                <w:b/>
                <w:bCs/>
                <w:color w:val="000000"/>
                <w:lang w:val="en-SC" w:eastAsia="zh-CN"/>
              </w:rPr>
              <w:t>E-mail</w:t>
            </w:r>
          </w:p>
        </w:tc>
      </w:tr>
      <w:tr w:rsidR="00832CA5" w:rsidRPr="00832CA5" w14:paraId="3D813EF6" w14:textId="77777777" w:rsidTr="00AE188D">
        <w:trPr>
          <w:trHeight w:val="288"/>
        </w:trPr>
        <w:tc>
          <w:tcPr>
            <w:tcW w:w="612" w:type="dxa"/>
            <w:tcBorders>
              <w:top w:val="single" w:sz="4" w:space="0" w:color="000000"/>
              <w:left w:val="single" w:sz="4" w:space="0" w:color="000000"/>
              <w:bottom w:val="single" w:sz="4" w:space="0" w:color="000000"/>
              <w:right w:val="single" w:sz="4" w:space="0" w:color="000000"/>
            </w:tcBorders>
            <w:noWrap/>
            <w:vAlign w:val="bottom"/>
            <w:hideMark/>
          </w:tcPr>
          <w:p w14:paraId="7AF76861"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single" w:sz="4" w:space="0" w:color="000000"/>
              <w:left w:val="nil"/>
              <w:bottom w:val="single" w:sz="4" w:space="0" w:color="000000"/>
              <w:right w:val="single" w:sz="4" w:space="0" w:color="000000"/>
            </w:tcBorders>
            <w:noWrap/>
            <w:vAlign w:val="bottom"/>
            <w:hideMark/>
          </w:tcPr>
          <w:p w14:paraId="006C5365"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Jie</w:t>
            </w:r>
          </w:p>
        </w:tc>
        <w:tc>
          <w:tcPr>
            <w:tcW w:w="2009" w:type="dxa"/>
            <w:tcBorders>
              <w:top w:val="single" w:sz="4" w:space="0" w:color="000000"/>
              <w:left w:val="nil"/>
              <w:bottom w:val="single" w:sz="4" w:space="0" w:color="000000"/>
              <w:right w:val="single" w:sz="4" w:space="0" w:color="000000"/>
            </w:tcBorders>
            <w:noWrap/>
            <w:vAlign w:val="bottom"/>
            <w:hideMark/>
          </w:tcPr>
          <w:p w14:paraId="56C7EA6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Cao</w:t>
            </w:r>
          </w:p>
        </w:tc>
        <w:tc>
          <w:tcPr>
            <w:tcW w:w="2619" w:type="dxa"/>
            <w:tcBorders>
              <w:top w:val="single" w:sz="4" w:space="0" w:color="000000"/>
              <w:left w:val="nil"/>
              <w:bottom w:val="single" w:sz="4" w:space="0" w:color="000000"/>
              <w:right w:val="single" w:sz="4" w:space="0" w:color="000000"/>
            </w:tcBorders>
            <w:vAlign w:val="bottom"/>
            <w:hideMark/>
          </w:tcPr>
          <w:p w14:paraId="4E798CA0"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North Carolina State University</w:t>
            </w:r>
          </w:p>
        </w:tc>
        <w:tc>
          <w:tcPr>
            <w:tcW w:w="3449" w:type="dxa"/>
            <w:tcBorders>
              <w:top w:val="single" w:sz="4" w:space="0" w:color="000000"/>
              <w:left w:val="nil"/>
              <w:bottom w:val="single" w:sz="4" w:space="0" w:color="000000"/>
              <w:right w:val="single" w:sz="4" w:space="0" w:color="000000"/>
            </w:tcBorders>
            <w:vAlign w:val="bottom"/>
            <w:hideMark/>
          </w:tcPr>
          <w:p w14:paraId="2814B570"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jcao22@ncsu.edu</w:t>
            </w:r>
          </w:p>
        </w:tc>
      </w:tr>
      <w:tr w:rsidR="00832CA5" w:rsidRPr="00832CA5" w14:paraId="77E8250D" w14:textId="77777777" w:rsidTr="00AE188D">
        <w:trPr>
          <w:trHeight w:val="300"/>
        </w:trPr>
        <w:tc>
          <w:tcPr>
            <w:tcW w:w="612" w:type="dxa"/>
            <w:tcBorders>
              <w:top w:val="nil"/>
              <w:left w:val="single" w:sz="4" w:space="0" w:color="auto"/>
              <w:bottom w:val="single" w:sz="4" w:space="0" w:color="auto"/>
              <w:right w:val="single" w:sz="4" w:space="0" w:color="auto"/>
            </w:tcBorders>
            <w:noWrap/>
            <w:vAlign w:val="bottom"/>
            <w:hideMark/>
          </w:tcPr>
          <w:p w14:paraId="225942D4"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5565823A"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Sylvain</w:t>
            </w:r>
          </w:p>
        </w:tc>
        <w:tc>
          <w:tcPr>
            <w:tcW w:w="2009" w:type="dxa"/>
            <w:tcBorders>
              <w:top w:val="nil"/>
              <w:left w:val="nil"/>
              <w:bottom w:val="single" w:sz="4" w:space="0" w:color="auto"/>
              <w:right w:val="single" w:sz="4" w:space="0" w:color="auto"/>
            </w:tcBorders>
            <w:noWrap/>
            <w:vAlign w:val="bottom"/>
            <w:hideMark/>
          </w:tcPr>
          <w:p w14:paraId="3241C24A"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Bonhommeau</w:t>
            </w:r>
          </w:p>
        </w:tc>
        <w:tc>
          <w:tcPr>
            <w:tcW w:w="2619" w:type="dxa"/>
            <w:tcBorders>
              <w:top w:val="nil"/>
              <w:left w:val="nil"/>
              <w:bottom w:val="single" w:sz="4" w:space="0" w:color="auto"/>
              <w:right w:val="single" w:sz="4" w:space="0" w:color="auto"/>
            </w:tcBorders>
            <w:vAlign w:val="bottom"/>
            <w:hideMark/>
          </w:tcPr>
          <w:p w14:paraId="1FC754D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IFREMER</w:t>
            </w:r>
          </w:p>
        </w:tc>
        <w:tc>
          <w:tcPr>
            <w:tcW w:w="3449" w:type="dxa"/>
            <w:tcBorders>
              <w:top w:val="nil"/>
              <w:left w:val="nil"/>
              <w:bottom w:val="single" w:sz="4" w:space="0" w:color="auto"/>
              <w:right w:val="single" w:sz="4" w:space="0" w:color="auto"/>
            </w:tcBorders>
            <w:vAlign w:val="bottom"/>
            <w:hideMark/>
          </w:tcPr>
          <w:p w14:paraId="3D0EB2A4"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sylvain.bonhommeau@ifremer.fr</w:t>
            </w:r>
          </w:p>
        </w:tc>
      </w:tr>
      <w:tr w:rsidR="00832CA5" w:rsidRPr="00832CA5" w14:paraId="63DBDDCE" w14:textId="77777777" w:rsidTr="00AE188D">
        <w:trPr>
          <w:trHeight w:val="300"/>
        </w:trPr>
        <w:tc>
          <w:tcPr>
            <w:tcW w:w="612" w:type="dxa"/>
            <w:tcBorders>
              <w:top w:val="single" w:sz="8" w:space="0" w:color="auto"/>
              <w:left w:val="single" w:sz="8" w:space="0" w:color="auto"/>
              <w:bottom w:val="single" w:sz="8" w:space="0" w:color="auto"/>
              <w:right w:val="single" w:sz="4" w:space="0" w:color="auto"/>
            </w:tcBorders>
            <w:noWrap/>
            <w:vAlign w:val="bottom"/>
            <w:hideMark/>
          </w:tcPr>
          <w:p w14:paraId="1FE25E02" w14:textId="77777777" w:rsidR="00832CA5" w:rsidRPr="00832CA5" w:rsidRDefault="00832CA5" w:rsidP="00832CA5">
            <w:pPr>
              <w:rPr>
                <w:rFonts w:ascii="Aptos Narrow" w:hAnsi="Aptos Narrow"/>
                <w:b/>
                <w:bCs/>
                <w:color w:val="000000"/>
                <w:lang w:val="en-SC" w:eastAsia="zh-CN"/>
              </w:rPr>
            </w:pPr>
            <w:r w:rsidRPr="00832CA5">
              <w:rPr>
                <w:rFonts w:ascii="Aptos Narrow" w:hAnsi="Aptos Narrow"/>
                <w:b/>
                <w:bCs/>
                <w:color w:val="000000"/>
                <w:lang w:val="en-SC" w:eastAsia="zh-CN"/>
              </w:rPr>
              <w:t>Title</w:t>
            </w:r>
          </w:p>
        </w:tc>
        <w:tc>
          <w:tcPr>
            <w:tcW w:w="2216" w:type="dxa"/>
            <w:tcBorders>
              <w:top w:val="single" w:sz="8" w:space="0" w:color="auto"/>
              <w:left w:val="nil"/>
              <w:bottom w:val="single" w:sz="8" w:space="0" w:color="auto"/>
              <w:right w:val="single" w:sz="4" w:space="0" w:color="auto"/>
            </w:tcBorders>
            <w:noWrap/>
            <w:vAlign w:val="bottom"/>
            <w:hideMark/>
          </w:tcPr>
          <w:p w14:paraId="4A3D36FC" w14:textId="77777777" w:rsidR="00832CA5" w:rsidRPr="00832CA5" w:rsidRDefault="00832CA5" w:rsidP="00832CA5">
            <w:pPr>
              <w:rPr>
                <w:rFonts w:ascii="Aptos Narrow" w:hAnsi="Aptos Narrow"/>
                <w:b/>
                <w:bCs/>
                <w:color w:val="000000"/>
                <w:lang w:val="en-SC" w:eastAsia="zh-CN"/>
              </w:rPr>
            </w:pPr>
            <w:r w:rsidRPr="00832CA5">
              <w:rPr>
                <w:rFonts w:ascii="Aptos Narrow" w:hAnsi="Aptos Narrow"/>
                <w:b/>
                <w:bCs/>
                <w:color w:val="000000"/>
                <w:lang w:val="en-SC" w:eastAsia="zh-CN"/>
              </w:rPr>
              <w:t>First name</w:t>
            </w:r>
          </w:p>
        </w:tc>
        <w:tc>
          <w:tcPr>
            <w:tcW w:w="2009" w:type="dxa"/>
            <w:tcBorders>
              <w:top w:val="single" w:sz="8" w:space="0" w:color="auto"/>
              <w:left w:val="nil"/>
              <w:bottom w:val="single" w:sz="8" w:space="0" w:color="auto"/>
              <w:right w:val="single" w:sz="4" w:space="0" w:color="auto"/>
            </w:tcBorders>
            <w:noWrap/>
            <w:vAlign w:val="bottom"/>
            <w:hideMark/>
          </w:tcPr>
          <w:p w14:paraId="29734D98" w14:textId="77777777" w:rsidR="00832CA5" w:rsidRPr="00832CA5" w:rsidRDefault="00832CA5" w:rsidP="00832CA5">
            <w:pPr>
              <w:rPr>
                <w:rFonts w:ascii="Aptos Narrow" w:hAnsi="Aptos Narrow"/>
                <w:b/>
                <w:bCs/>
                <w:color w:val="000000"/>
                <w:lang w:val="en-SC" w:eastAsia="zh-CN"/>
              </w:rPr>
            </w:pPr>
            <w:r w:rsidRPr="00832CA5">
              <w:rPr>
                <w:rFonts w:ascii="Aptos Narrow" w:hAnsi="Aptos Narrow"/>
                <w:b/>
                <w:bCs/>
                <w:color w:val="000000"/>
                <w:lang w:val="en-SC" w:eastAsia="zh-CN"/>
              </w:rPr>
              <w:t>Last name</w:t>
            </w:r>
          </w:p>
        </w:tc>
        <w:tc>
          <w:tcPr>
            <w:tcW w:w="2619" w:type="dxa"/>
            <w:tcBorders>
              <w:top w:val="single" w:sz="8" w:space="0" w:color="auto"/>
              <w:left w:val="nil"/>
              <w:bottom w:val="single" w:sz="8" w:space="0" w:color="auto"/>
              <w:right w:val="single" w:sz="4" w:space="0" w:color="auto"/>
            </w:tcBorders>
            <w:vAlign w:val="bottom"/>
            <w:hideMark/>
          </w:tcPr>
          <w:p w14:paraId="47749736" w14:textId="77777777" w:rsidR="00832CA5" w:rsidRPr="00832CA5" w:rsidRDefault="00832CA5" w:rsidP="00832CA5">
            <w:pPr>
              <w:rPr>
                <w:rFonts w:ascii="Aptos Narrow" w:hAnsi="Aptos Narrow"/>
                <w:b/>
                <w:bCs/>
                <w:color w:val="000000"/>
                <w:lang w:val="en-SC" w:eastAsia="zh-CN"/>
              </w:rPr>
            </w:pPr>
            <w:r w:rsidRPr="00832CA5">
              <w:rPr>
                <w:rFonts w:ascii="Aptos Narrow" w:hAnsi="Aptos Narrow"/>
                <w:b/>
                <w:bCs/>
                <w:color w:val="000000"/>
                <w:lang w:val="en-SC" w:eastAsia="zh-CN"/>
              </w:rPr>
              <w:t>Organisation</w:t>
            </w:r>
          </w:p>
        </w:tc>
        <w:tc>
          <w:tcPr>
            <w:tcW w:w="3449" w:type="dxa"/>
            <w:tcBorders>
              <w:top w:val="single" w:sz="8" w:space="0" w:color="auto"/>
              <w:left w:val="nil"/>
              <w:bottom w:val="single" w:sz="8" w:space="0" w:color="auto"/>
              <w:right w:val="single" w:sz="8" w:space="0" w:color="auto"/>
            </w:tcBorders>
            <w:vAlign w:val="bottom"/>
            <w:hideMark/>
          </w:tcPr>
          <w:p w14:paraId="5ED9C809" w14:textId="77777777" w:rsidR="00832CA5" w:rsidRPr="00832CA5" w:rsidRDefault="00832CA5" w:rsidP="00832CA5">
            <w:pPr>
              <w:rPr>
                <w:rFonts w:ascii="Aptos Narrow" w:hAnsi="Aptos Narrow"/>
                <w:b/>
                <w:bCs/>
                <w:color w:val="000000"/>
                <w:lang w:val="en-SC" w:eastAsia="zh-CN"/>
              </w:rPr>
            </w:pPr>
            <w:r w:rsidRPr="00832CA5">
              <w:rPr>
                <w:rFonts w:ascii="Aptos Narrow" w:hAnsi="Aptos Narrow"/>
                <w:b/>
                <w:bCs/>
                <w:color w:val="000000"/>
                <w:lang w:val="en-SC" w:eastAsia="zh-CN"/>
              </w:rPr>
              <w:t>E-mail</w:t>
            </w:r>
          </w:p>
        </w:tc>
      </w:tr>
      <w:tr w:rsidR="00832CA5" w:rsidRPr="00C56790" w14:paraId="02CC136A"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04D90E31"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160225ED"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Pia</w:t>
            </w:r>
          </w:p>
        </w:tc>
        <w:tc>
          <w:tcPr>
            <w:tcW w:w="2009" w:type="dxa"/>
            <w:tcBorders>
              <w:top w:val="nil"/>
              <w:left w:val="nil"/>
              <w:bottom w:val="single" w:sz="4" w:space="0" w:color="auto"/>
              <w:right w:val="single" w:sz="4" w:space="0" w:color="auto"/>
            </w:tcBorders>
            <w:noWrap/>
            <w:vAlign w:val="bottom"/>
            <w:hideMark/>
          </w:tcPr>
          <w:p w14:paraId="6B75AA72"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Bessell-Browne</w:t>
            </w:r>
          </w:p>
        </w:tc>
        <w:tc>
          <w:tcPr>
            <w:tcW w:w="2619" w:type="dxa"/>
            <w:tcBorders>
              <w:top w:val="nil"/>
              <w:left w:val="nil"/>
              <w:bottom w:val="single" w:sz="4" w:space="0" w:color="auto"/>
              <w:right w:val="single" w:sz="4" w:space="0" w:color="auto"/>
            </w:tcBorders>
            <w:vAlign w:val="bottom"/>
            <w:hideMark/>
          </w:tcPr>
          <w:p w14:paraId="1C18BDD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CSIRO</w:t>
            </w:r>
          </w:p>
        </w:tc>
        <w:tc>
          <w:tcPr>
            <w:tcW w:w="3449" w:type="dxa"/>
            <w:tcBorders>
              <w:top w:val="nil"/>
              <w:left w:val="nil"/>
              <w:bottom w:val="single" w:sz="4" w:space="0" w:color="auto"/>
              <w:right w:val="single" w:sz="4" w:space="0" w:color="auto"/>
            </w:tcBorders>
            <w:vAlign w:val="bottom"/>
            <w:hideMark/>
          </w:tcPr>
          <w:p w14:paraId="7C37C6A1"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pia.bessell-browne@csiro.au</w:t>
            </w:r>
          </w:p>
        </w:tc>
      </w:tr>
      <w:tr w:rsidR="00832CA5" w:rsidRPr="00C56790" w14:paraId="3B114579"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6A1185F9"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3D4D91B4"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Don</w:t>
            </w:r>
          </w:p>
        </w:tc>
        <w:tc>
          <w:tcPr>
            <w:tcW w:w="2009" w:type="dxa"/>
            <w:tcBorders>
              <w:top w:val="nil"/>
              <w:left w:val="nil"/>
              <w:bottom w:val="single" w:sz="4" w:space="0" w:color="auto"/>
              <w:right w:val="single" w:sz="4" w:space="0" w:color="auto"/>
            </w:tcBorders>
            <w:noWrap/>
            <w:vAlign w:val="bottom"/>
            <w:hideMark/>
          </w:tcPr>
          <w:p w14:paraId="63DB749D"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Bromhead</w:t>
            </w:r>
          </w:p>
        </w:tc>
        <w:tc>
          <w:tcPr>
            <w:tcW w:w="2619" w:type="dxa"/>
            <w:tcBorders>
              <w:top w:val="nil"/>
              <w:left w:val="nil"/>
              <w:bottom w:val="single" w:sz="4" w:space="0" w:color="auto"/>
              <w:right w:val="single" w:sz="4" w:space="0" w:color="auto"/>
            </w:tcBorders>
            <w:vAlign w:val="bottom"/>
            <w:hideMark/>
          </w:tcPr>
          <w:p w14:paraId="75159D26"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ABARES</w:t>
            </w:r>
          </w:p>
        </w:tc>
        <w:tc>
          <w:tcPr>
            <w:tcW w:w="3449" w:type="dxa"/>
            <w:tcBorders>
              <w:top w:val="nil"/>
              <w:left w:val="nil"/>
              <w:bottom w:val="single" w:sz="4" w:space="0" w:color="auto"/>
              <w:right w:val="single" w:sz="4" w:space="0" w:color="auto"/>
            </w:tcBorders>
            <w:vAlign w:val="bottom"/>
            <w:hideMark/>
          </w:tcPr>
          <w:p w14:paraId="593AAD25"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Don.Bromhead@aff.gov.au</w:t>
            </w:r>
          </w:p>
        </w:tc>
      </w:tr>
      <w:tr w:rsidR="00832CA5" w:rsidRPr="00832CA5" w14:paraId="564CAC41"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20A3156A"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2B7950E9"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Emmanuel</w:t>
            </w:r>
          </w:p>
        </w:tc>
        <w:tc>
          <w:tcPr>
            <w:tcW w:w="2009" w:type="dxa"/>
            <w:tcBorders>
              <w:top w:val="nil"/>
              <w:left w:val="nil"/>
              <w:bottom w:val="single" w:sz="4" w:space="0" w:color="auto"/>
              <w:right w:val="single" w:sz="4" w:space="0" w:color="auto"/>
            </w:tcBorders>
            <w:noWrap/>
            <w:vAlign w:val="bottom"/>
            <w:hideMark/>
          </w:tcPr>
          <w:p w14:paraId="6821C67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Chassot</w:t>
            </w:r>
          </w:p>
        </w:tc>
        <w:tc>
          <w:tcPr>
            <w:tcW w:w="2619" w:type="dxa"/>
            <w:tcBorders>
              <w:top w:val="nil"/>
              <w:left w:val="nil"/>
              <w:bottom w:val="single" w:sz="4" w:space="0" w:color="auto"/>
              <w:right w:val="single" w:sz="4" w:space="0" w:color="auto"/>
            </w:tcBorders>
            <w:vAlign w:val="bottom"/>
            <w:hideMark/>
          </w:tcPr>
          <w:p w14:paraId="72C7E2E6"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IOTC Secretariat</w:t>
            </w:r>
          </w:p>
        </w:tc>
        <w:tc>
          <w:tcPr>
            <w:tcW w:w="3449" w:type="dxa"/>
            <w:tcBorders>
              <w:top w:val="nil"/>
              <w:left w:val="nil"/>
              <w:bottom w:val="single" w:sz="4" w:space="0" w:color="auto"/>
              <w:right w:val="single" w:sz="4" w:space="0" w:color="auto"/>
            </w:tcBorders>
            <w:vAlign w:val="bottom"/>
            <w:hideMark/>
          </w:tcPr>
          <w:p w14:paraId="795894AD" w14:textId="77777777" w:rsidR="00832CA5" w:rsidRPr="00832CA5" w:rsidRDefault="00832CA5" w:rsidP="00832CA5">
            <w:pPr>
              <w:rPr>
                <w:rFonts w:ascii="Aptos Narrow" w:hAnsi="Aptos Narrow"/>
                <w:color w:val="467886"/>
                <w:u w:val="single"/>
                <w:lang w:val="en-SC" w:eastAsia="zh-CN"/>
              </w:rPr>
            </w:pPr>
            <w:hyperlink r:id="rId63" w:history="1">
              <w:r w:rsidRPr="00832CA5">
                <w:rPr>
                  <w:rFonts w:ascii="Aptos Narrow" w:hAnsi="Aptos Narrow"/>
                  <w:color w:val="467886"/>
                  <w:u w:val="single"/>
                  <w:lang w:val="en-SC" w:eastAsia="zh-CN"/>
                </w:rPr>
                <w:t>Emmanel.Chassot@fao.org</w:t>
              </w:r>
            </w:hyperlink>
          </w:p>
        </w:tc>
      </w:tr>
      <w:tr w:rsidR="00832CA5" w:rsidRPr="00832CA5" w14:paraId="3268856E" w14:textId="77777777" w:rsidTr="00AE188D">
        <w:trPr>
          <w:trHeight w:val="576"/>
        </w:trPr>
        <w:tc>
          <w:tcPr>
            <w:tcW w:w="612" w:type="dxa"/>
            <w:tcBorders>
              <w:top w:val="nil"/>
              <w:left w:val="single" w:sz="4" w:space="0" w:color="auto"/>
              <w:bottom w:val="single" w:sz="4" w:space="0" w:color="auto"/>
              <w:right w:val="single" w:sz="4" w:space="0" w:color="auto"/>
            </w:tcBorders>
            <w:noWrap/>
            <w:vAlign w:val="bottom"/>
            <w:hideMark/>
          </w:tcPr>
          <w:p w14:paraId="567919B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7EDD8FF2"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Yong</w:t>
            </w:r>
          </w:p>
        </w:tc>
        <w:tc>
          <w:tcPr>
            <w:tcW w:w="2009" w:type="dxa"/>
            <w:tcBorders>
              <w:top w:val="nil"/>
              <w:left w:val="nil"/>
              <w:bottom w:val="single" w:sz="4" w:space="0" w:color="auto"/>
              <w:right w:val="single" w:sz="4" w:space="0" w:color="auto"/>
            </w:tcBorders>
            <w:noWrap/>
            <w:vAlign w:val="bottom"/>
            <w:hideMark/>
          </w:tcPr>
          <w:p w14:paraId="14E835C5"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Chen</w:t>
            </w:r>
          </w:p>
        </w:tc>
        <w:tc>
          <w:tcPr>
            <w:tcW w:w="2619" w:type="dxa"/>
            <w:tcBorders>
              <w:top w:val="nil"/>
              <w:left w:val="nil"/>
              <w:bottom w:val="single" w:sz="4" w:space="0" w:color="auto"/>
              <w:right w:val="single" w:sz="4" w:space="0" w:color="auto"/>
            </w:tcBorders>
            <w:vAlign w:val="bottom"/>
            <w:hideMark/>
          </w:tcPr>
          <w:p w14:paraId="2B638DFA"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Shanghai Ocean University, P. R. China</w:t>
            </w:r>
          </w:p>
        </w:tc>
        <w:tc>
          <w:tcPr>
            <w:tcW w:w="3449" w:type="dxa"/>
            <w:tcBorders>
              <w:top w:val="nil"/>
              <w:left w:val="nil"/>
              <w:bottom w:val="single" w:sz="4" w:space="0" w:color="auto"/>
              <w:right w:val="single" w:sz="4" w:space="0" w:color="auto"/>
            </w:tcBorders>
            <w:vAlign w:val="bottom"/>
            <w:hideMark/>
          </w:tcPr>
          <w:p w14:paraId="254A6745"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ychen@maine.edu</w:t>
            </w:r>
          </w:p>
        </w:tc>
      </w:tr>
      <w:tr w:rsidR="00832CA5" w:rsidRPr="00832CA5" w14:paraId="3D39E3C5"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6ED38BC0"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44A526D5"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Sophia</w:t>
            </w:r>
          </w:p>
        </w:tc>
        <w:tc>
          <w:tcPr>
            <w:tcW w:w="2009" w:type="dxa"/>
            <w:tcBorders>
              <w:top w:val="nil"/>
              <w:left w:val="nil"/>
              <w:bottom w:val="single" w:sz="4" w:space="0" w:color="auto"/>
              <w:right w:val="single" w:sz="4" w:space="0" w:color="auto"/>
            </w:tcBorders>
            <w:noWrap/>
            <w:vAlign w:val="bottom"/>
            <w:hideMark/>
          </w:tcPr>
          <w:p w14:paraId="0ECF8A61"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Chrico</w:t>
            </w:r>
          </w:p>
        </w:tc>
        <w:tc>
          <w:tcPr>
            <w:tcW w:w="2619" w:type="dxa"/>
            <w:tcBorders>
              <w:top w:val="nil"/>
              <w:left w:val="nil"/>
              <w:bottom w:val="single" w:sz="4" w:space="0" w:color="auto"/>
              <w:right w:val="single" w:sz="4" w:space="0" w:color="auto"/>
            </w:tcBorders>
            <w:vAlign w:val="bottom"/>
            <w:hideMark/>
          </w:tcPr>
          <w:p w14:paraId="4AFC6C47"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IOTC Secretariat</w:t>
            </w:r>
          </w:p>
        </w:tc>
        <w:tc>
          <w:tcPr>
            <w:tcW w:w="3449" w:type="dxa"/>
            <w:tcBorders>
              <w:top w:val="nil"/>
              <w:left w:val="nil"/>
              <w:bottom w:val="single" w:sz="4" w:space="0" w:color="auto"/>
              <w:right w:val="single" w:sz="4" w:space="0" w:color="auto"/>
            </w:tcBorders>
            <w:vAlign w:val="bottom"/>
            <w:hideMark/>
          </w:tcPr>
          <w:p w14:paraId="50D2ACBE" w14:textId="77777777" w:rsidR="00832CA5" w:rsidRPr="00832CA5" w:rsidRDefault="00832CA5" w:rsidP="00832CA5">
            <w:pPr>
              <w:rPr>
                <w:rFonts w:ascii="Aptos Narrow" w:hAnsi="Aptos Narrow"/>
                <w:color w:val="467886"/>
                <w:u w:val="single"/>
                <w:lang w:val="en-SC" w:eastAsia="zh-CN"/>
              </w:rPr>
            </w:pPr>
            <w:hyperlink r:id="rId64" w:history="1">
              <w:r w:rsidRPr="00832CA5">
                <w:rPr>
                  <w:rFonts w:ascii="Aptos Narrow" w:hAnsi="Aptos Narrow"/>
                  <w:color w:val="467886"/>
                  <w:u w:val="single"/>
                  <w:lang w:val="en-SC" w:eastAsia="zh-CN"/>
                </w:rPr>
                <w:t>Sphia.Chirico@fao.org</w:t>
              </w:r>
            </w:hyperlink>
          </w:p>
        </w:tc>
      </w:tr>
      <w:tr w:rsidR="00832CA5" w:rsidRPr="00C56790" w14:paraId="4540A0D0"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70E3C1D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6C9188E3"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Conor</w:t>
            </w:r>
          </w:p>
        </w:tc>
        <w:tc>
          <w:tcPr>
            <w:tcW w:w="2009" w:type="dxa"/>
            <w:tcBorders>
              <w:top w:val="nil"/>
              <w:left w:val="nil"/>
              <w:bottom w:val="single" w:sz="4" w:space="0" w:color="auto"/>
              <w:right w:val="single" w:sz="4" w:space="0" w:color="auto"/>
            </w:tcBorders>
            <w:noWrap/>
            <w:vAlign w:val="bottom"/>
            <w:hideMark/>
          </w:tcPr>
          <w:p w14:paraId="263D567E"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Clayton</w:t>
            </w:r>
          </w:p>
        </w:tc>
        <w:tc>
          <w:tcPr>
            <w:tcW w:w="2619" w:type="dxa"/>
            <w:tcBorders>
              <w:top w:val="nil"/>
              <w:left w:val="nil"/>
              <w:bottom w:val="single" w:sz="4" w:space="0" w:color="auto"/>
              <w:right w:val="single" w:sz="4" w:space="0" w:color="auto"/>
            </w:tcBorders>
            <w:vAlign w:val="bottom"/>
            <w:hideMark/>
          </w:tcPr>
          <w:p w14:paraId="1A2BD427"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ABARES</w:t>
            </w:r>
          </w:p>
        </w:tc>
        <w:tc>
          <w:tcPr>
            <w:tcW w:w="3449" w:type="dxa"/>
            <w:tcBorders>
              <w:top w:val="nil"/>
              <w:left w:val="nil"/>
              <w:bottom w:val="single" w:sz="4" w:space="0" w:color="auto"/>
              <w:right w:val="single" w:sz="4" w:space="0" w:color="auto"/>
            </w:tcBorders>
            <w:vAlign w:val="bottom"/>
            <w:hideMark/>
          </w:tcPr>
          <w:p w14:paraId="1E768E5F"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conor.clayton@aff.gov.au</w:t>
            </w:r>
          </w:p>
        </w:tc>
      </w:tr>
      <w:tr w:rsidR="00832CA5" w:rsidRPr="00832CA5" w14:paraId="1000447F"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5B661E4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77A49E5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Charlene</w:t>
            </w:r>
          </w:p>
        </w:tc>
        <w:tc>
          <w:tcPr>
            <w:tcW w:w="2009" w:type="dxa"/>
            <w:tcBorders>
              <w:top w:val="nil"/>
              <w:left w:val="nil"/>
              <w:bottom w:val="single" w:sz="4" w:space="0" w:color="auto"/>
              <w:right w:val="single" w:sz="4" w:space="0" w:color="auto"/>
            </w:tcBorders>
            <w:noWrap/>
            <w:vAlign w:val="bottom"/>
            <w:hideMark/>
          </w:tcPr>
          <w:p w14:paraId="015CAA23"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da Silva</w:t>
            </w:r>
          </w:p>
        </w:tc>
        <w:tc>
          <w:tcPr>
            <w:tcW w:w="2619" w:type="dxa"/>
            <w:tcBorders>
              <w:top w:val="nil"/>
              <w:left w:val="nil"/>
              <w:bottom w:val="single" w:sz="4" w:space="0" w:color="auto"/>
              <w:right w:val="single" w:sz="4" w:space="0" w:color="auto"/>
            </w:tcBorders>
            <w:vAlign w:val="bottom"/>
            <w:hideMark/>
          </w:tcPr>
          <w:p w14:paraId="5AF7AB7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DFFE South Africa</w:t>
            </w:r>
          </w:p>
        </w:tc>
        <w:tc>
          <w:tcPr>
            <w:tcW w:w="3449" w:type="dxa"/>
            <w:tcBorders>
              <w:top w:val="nil"/>
              <w:left w:val="nil"/>
              <w:bottom w:val="single" w:sz="4" w:space="0" w:color="auto"/>
              <w:right w:val="single" w:sz="4" w:space="0" w:color="auto"/>
            </w:tcBorders>
            <w:vAlign w:val="bottom"/>
            <w:hideMark/>
          </w:tcPr>
          <w:p w14:paraId="6A7B1C79"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CDaSilva@dffe.gov.za</w:t>
            </w:r>
          </w:p>
        </w:tc>
      </w:tr>
      <w:tr w:rsidR="00832CA5" w:rsidRPr="00C56790" w14:paraId="3D342653"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75507D3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2BE1D42C"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Jose</w:t>
            </w:r>
          </w:p>
        </w:tc>
        <w:tc>
          <w:tcPr>
            <w:tcW w:w="2009" w:type="dxa"/>
            <w:tcBorders>
              <w:top w:val="nil"/>
              <w:left w:val="nil"/>
              <w:bottom w:val="single" w:sz="4" w:space="0" w:color="auto"/>
              <w:right w:val="single" w:sz="4" w:space="0" w:color="auto"/>
            </w:tcBorders>
            <w:noWrap/>
            <w:vAlign w:val="bottom"/>
            <w:hideMark/>
          </w:tcPr>
          <w:p w14:paraId="1195603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Fernández Costa</w:t>
            </w:r>
          </w:p>
        </w:tc>
        <w:tc>
          <w:tcPr>
            <w:tcW w:w="2619" w:type="dxa"/>
            <w:tcBorders>
              <w:top w:val="nil"/>
              <w:left w:val="nil"/>
              <w:bottom w:val="single" w:sz="4" w:space="0" w:color="auto"/>
              <w:right w:val="single" w:sz="4" w:space="0" w:color="auto"/>
            </w:tcBorders>
            <w:vAlign w:val="bottom"/>
            <w:hideMark/>
          </w:tcPr>
          <w:p w14:paraId="2A9A1692"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IEO-CSIC</w:t>
            </w:r>
          </w:p>
        </w:tc>
        <w:tc>
          <w:tcPr>
            <w:tcW w:w="3449" w:type="dxa"/>
            <w:tcBorders>
              <w:top w:val="nil"/>
              <w:left w:val="nil"/>
              <w:bottom w:val="single" w:sz="4" w:space="0" w:color="auto"/>
              <w:right w:val="single" w:sz="4" w:space="0" w:color="auto"/>
            </w:tcBorders>
            <w:vAlign w:val="bottom"/>
            <w:hideMark/>
          </w:tcPr>
          <w:p w14:paraId="7460B607"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jose.costa@ieo.csic.es</w:t>
            </w:r>
          </w:p>
        </w:tc>
      </w:tr>
      <w:tr w:rsidR="00832CA5" w:rsidRPr="00832CA5" w14:paraId="14191BCA"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14AF1AB1"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1C9FB84B"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Laurent</w:t>
            </w:r>
          </w:p>
        </w:tc>
        <w:tc>
          <w:tcPr>
            <w:tcW w:w="2009" w:type="dxa"/>
            <w:tcBorders>
              <w:top w:val="nil"/>
              <w:left w:val="nil"/>
              <w:bottom w:val="single" w:sz="4" w:space="0" w:color="auto"/>
              <w:right w:val="single" w:sz="4" w:space="0" w:color="auto"/>
            </w:tcBorders>
            <w:noWrap/>
            <w:vAlign w:val="bottom"/>
            <w:hideMark/>
          </w:tcPr>
          <w:p w14:paraId="366DCD5E"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Floch</w:t>
            </w:r>
          </w:p>
        </w:tc>
        <w:tc>
          <w:tcPr>
            <w:tcW w:w="2619" w:type="dxa"/>
            <w:tcBorders>
              <w:top w:val="nil"/>
              <w:left w:val="nil"/>
              <w:bottom w:val="single" w:sz="4" w:space="0" w:color="auto"/>
              <w:right w:val="single" w:sz="4" w:space="0" w:color="auto"/>
            </w:tcBorders>
            <w:vAlign w:val="bottom"/>
            <w:hideMark/>
          </w:tcPr>
          <w:p w14:paraId="2D6C6ADD"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IRD</w:t>
            </w:r>
          </w:p>
        </w:tc>
        <w:tc>
          <w:tcPr>
            <w:tcW w:w="3449" w:type="dxa"/>
            <w:tcBorders>
              <w:top w:val="nil"/>
              <w:left w:val="nil"/>
              <w:bottom w:val="single" w:sz="4" w:space="0" w:color="auto"/>
              <w:right w:val="single" w:sz="4" w:space="0" w:color="auto"/>
            </w:tcBorders>
            <w:vAlign w:val="bottom"/>
            <w:hideMark/>
          </w:tcPr>
          <w:p w14:paraId="334C605A"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laurent.floch@ird.fr</w:t>
            </w:r>
          </w:p>
        </w:tc>
      </w:tr>
      <w:tr w:rsidR="00832CA5" w:rsidRPr="00832CA5" w14:paraId="7BD5B47B"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224BC59D"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4FE8D879"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Dan</w:t>
            </w:r>
          </w:p>
        </w:tc>
        <w:tc>
          <w:tcPr>
            <w:tcW w:w="2009" w:type="dxa"/>
            <w:tcBorders>
              <w:top w:val="nil"/>
              <w:left w:val="nil"/>
              <w:bottom w:val="single" w:sz="4" w:space="0" w:color="auto"/>
              <w:right w:val="single" w:sz="4" w:space="0" w:color="auto"/>
            </w:tcBorders>
            <w:noWrap/>
            <w:vAlign w:val="bottom"/>
            <w:hideMark/>
          </w:tcPr>
          <w:p w14:paraId="32C57BE4"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Fukugama</w:t>
            </w:r>
          </w:p>
        </w:tc>
        <w:tc>
          <w:tcPr>
            <w:tcW w:w="2619" w:type="dxa"/>
            <w:tcBorders>
              <w:top w:val="nil"/>
              <w:left w:val="nil"/>
              <w:bottom w:val="single" w:sz="4" w:space="0" w:color="auto"/>
              <w:right w:val="single" w:sz="4" w:space="0" w:color="auto"/>
            </w:tcBorders>
            <w:vAlign w:val="bottom"/>
            <w:hideMark/>
          </w:tcPr>
          <w:p w14:paraId="5D2E9CD0"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IOTC Secretariat</w:t>
            </w:r>
          </w:p>
        </w:tc>
        <w:tc>
          <w:tcPr>
            <w:tcW w:w="3449" w:type="dxa"/>
            <w:tcBorders>
              <w:top w:val="nil"/>
              <w:left w:val="nil"/>
              <w:bottom w:val="single" w:sz="4" w:space="0" w:color="auto"/>
              <w:right w:val="single" w:sz="4" w:space="0" w:color="auto"/>
            </w:tcBorders>
            <w:vAlign w:val="bottom"/>
            <w:hideMark/>
          </w:tcPr>
          <w:p w14:paraId="6042C03C" w14:textId="77777777" w:rsidR="00832CA5" w:rsidRPr="00832CA5" w:rsidRDefault="00832CA5" w:rsidP="00832CA5">
            <w:pPr>
              <w:rPr>
                <w:rFonts w:ascii="Aptos Narrow" w:hAnsi="Aptos Narrow"/>
                <w:color w:val="467886"/>
                <w:u w:val="single"/>
                <w:lang w:val="en-SC" w:eastAsia="zh-CN"/>
              </w:rPr>
            </w:pPr>
            <w:hyperlink r:id="rId65" w:history="1">
              <w:r w:rsidRPr="00832CA5">
                <w:rPr>
                  <w:rFonts w:ascii="Aptos Narrow" w:hAnsi="Aptos Narrow"/>
                  <w:color w:val="467886"/>
                  <w:u w:val="single"/>
                  <w:lang w:val="en-SC" w:eastAsia="zh-CN"/>
                </w:rPr>
                <w:t>Dan.Fu@fao.org</w:t>
              </w:r>
            </w:hyperlink>
          </w:p>
        </w:tc>
      </w:tr>
      <w:tr w:rsidR="00832CA5" w:rsidRPr="00832CA5" w14:paraId="77F4EDC7"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5079C81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6AFE32D5" w14:textId="0A46B3BA" w:rsidR="00832CA5" w:rsidRPr="00832CA5" w:rsidRDefault="00EF5D81" w:rsidP="00832CA5">
            <w:pPr>
              <w:rPr>
                <w:rFonts w:ascii="Aptos Narrow" w:hAnsi="Aptos Narrow"/>
                <w:color w:val="000000"/>
                <w:lang w:val="en-SC" w:eastAsia="zh-CN"/>
              </w:rPr>
            </w:pPr>
            <w:r>
              <w:rPr>
                <w:rFonts w:ascii="Aptos Narrow" w:hAnsi="Aptos Narrow"/>
                <w:color w:val="000000"/>
                <w:lang w:val="en-SC" w:eastAsia="zh-CN"/>
              </w:rPr>
              <w:t>Pradeep</w:t>
            </w:r>
          </w:p>
        </w:tc>
        <w:tc>
          <w:tcPr>
            <w:tcW w:w="2009" w:type="dxa"/>
            <w:tcBorders>
              <w:top w:val="nil"/>
              <w:left w:val="nil"/>
              <w:bottom w:val="single" w:sz="4" w:space="0" w:color="auto"/>
              <w:right w:val="single" w:sz="4" w:space="0" w:color="auto"/>
            </w:tcBorders>
            <w:noWrap/>
            <w:vAlign w:val="bottom"/>
            <w:hideMark/>
          </w:tcPr>
          <w:p w14:paraId="34F107B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HD</w:t>
            </w:r>
          </w:p>
        </w:tc>
        <w:tc>
          <w:tcPr>
            <w:tcW w:w="2619" w:type="dxa"/>
            <w:tcBorders>
              <w:top w:val="nil"/>
              <w:left w:val="nil"/>
              <w:bottom w:val="single" w:sz="4" w:space="0" w:color="auto"/>
              <w:right w:val="single" w:sz="4" w:space="0" w:color="auto"/>
            </w:tcBorders>
            <w:vAlign w:val="bottom"/>
            <w:hideMark/>
          </w:tcPr>
          <w:p w14:paraId="1DC1FEE1"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FISHERY SURVEY OF INDIA</w:t>
            </w:r>
          </w:p>
        </w:tc>
        <w:tc>
          <w:tcPr>
            <w:tcW w:w="3449" w:type="dxa"/>
            <w:tcBorders>
              <w:top w:val="nil"/>
              <w:left w:val="nil"/>
              <w:bottom w:val="single" w:sz="4" w:space="0" w:color="auto"/>
              <w:right w:val="single" w:sz="4" w:space="0" w:color="auto"/>
            </w:tcBorders>
            <w:vAlign w:val="bottom"/>
            <w:hideMark/>
          </w:tcPr>
          <w:p w14:paraId="365BB9D5"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hdpradeep@gmail.com</w:t>
            </w:r>
          </w:p>
        </w:tc>
      </w:tr>
      <w:tr w:rsidR="00832CA5" w:rsidRPr="00832CA5" w14:paraId="3DB05E13"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0A52DD7D"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2807B0F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 xml:space="preserve">Prabath </w:t>
            </w:r>
          </w:p>
        </w:tc>
        <w:tc>
          <w:tcPr>
            <w:tcW w:w="2009" w:type="dxa"/>
            <w:tcBorders>
              <w:top w:val="nil"/>
              <w:left w:val="nil"/>
              <w:bottom w:val="single" w:sz="4" w:space="0" w:color="auto"/>
              <w:right w:val="single" w:sz="4" w:space="0" w:color="auto"/>
            </w:tcBorders>
            <w:noWrap/>
            <w:vAlign w:val="bottom"/>
            <w:hideMark/>
          </w:tcPr>
          <w:p w14:paraId="4A1DDD09"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Jayasinghe</w:t>
            </w:r>
          </w:p>
        </w:tc>
        <w:tc>
          <w:tcPr>
            <w:tcW w:w="2619" w:type="dxa"/>
            <w:tcBorders>
              <w:top w:val="nil"/>
              <w:left w:val="nil"/>
              <w:bottom w:val="single" w:sz="4" w:space="0" w:color="auto"/>
              <w:right w:val="single" w:sz="4" w:space="0" w:color="auto"/>
            </w:tcBorders>
            <w:vAlign w:val="bottom"/>
            <w:hideMark/>
          </w:tcPr>
          <w:p w14:paraId="76B57729"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NARA, Sri Lanka</w:t>
            </w:r>
          </w:p>
        </w:tc>
        <w:tc>
          <w:tcPr>
            <w:tcW w:w="3449" w:type="dxa"/>
            <w:tcBorders>
              <w:top w:val="nil"/>
              <w:left w:val="nil"/>
              <w:bottom w:val="single" w:sz="4" w:space="0" w:color="auto"/>
              <w:right w:val="single" w:sz="4" w:space="0" w:color="auto"/>
            </w:tcBorders>
            <w:vAlign w:val="bottom"/>
            <w:hideMark/>
          </w:tcPr>
          <w:p w14:paraId="2AA95861"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prabath_jayasinghe@yahoo.com</w:t>
            </w:r>
          </w:p>
        </w:tc>
      </w:tr>
      <w:tr w:rsidR="00832CA5" w:rsidRPr="00C56790" w14:paraId="78AE3360"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3215DAC4"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0B765F35"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Mikihiko</w:t>
            </w:r>
          </w:p>
        </w:tc>
        <w:tc>
          <w:tcPr>
            <w:tcW w:w="2009" w:type="dxa"/>
            <w:tcBorders>
              <w:top w:val="nil"/>
              <w:left w:val="nil"/>
              <w:bottom w:val="single" w:sz="4" w:space="0" w:color="auto"/>
              <w:right w:val="single" w:sz="4" w:space="0" w:color="auto"/>
            </w:tcBorders>
            <w:noWrap/>
            <w:vAlign w:val="bottom"/>
            <w:hideMark/>
          </w:tcPr>
          <w:p w14:paraId="572F2B1A"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Kai</w:t>
            </w:r>
          </w:p>
        </w:tc>
        <w:tc>
          <w:tcPr>
            <w:tcW w:w="2619" w:type="dxa"/>
            <w:tcBorders>
              <w:top w:val="nil"/>
              <w:left w:val="nil"/>
              <w:bottom w:val="single" w:sz="4" w:space="0" w:color="auto"/>
              <w:right w:val="single" w:sz="4" w:space="0" w:color="auto"/>
            </w:tcBorders>
            <w:vAlign w:val="bottom"/>
            <w:hideMark/>
          </w:tcPr>
          <w:p w14:paraId="47955CC9"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Fisheries Resources Institute</w:t>
            </w:r>
          </w:p>
        </w:tc>
        <w:tc>
          <w:tcPr>
            <w:tcW w:w="3449" w:type="dxa"/>
            <w:tcBorders>
              <w:top w:val="nil"/>
              <w:left w:val="nil"/>
              <w:bottom w:val="single" w:sz="4" w:space="0" w:color="auto"/>
              <w:right w:val="single" w:sz="4" w:space="0" w:color="auto"/>
            </w:tcBorders>
            <w:vAlign w:val="bottom"/>
            <w:hideMark/>
          </w:tcPr>
          <w:p w14:paraId="48156AC7"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kai_mikihiko61@fra.go.jp</w:t>
            </w:r>
          </w:p>
        </w:tc>
      </w:tr>
      <w:tr w:rsidR="00832CA5" w:rsidRPr="00832CA5" w14:paraId="0E34882A"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4DF5D6F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6B44D3EA"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Wasantha Sanjeewa</w:t>
            </w:r>
          </w:p>
        </w:tc>
        <w:tc>
          <w:tcPr>
            <w:tcW w:w="2009" w:type="dxa"/>
            <w:tcBorders>
              <w:top w:val="nil"/>
              <w:left w:val="nil"/>
              <w:bottom w:val="single" w:sz="4" w:space="0" w:color="auto"/>
              <w:right w:val="single" w:sz="4" w:space="0" w:color="auto"/>
            </w:tcBorders>
            <w:noWrap/>
            <w:vAlign w:val="bottom"/>
            <w:hideMark/>
          </w:tcPr>
          <w:p w14:paraId="4A82A075"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Kumara</w:t>
            </w:r>
          </w:p>
        </w:tc>
        <w:tc>
          <w:tcPr>
            <w:tcW w:w="2619" w:type="dxa"/>
            <w:tcBorders>
              <w:top w:val="nil"/>
              <w:left w:val="nil"/>
              <w:bottom w:val="single" w:sz="4" w:space="0" w:color="auto"/>
              <w:right w:val="single" w:sz="4" w:space="0" w:color="auto"/>
            </w:tcBorders>
            <w:vAlign w:val="bottom"/>
            <w:hideMark/>
          </w:tcPr>
          <w:p w14:paraId="10528A70"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DFAR Sri lanka</w:t>
            </w:r>
          </w:p>
        </w:tc>
        <w:tc>
          <w:tcPr>
            <w:tcW w:w="3449" w:type="dxa"/>
            <w:tcBorders>
              <w:top w:val="nil"/>
              <w:left w:val="nil"/>
              <w:bottom w:val="single" w:sz="4" w:space="0" w:color="auto"/>
              <w:right w:val="single" w:sz="4" w:space="0" w:color="auto"/>
            </w:tcBorders>
            <w:vAlign w:val="bottom"/>
            <w:hideMark/>
          </w:tcPr>
          <w:p w14:paraId="4995ADAC"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sanjemk@gmail.com</w:t>
            </w:r>
          </w:p>
        </w:tc>
      </w:tr>
      <w:tr w:rsidR="00832CA5" w:rsidRPr="00832CA5" w14:paraId="0FB1EFF0"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10585D39"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28FCFC65"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Yanan</w:t>
            </w:r>
          </w:p>
        </w:tc>
        <w:tc>
          <w:tcPr>
            <w:tcW w:w="2009" w:type="dxa"/>
            <w:tcBorders>
              <w:top w:val="nil"/>
              <w:left w:val="nil"/>
              <w:bottom w:val="single" w:sz="4" w:space="0" w:color="auto"/>
              <w:right w:val="single" w:sz="4" w:space="0" w:color="auto"/>
            </w:tcBorders>
            <w:noWrap/>
            <w:vAlign w:val="bottom"/>
            <w:hideMark/>
          </w:tcPr>
          <w:p w14:paraId="0C6B7A5F" w14:textId="77777777" w:rsidR="00832CA5" w:rsidRPr="00832CA5" w:rsidRDefault="00832CA5" w:rsidP="00832CA5">
            <w:pPr>
              <w:rPr>
                <w:rFonts w:ascii="Arial" w:hAnsi="Arial" w:cs="Arial"/>
                <w:color w:val="000000"/>
                <w:lang w:val="en-SC" w:eastAsia="zh-CN"/>
              </w:rPr>
            </w:pPr>
            <w:r w:rsidRPr="00832CA5">
              <w:rPr>
                <w:rFonts w:ascii="Arial" w:hAnsi="Arial" w:cs="Arial"/>
                <w:color w:val="000000"/>
                <w:lang w:val="en-SC" w:eastAsia="zh-CN"/>
              </w:rPr>
              <w:t>Li</w:t>
            </w:r>
          </w:p>
        </w:tc>
        <w:tc>
          <w:tcPr>
            <w:tcW w:w="2619" w:type="dxa"/>
            <w:tcBorders>
              <w:top w:val="nil"/>
              <w:left w:val="nil"/>
              <w:bottom w:val="single" w:sz="4" w:space="0" w:color="auto"/>
              <w:right w:val="single" w:sz="4" w:space="0" w:color="auto"/>
            </w:tcBorders>
            <w:vAlign w:val="bottom"/>
            <w:hideMark/>
          </w:tcPr>
          <w:p w14:paraId="12425386"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Shanghai Ocean University</w:t>
            </w:r>
          </w:p>
        </w:tc>
        <w:tc>
          <w:tcPr>
            <w:tcW w:w="3449" w:type="dxa"/>
            <w:tcBorders>
              <w:top w:val="nil"/>
              <w:left w:val="nil"/>
              <w:bottom w:val="single" w:sz="4" w:space="0" w:color="auto"/>
              <w:right w:val="single" w:sz="4" w:space="0" w:color="auto"/>
            </w:tcBorders>
            <w:vAlign w:val="bottom"/>
            <w:hideMark/>
          </w:tcPr>
          <w:p w14:paraId="158AFA53"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liyananxiada@yeah.net</w:t>
            </w:r>
          </w:p>
        </w:tc>
      </w:tr>
      <w:tr w:rsidR="00832CA5" w:rsidRPr="00832CA5" w14:paraId="2A42C93B"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384E7CFD"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361DD59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Yujiao</w:t>
            </w:r>
          </w:p>
        </w:tc>
        <w:tc>
          <w:tcPr>
            <w:tcW w:w="2009" w:type="dxa"/>
            <w:tcBorders>
              <w:top w:val="nil"/>
              <w:left w:val="nil"/>
              <w:bottom w:val="single" w:sz="4" w:space="0" w:color="auto"/>
              <w:right w:val="single" w:sz="4" w:space="0" w:color="auto"/>
            </w:tcBorders>
            <w:noWrap/>
            <w:vAlign w:val="bottom"/>
            <w:hideMark/>
          </w:tcPr>
          <w:p w14:paraId="31980056"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Liu</w:t>
            </w:r>
          </w:p>
        </w:tc>
        <w:tc>
          <w:tcPr>
            <w:tcW w:w="2619" w:type="dxa"/>
            <w:tcBorders>
              <w:top w:val="nil"/>
              <w:left w:val="nil"/>
              <w:bottom w:val="single" w:sz="4" w:space="0" w:color="auto"/>
              <w:right w:val="single" w:sz="4" w:space="0" w:color="auto"/>
            </w:tcBorders>
            <w:vAlign w:val="bottom"/>
            <w:hideMark/>
          </w:tcPr>
          <w:p w14:paraId="2F51AE19"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Shanghai Ocean University</w:t>
            </w:r>
          </w:p>
        </w:tc>
        <w:tc>
          <w:tcPr>
            <w:tcW w:w="3449" w:type="dxa"/>
            <w:tcBorders>
              <w:top w:val="nil"/>
              <w:left w:val="nil"/>
              <w:bottom w:val="single" w:sz="4" w:space="0" w:color="auto"/>
              <w:right w:val="single" w:sz="4" w:space="0" w:color="auto"/>
            </w:tcBorders>
            <w:vAlign w:val="bottom"/>
            <w:hideMark/>
          </w:tcPr>
          <w:p w14:paraId="6B90BA2A"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3309243742@qq.com</w:t>
            </w:r>
          </w:p>
        </w:tc>
      </w:tr>
      <w:tr w:rsidR="00832CA5" w:rsidRPr="00832CA5" w14:paraId="2F1C21F9"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5F2EAC8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1C9DBDEB"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Paul</w:t>
            </w:r>
          </w:p>
        </w:tc>
        <w:tc>
          <w:tcPr>
            <w:tcW w:w="2009" w:type="dxa"/>
            <w:tcBorders>
              <w:top w:val="nil"/>
              <w:left w:val="nil"/>
              <w:bottom w:val="single" w:sz="4" w:space="0" w:color="auto"/>
              <w:right w:val="single" w:sz="4" w:space="0" w:color="auto"/>
            </w:tcBorders>
            <w:noWrap/>
            <w:vAlign w:val="bottom"/>
            <w:hideMark/>
          </w:tcPr>
          <w:p w14:paraId="6A8B920C"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Lukhwenda</w:t>
            </w:r>
          </w:p>
        </w:tc>
        <w:tc>
          <w:tcPr>
            <w:tcW w:w="2619" w:type="dxa"/>
            <w:tcBorders>
              <w:top w:val="nil"/>
              <w:left w:val="nil"/>
              <w:bottom w:val="single" w:sz="4" w:space="0" w:color="auto"/>
              <w:right w:val="single" w:sz="4" w:space="0" w:color="auto"/>
            </w:tcBorders>
            <w:vAlign w:val="bottom"/>
            <w:hideMark/>
          </w:tcPr>
          <w:p w14:paraId="076EC09D"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Kenya Fisheries Service</w:t>
            </w:r>
          </w:p>
        </w:tc>
        <w:tc>
          <w:tcPr>
            <w:tcW w:w="3449" w:type="dxa"/>
            <w:tcBorders>
              <w:top w:val="nil"/>
              <w:left w:val="nil"/>
              <w:bottom w:val="single" w:sz="4" w:space="0" w:color="auto"/>
              <w:right w:val="single" w:sz="4" w:space="0" w:color="auto"/>
            </w:tcBorders>
            <w:vAlign w:val="bottom"/>
            <w:hideMark/>
          </w:tcPr>
          <w:p w14:paraId="3EDFE9E1"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alexasdsp@gmail.com</w:t>
            </w:r>
          </w:p>
        </w:tc>
      </w:tr>
      <w:tr w:rsidR="00832CA5" w:rsidRPr="00832CA5" w14:paraId="45863239"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65502100"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4E0EEB25"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Lauren</w:t>
            </w:r>
          </w:p>
        </w:tc>
        <w:tc>
          <w:tcPr>
            <w:tcW w:w="2009" w:type="dxa"/>
            <w:tcBorders>
              <w:top w:val="nil"/>
              <w:left w:val="nil"/>
              <w:bottom w:val="single" w:sz="4" w:space="0" w:color="auto"/>
              <w:right w:val="single" w:sz="4" w:space="0" w:color="auto"/>
            </w:tcBorders>
            <w:noWrap/>
            <w:vAlign w:val="bottom"/>
            <w:hideMark/>
          </w:tcPr>
          <w:p w14:paraId="2D5FC4BB"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Nelson</w:t>
            </w:r>
          </w:p>
        </w:tc>
        <w:tc>
          <w:tcPr>
            <w:tcW w:w="2619" w:type="dxa"/>
            <w:tcBorders>
              <w:top w:val="nil"/>
              <w:left w:val="nil"/>
              <w:bottom w:val="single" w:sz="4" w:space="0" w:color="auto"/>
              <w:right w:val="single" w:sz="4" w:space="0" w:color="auto"/>
            </w:tcBorders>
            <w:vAlign w:val="bottom"/>
            <w:hideMark/>
          </w:tcPr>
          <w:p w14:paraId="4E0B0F0D"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IOTC Secretariat</w:t>
            </w:r>
          </w:p>
        </w:tc>
        <w:tc>
          <w:tcPr>
            <w:tcW w:w="3449" w:type="dxa"/>
            <w:tcBorders>
              <w:top w:val="nil"/>
              <w:left w:val="nil"/>
              <w:bottom w:val="single" w:sz="4" w:space="0" w:color="auto"/>
              <w:right w:val="single" w:sz="4" w:space="0" w:color="auto"/>
            </w:tcBorders>
            <w:vAlign w:val="bottom"/>
            <w:hideMark/>
          </w:tcPr>
          <w:p w14:paraId="194D4CC0" w14:textId="77777777" w:rsidR="00832CA5" w:rsidRPr="00832CA5" w:rsidRDefault="00832CA5" w:rsidP="00832CA5">
            <w:pPr>
              <w:rPr>
                <w:rFonts w:ascii="Aptos Narrow" w:hAnsi="Aptos Narrow"/>
                <w:color w:val="467886"/>
                <w:u w:val="single"/>
                <w:lang w:val="en-SC" w:eastAsia="zh-CN"/>
              </w:rPr>
            </w:pPr>
            <w:hyperlink r:id="rId66" w:history="1">
              <w:r w:rsidRPr="00832CA5">
                <w:rPr>
                  <w:rFonts w:ascii="Aptos Narrow" w:hAnsi="Aptos Narrow"/>
                  <w:color w:val="467886"/>
                  <w:u w:val="single"/>
                  <w:lang w:val="en-SC" w:eastAsia="zh-CN"/>
                </w:rPr>
                <w:t>Lauren.Nelson@fao.org</w:t>
              </w:r>
            </w:hyperlink>
          </w:p>
        </w:tc>
      </w:tr>
      <w:tr w:rsidR="00832CA5" w:rsidRPr="00832CA5" w14:paraId="36AAB6AF"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484191B1"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167F1D1A" w14:textId="77777777" w:rsidR="00832CA5" w:rsidRPr="00832CA5" w:rsidRDefault="00832CA5" w:rsidP="00832CA5">
            <w:pPr>
              <w:rPr>
                <w:rFonts w:ascii="Calibri" w:hAnsi="Calibri" w:cs="Calibri"/>
                <w:color w:val="000000"/>
                <w:lang w:val="en-SC" w:eastAsia="zh-CN"/>
              </w:rPr>
            </w:pPr>
            <w:r w:rsidRPr="00832CA5">
              <w:rPr>
                <w:rFonts w:ascii="Calibri" w:hAnsi="Calibri" w:cs="Calibri"/>
                <w:color w:val="000000"/>
                <w:lang w:val="en-SC" w:eastAsia="zh-CN"/>
              </w:rPr>
              <w:t>David</w:t>
            </w:r>
          </w:p>
        </w:tc>
        <w:tc>
          <w:tcPr>
            <w:tcW w:w="2009" w:type="dxa"/>
            <w:tcBorders>
              <w:top w:val="nil"/>
              <w:left w:val="nil"/>
              <w:bottom w:val="single" w:sz="4" w:space="0" w:color="auto"/>
              <w:right w:val="single" w:sz="4" w:space="0" w:color="auto"/>
            </w:tcBorders>
            <w:noWrap/>
            <w:vAlign w:val="bottom"/>
            <w:hideMark/>
          </w:tcPr>
          <w:p w14:paraId="258C3435" w14:textId="77777777" w:rsidR="00832CA5" w:rsidRPr="00832CA5" w:rsidRDefault="00832CA5" w:rsidP="00832CA5">
            <w:pPr>
              <w:rPr>
                <w:rFonts w:ascii="Calibri" w:hAnsi="Calibri" w:cs="Calibri"/>
                <w:color w:val="000000"/>
                <w:lang w:val="en-SC" w:eastAsia="zh-CN"/>
              </w:rPr>
            </w:pPr>
            <w:r w:rsidRPr="00832CA5">
              <w:rPr>
                <w:rFonts w:ascii="Calibri" w:hAnsi="Calibri" w:cs="Calibri"/>
                <w:color w:val="000000"/>
                <w:lang w:val="en-SC" w:eastAsia="zh-CN"/>
              </w:rPr>
              <w:t>Nordlund</w:t>
            </w:r>
          </w:p>
        </w:tc>
        <w:tc>
          <w:tcPr>
            <w:tcW w:w="2619" w:type="dxa"/>
            <w:tcBorders>
              <w:top w:val="nil"/>
              <w:left w:val="nil"/>
              <w:bottom w:val="single" w:sz="4" w:space="0" w:color="auto"/>
              <w:right w:val="single" w:sz="4" w:space="0" w:color="auto"/>
            </w:tcBorders>
            <w:vAlign w:val="bottom"/>
            <w:hideMark/>
          </w:tcPr>
          <w:p w14:paraId="0EBB8CDB" w14:textId="77777777" w:rsidR="00832CA5" w:rsidRPr="00832CA5" w:rsidRDefault="00832CA5" w:rsidP="00832CA5">
            <w:pPr>
              <w:rPr>
                <w:rFonts w:ascii="Calibri" w:hAnsi="Calibri" w:cs="Calibri"/>
                <w:color w:val="000000"/>
                <w:lang w:val="en-SC" w:eastAsia="zh-CN"/>
              </w:rPr>
            </w:pPr>
            <w:r w:rsidRPr="00832CA5">
              <w:rPr>
                <w:rFonts w:ascii="Calibri" w:hAnsi="Calibri" w:cs="Calibri"/>
                <w:color w:val="000000"/>
                <w:lang w:val="en-SC" w:eastAsia="zh-CN"/>
              </w:rPr>
              <w:t>MAPA</w:t>
            </w:r>
          </w:p>
        </w:tc>
        <w:tc>
          <w:tcPr>
            <w:tcW w:w="3449" w:type="dxa"/>
            <w:tcBorders>
              <w:top w:val="nil"/>
              <w:left w:val="nil"/>
              <w:bottom w:val="single" w:sz="4" w:space="0" w:color="auto"/>
              <w:right w:val="single" w:sz="4" w:space="0" w:color="auto"/>
            </w:tcBorders>
            <w:vAlign w:val="bottom"/>
            <w:hideMark/>
          </w:tcPr>
          <w:p w14:paraId="4C17587E" w14:textId="77777777" w:rsidR="00832CA5" w:rsidRPr="00832CA5" w:rsidRDefault="00832CA5" w:rsidP="00832CA5">
            <w:pPr>
              <w:rPr>
                <w:rFonts w:ascii="Calibri" w:hAnsi="Calibri" w:cs="Calibri"/>
                <w:color w:val="467886"/>
                <w:u w:val="single"/>
                <w:lang w:val="en-SC" w:eastAsia="zh-CN"/>
              </w:rPr>
            </w:pPr>
            <w:r w:rsidRPr="00832CA5">
              <w:rPr>
                <w:rFonts w:ascii="Calibri" w:hAnsi="Calibri" w:cs="Calibri"/>
                <w:color w:val="467886"/>
                <w:u w:val="single"/>
                <w:lang w:val="en-SC" w:eastAsia="zh-CN"/>
              </w:rPr>
              <w:t>dpnordlund@mapa.es</w:t>
            </w:r>
          </w:p>
        </w:tc>
      </w:tr>
      <w:tr w:rsidR="00832CA5" w:rsidRPr="00832CA5" w14:paraId="5751E8FC"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4E2F3A67"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04E071AA"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Reza</w:t>
            </w:r>
          </w:p>
        </w:tc>
        <w:tc>
          <w:tcPr>
            <w:tcW w:w="2009" w:type="dxa"/>
            <w:tcBorders>
              <w:top w:val="nil"/>
              <w:left w:val="nil"/>
              <w:bottom w:val="single" w:sz="4" w:space="0" w:color="auto"/>
              <w:right w:val="single" w:sz="4" w:space="0" w:color="auto"/>
            </w:tcBorders>
            <w:noWrap/>
            <w:vAlign w:val="bottom"/>
            <w:hideMark/>
          </w:tcPr>
          <w:p w14:paraId="31753DFB"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Nouri</w:t>
            </w:r>
          </w:p>
        </w:tc>
        <w:tc>
          <w:tcPr>
            <w:tcW w:w="2619" w:type="dxa"/>
            <w:tcBorders>
              <w:top w:val="nil"/>
              <w:left w:val="nil"/>
              <w:bottom w:val="single" w:sz="4" w:space="0" w:color="auto"/>
              <w:right w:val="single" w:sz="4" w:space="0" w:color="auto"/>
            </w:tcBorders>
            <w:vAlign w:val="bottom"/>
            <w:hideMark/>
          </w:tcPr>
          <w:p w14:paraId="79D79B00"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Iran Fisheries Organization</w:t>
            </w:r>
          </w:p>
        </w:tc>
        <w:tc>
          <w:tcPr>
            <w:tcW w:w="3449" w:type="dxa"/>
            <w:tcBorders>
              <w:top w:val="nil"/>
              <w:left w:val="nil"/>
              <w:bottom w:val="single" w:sz="4" w:space="0" w:color="auto"/>
              <w:right w:val="single" w:sz="4" w:space="0" w:color="auto"/>
            </w:tcBorders>
            <w:vAlign w:val="bottom"/>
            <w:hideMark/>
          </w:tcPr>
          <w:p w14:paraId="5F624084"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nouri.ifo@gmail.com</w:t>
            </w:r>
          </w:p>
        </w:tc>
      </w:tr>
      <w:tr w:rsidR="00832CA5" w:rsidRPr="00832CA5" w14:paraId="77D2642C" w14:textId="77777777" w:rsidTr="00AE188D">
        <w:trPr>
          <w:trHeight w:val="576"/>
        </w:trPr>
        <w:tc>
          <w:tcPr>
            <w:tcW w:w="612" w:type="dxa"/>
            <w:tcBorders>
              <w:top w:val="nil"/>
              <w:left w:val="single" w:sz="4" w:space="0" w:color="auto"/>
              <w:bottom w:val="single" w:sz="4" w:space="0" w:color="auto"/>
              <w:right w:val="single" w:sz="4" w:space="0" w:color="auto"/>
            </w:tcBorders>
            <w:noWrap/>
            <w:vAlign w:val="bottom"/>
            <w:hideMark/>
          </w:tcPr>
          <w:p w14:paraId="7C63EE00"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20AE69C4"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Aintzina</w:t>
            </w:r>
          </w:p>
        </w:tc>
        <w:tc>
          <w:tcPr>
            <w:tcW w:w="2009" w:type="dxa"/>
            <w:tcBorders>
              <w:top w:val="nil"/>
              <w:left w:val="nil"/>
              <w:bottom w:val="single" w:sz="4" w:space="0" w:color="auto"/>
              <w:right w:val="single" w:sz="4" w:space="0" w:color="auto"/>
            </w:tcBorders>
            <w:noWrap/>
            <w:vAlign w:val="bottom"/>
            <w:hideMark/>
          </w:tcPr>
          <w:p w14:paraId="5E1C501B"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Oihenarte Zubiaga</w:t>
            </w:r>
          </w:p>
        </w:tc>
        <w:tc>
          <w:tcPr>
            <w:tcW w:w="2619" w:type="dxa"/>
            <w:tcBorders>
              <w:top w:val="nil"/>
              <w:left w:val="nil"/>
              <w:bottom w:val="single" w:sz="4" w:space="0" w:color="auto"/>
              <w:right w:val="single" w:sz="4" w:space="0" w:color="auto"/>
            </w:tcBorders>
            <w:vAlign w:val="bottom"/>
            <w:hideMark/>
          </w:tcPr>
          <w:p w14:paraId="7F39F5B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FIP BLues Spanish longline surface</w:t>
            </w:r>
          </w:p>
        </w:tc>
        <w:tc>
          <w:tcPr>
            <w:tcW w:w="3449" w:type="dxa"/>
            <w:tcBorders>
              <w:top w:val="nil"/>
              <w:left w:val="nil"/>
              <w:bottom w:val="single" w:sz="4" w:space="0" w:color="auto"/>
              <w:right w:val="single" w:sz="4" w:space="0" w:color="auto"/>
            </w:tcBorders>
            <w:vAlign w:val="bottom"/>
            <w:hideMark/>
          </w:tcPr>
          <w:p w14:paraId="6D9492D8"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departamentotecnico@fipblues.com</w:t>
            </w:r>
          </w:p>
        </w:tc>
      </w:tr>
      <w:tr w:rsidR="00E32F55" w:rsidRPr="00C56790" w14:paraId="159E3990" w14:textId="77777777" w:rsidTr="00AE188D">
        <w:trPr>
          <w:trHeight w:val="576"/>
        </w:trPr>
        <w:tc>
          <w:tcPr>
            <w:tcW w:w="612" w:type="dxa"/>
            <w:tcBorders>
              <w:top w:val="nil"/>
              <w:left w:val="single" w:sz="4" w:space="0" w:color="auto"/>
              <w:bottom w:val="single" w:sz="4" w:space="0" w:color="auto"/>
              <w:right w:val="single" w:sz="4" w:space="0" w:color="auto"/>
            </w:tcBorders>
            <w:noWrap/>
            <w:vAlign w:val="bottom"/>
          </w:tcPr>
          <w:p w14:paraId="35B93696" w14:textId="3833A079" w:rsidR="00E32F55" w:rsidRPr="00832CA5" w:rsidRDefault="00E32F55" w:rsidP="00E32F55">
            <w:pPr>
              <w:rPr>
                <w:rFonts w:ascii="Aptos Narrow" w:hAnsi="Aptos Narrow"/>
                <w:color w:val="000000"/>
                <w:lang w:val="en-SC" w:eastAsia="zh-CN"/>
              </w:rPr>
            </w:pPr>
            <w:r>
              <w:rPr>
                <w:rFonts w:ascii="Aptos Narrow" w:hAnsi="Aptos Narrow"/>
                <w:color w:val="000000"/>
                <w:lang w:eastAsia="zh-CN"/>
              </w:rPr>
              <w:t>Mr.</w:t>
            </w:r>
          </w:p>
        </w:tc>
        <w:tc>
          <w:tcPr>
            <w:tcW w:w="2216" w:type="dxa"/>
            <w:tcBorders>
              <w:top w:val="nil"/>
              <w:left w:val="nil"/>
              <w:bottom w:val="single" w:sz="4" w:space="0" w:color="auto"/>
              <w:right w:val="single" w:sz="4" w:space="0" w:color="auto"/>
            </w:tcBorders>
            <w:noWrap/>
            <w:vAlign w:val="bottom"/>
          </w:tcPr>
          <w:p w14:paraId="1D6FF51B" w14:textId="2FA009AA" w:rsidR="00E32F55" w:rsidRPr="00832CA5" w:rsidRDefault="00E32F55" w:rsidP="00E32F55">
            <w:pPr>
              <w:rPr>
                <w:rFonts w:ascii="Aptos Narrow" w:hAnsi="Aptos Narrow"/>
                <w:color w:val="000000"/>
                <w:lang w:val="en-SC" w:eastAsia="zh-CN"/>
              </w:rPr>
            </w:pPr>
            <w:r>
              <w:rPr>
                <w:rFonts w:ascii="Aptos Narrow" w:hAnsi="Aptos Narrow"/>
                <w:color w:val="000000"/>
                <w:lang w:eastAsia="zh-CN"/>
              </w:rPr>
              <w:t>Teodoro</w:t>
            </w:r>
          </w:p>
        </w:tc>
        <w:tc>
          <w:tcPr>
            <w:tcW w:w="2009" w:type="dxa"/>
            <w:tcBorders>
              <w:top w:val="nil"/>
              <w:left w:val="nil"/>
              <w:bottom w:val="single" w:sz="4" w:space="0" w:color="auto"/>
              <w:right w:val="single" w:sz="4" w:space="0" w:color="auto"/>
            </w:tcBorders>
            <w:noWrap/>
            <w:vAlign w:val="bottom"/>
          </w:tcPr>
          <w:p w14:paraId="6B1AD3C3" w14:textId="299F9214" w:rsidR="00E32F55" w:rsidRPr="00832CA5" w:rsidRDefault="00E32F55" w:rsidP="00E32F55">
            <w:pPr>
              <w:rPr>
                <w:rFonts w:ascii="Aptos Narrow" w:hAnsi="Aptos Narrow"/>
                <w:color w:val="000000"/>
                <w:lang w:val="en-SC" w:eastAsia="zh-CN"/>
              </w:rPr>
            </w:pPr>
            <w:r>
              <w:rPr>
                <w:rFonts w:ascii="Aptos Narrow" w:hAnsi="Aptos Narrow"/>
                <w:color w:val="000000"/>
                <w:lang w:eastAsia="zh-CN"/>
              </w:rPr>
              <w:t>Patrocinio Ibarrola</w:t>
            </w:r>
          </w:p>
        </w:tc>
        <w:tc>
          <w:tcPr>
            <w:tcW w:w="2619" w:type="dxa"/>
            <w:tcBorders>
              <w:top w:val="nil"/>
              <w:left w:val="nil"/>
              <w:bottom w:val="single" w:sz="4" w:space="0" w:color="auto"/>
              <w:right w:val="single" w:sz="4" w:space="0" w:color="auto"/>
            </w:tcBorders>
            <w:vAlign w:val="bottom"/>
          </w:tcPr>
          <w:p w14:paraId="7F3AE090" w14:textId="69B3E281" w:rsidR="00E32F55" w:rsidRPr="00832CA5" w:rsidRDefault="00E32F55" w:rsidP="00E32F55">
            <w:pPr>
              <w:rPr>
                <w:rFonts w:ascii="Aptos Narrow" w:hAnsi="Aptos Narrow"/>
                <w:color w:val="000000"/>
                <w:lang w:val="en-SC" w:eastAsia="zh-CN"/>
              </w:rPr>
            </w:pPr>
            <w:r w:rsidRPr="00832CA5">
              <w:rPr>
                <w:rFonts w:ascii="Aptos Narrow" w:hAnsi="Aptos Narrow"/>
                <w:color w:val="000000"/>
                <w:lang w:eastAsia="zh-CN"/>
              </w:rPr>
              <w:t>IEO-CSIC</w:t>
            </w:r>
          </w:p>
        </w:tc>
        <w:tc>
          <w:tcPr>
            <w:tcW w:w="3449" w:type="dxa"/>
            <w:tcBorders>
              <w:top w:val="nil"/>
              <w:left w:val="nil"/>
              <w:bottom w:val="single" w:sz="4" w:space="0" w:color="auto"/>
              <w:right w:val="single" w:sz="4" w:space="0" w:color="auto"/>
            </w:tcBorders>
            <w:vAlign w:val="bottom"/>
          </w:tcPr>
          <w:p w14:paraId="10C5F6EA" w14:textId="35055584" w:rsidR="00E32F55" w:rsidRPr="00832CA5" w:rsidRDefault="00E32F55" w:rsidP="00E32F55">
            <w:pPr>
              <w:rPr>
                <w:rFonts w:ascii="Aptos Narrow" w:hAnsi="Aptos Narrow"/>
                <w:color w:val="467886"/>
                <w:u w:val="single"/>
                <w:lang w:val="en-SC" w:eastAsia="zh-CN"/>
              </w:rPr>
            </w:pPr>
            <w:r>
              <w:rPr>
                <w:rFonts w:ascii="Aptos Narrow" w:hAnsi="Aptos Narrow"/>
                <w:color w:val="467886"/>
                <w:u w:val="single"/>
                <w:lang w:val="es-ES" w:eastAsia="zh-CN"/>
              </w:rPr>
              <w:t>teo.ibarrola@ieo.csic.es</w:t>
            </w:r>
          </w:p>
        </w:tc>
      </w:tr>
      <w:tr w:rsidR="00832CA5" w:rsidRPr="00832CA5" w14:paraId="3BF1120D"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5D59E7FD"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5D25C66D"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Toby</w:t>
            </w:r>
          </w:p>
        </w:tc>
        <w:tc>
          <w:tcPr>
            <w:tcW w:w="2009" w:type="dxa"/>
            <w:tcBorders>
              <w:top w:val="nil"/>
              <w:left w:val="nil"/>
              <w:bottom w:val="single" w:sz="4" w:space="0" w:color="auto"/>
              <w:right w:val="single" w:sz="4" w:space="0" w:color="auto"/>
            </w:tcBorders>
            <w:noWrap/>
            <w:vAlign w:val="bottom"/>
            <w:hideMark/>
          </w:tcPr>
          <w:p w14:paraId="0D3A248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Patterson</w:t>
            </w:r>
          </w:p>
        </w:tc>
        <w:tc>
          <w:tcPr>
            <w:tcW w:w="2619" w:type="dxa"/>
            <w:tcBorders>
              <w:top w:val="nil"/>
              <w:left w:val="nil"/>
              <w:bottom w:val="single" w:sz="4" w:space="0" w:color="auto"/>
              <w:right w:val="single" w:sz="4" w:space="0" w:color="auto"/>
            </w:tcBorders>
            <w:vAlign w:val="bottom"/>
            <w:hideMark/>
          </w:tcPr>
          <w:p w14:paraId="0A993714"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CSIRO</w:t>
            </w:r>
          </w:p>
        </w:tc>
        <w:tc>
          <w:tcPr>
            <w:tcW w:w="3449" w:type="dxa"/>
            <w:tcBorders>
              <w:top w:val="nil"/>
              <w:left w:val="nil"/>
              <w:bottom w:val="single" w:sz="4" w:space="0" w:color="auto"/>
              <w:right w:val="single" w:sz="4" w:space="0" w:color="auto"/>
            </w:tcBorders>
            <w:vAlign w:val="bottom"/>
            <w:hideMark/>
          </w:tcPr>
          <w:p w14:paraId="32E2A56D"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toby.patterson@csiro.au</w:t>
            </w:r>
          </w:p>
        </w:tc>
      </w:tr>
      <w:tr w:rsidR="00832CA5" w:rsidRPr="00832CA5" w14:paraId="3B5A1587"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2A4E5331"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19DA49C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Genevieve</w:t>
            </w:r>
          </w:p>
        </w:tc>
        <w:tc>
          <w:tcPr>
            <w:tcW w:w="2009" w:type="dxa"/>
            <w:tcBorders>
              <w:top w:val="nil"/>
              <w:left w:val="nil"/>
              <w:bottom w:val="single" w:sz="4" w:space="0" w:color="auto"/>
              <w:right w:val="single" w:sz="4" w:space="0" w:color="auto"/>
            </w:tcBorders>
            <w:noWrap/>
            <w:vAlign w:val="bottom"/>
            <w:hideMark/>
          </w:tcPr>
          <w:p w14:paraId="664E36DB"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Philipps</w:t>
            </w:r>
          </w:p>
        </w:tc>
        <w:tc>
          <w:tcPr>
            <w:tcW w:w="2619" w:type="dxa"/>
            <w:tcBorders>
              <w:top w:val="nil"/>
              <w:left w:val="nil"/>
              <w:bottom w:val="single" w:sz="4" w:space="0" w:color="auto"/>
              <w:right w:val="single" w:sz="4" w:space="0" w:color="auto"/>
            </w:tcBorders>
            <w:vAlign w:val="bottom"/>
            <w:hideMark/>
          </w:tcPr>
          <w:p w14:paraId="619B5349"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IOTC Secretariat</w:t>
            </w:r>
          </w:p>
        </w:tc>
        <w:tc>
          <w:tcPr>
            <w:tcW w:w="3449" w:type="dxa"/>
            <w:tcBorders>
              <w:top w:val="nil"/>
              <w:left w:val="nil"/>
              <w:bottom w:val="single" w:sz="4" w:space="0" w:color="auto"/>
              <w:right w:val="single" w:sz="4" w:space="0" w:color="auto"/>
            </w:tcBorders>
            <w:vAlign w:val="bottom"/>
            <w:hideMark/>
          </w:tcPr>
          <w:p w14:paraId="1ED70EA8" w14:textId="77777777" w:rsidR="00832CA5" w:rsidRPr="00832CA5" w:rsidRDefault="00832CA5" w:rsidP="00832CA5">
            <w:pPr>
              <w:rPr>
                <w:rFonts w:ascii="Aptos Narrow" w:hAnsi="Aptos Narrow"/>
                <w:color w:val="467886"/>
                <w:u w:val="single"/>
                <w:lang w:val="en-SC" w:eastAsia="zh-CN"/>
              </w:rPr>
            </w:pPr>
            <w:hyperlink r:id="rId67" w:history="1">
              <w:r w:rsidRPr="00832CA5">
                <w:rPr>
                  <w:rFonts w:ascii="Aptos Narrow" w:hAnsi="Aptos Narrow"/>
                  <w:color w:val="467886"/>
                  <w:u w:val="single"/>
                  <w:lang w:val="en-SC" w:eastAsia="zh-CN"/>
                </w:rPr>
                <w:t>Genevieve.Philipps@fao.org</w:t>
              </w:r>
            </w:hyperlink>
          </w:p>
        </w:tc>
      </w:tr>
      <w:tr w:rsidR="00832CA5" w:rsidRPr="00832CA5" w14:paraId="44FE7AE3"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09F8B55C"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255251AE"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Lucia</w:t>
            </w:r>
          </w:p>
        </w:tc>
        <w:tc>
          <w:tcPr>
            <w:tcW w:w="2009" w:type="dxa"/>
            <w:tcBorders>
              <w:top w:val="nil"/>
              <w:left w:val="nil"/>
              <w:bottom w:val="single" w:sz="4" w:space="0" w:color="auto"/>
              <w:right w:val="single" w:sz="4" w:space="0" w:color="auto"/>
            </w:tcBorders>
            <w:noWrap/>
            <w:vAlign w:val="bottom"/>
            <w:hideMark/>
          </w:tcPr>
          <w:p w14:paraId="62145015"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Pierre</w:t>
            </w:r>
          </w:p>
        </w:tc>
        <w:tc>
          <w:tcPr>
            <w:tcW w:w="2619" w:type="dxa"/>
            <w:tcBorders>
              <w:top w:val="nil"/>
              <w:left w:val="nil"/>
              <w:bottom w:val="single" w:sz="4" w:space="0" w:color="auto"/>
              <w:right w:val="single" w:sz="4" w:space="0" w:color="auto"/>
            </w:tcBorders>
            <w:vAlign w:val="bottom"/>
            <w:hideMark/>
          </w:tcPr>
          <w:p w14:paraId="4051279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IOTC Secretariat</w:t>
            </w:r>
          </w:p>
        </w:tc>
        <w:tc>
          <w:tcPr>
            <w:tcW w:w="3449" w:type="dxa"/>
            <w:tcBorders>
              <w:top w:val="nil"/>
              <w:left w:val="nil"/>
              <w:bottom w:val="single" w:sz="4" w:space="0" w:color="auto"/>
              <w:right w:val="single" w:sz="4" w:space="0" w:color="auto"/>
            </w:tcBorders>
            <w:vAlign w:val="bottom"/>
            <w:hideMark/>
          </w:tcPr>
          <w:p w14:paraId="0468D6A0" w14:textId="77777777" w:rsidR="00832CA5" w:rsidRPr="00832CA5" w:rsidRDefault="00832CA5" w:rsidP="00832CA5">
            <w:pPr>
              <w:rPr>
                <w:rFonts w:ascii="Aptos Narrow" w:hAnsi="Aptos Narrow"/>
                <w:color w:val="467886"/>
                <w:u w:val="single"/>
                <w:lang w:val="en-SC" w:eastAsia="zh-CN"/>
              </w:rPr>
            </w:pPr>
            <w:hyperlink r:id="rId68" w:history="1">
              <w:r w:rsidRPr="00832CA5">
                <w:rPr>
                  <w:rFonts w:ascii="Aptos Narrow" w:hAnsi="Aptos Narrow"/>
                  <w:color w:val="467886"/>
                  <w:u w:val="single"/>
                  <w:lang w:val="en-SC" w:eastAsia="zh-CN"/>
                </w:rPr>
                <w:t>Lucia.Pierre@fao.org</w:t>
              </w:r>
            </w:hyperlink>
          </w:p>
        </w:tc>
      </w:tr>
      <w:tr w:rsidR="00832CA5" w:rsidRPr="00C56790" w14:paraId="58AAC614" w14:textId="77777777" w:rsidTr="00AE188D">
        <w:trPr>
          <w:trHeight w:val="576"/>
        </w:trPr>
        <w:tc>
          <w:tcPr>
            <w:tcW w:w="612" w:type="dxa"/>
            <w:tcBorders>
              <w:top w:val="nil"/>
              <w:left w:val="single" w:sz="4" w:space="0" w:color="auto"/>
              <w:bottom w:val="single" w:sz="4" w:space="0" w:color="auto"/>
              <w:right w:val="single" w:sz="4" w:space="0" w:color="auto"/>
            </w:tcBorders>
            <w:noWrap/>
            <w:vAlign w:val="bottom"/>
            <w:hideMark/>
          </w:tcPr>
          <w:p w14:paraId="71BD2A3B"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010A1C7D"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María Lourdes</w:t>
            </w:r>
          </w:p>
        </w:tc>
        <w:tc>
          <w:tcPr>
            <w:tcW w:w="2009" w:type="dxa"/>
            <w:tcBorders>
              <w:top w:val="nil"/>
              <w:left w:val="nil"/>
              <w:bottom w:val="single" w:sz="4" w:space="0" w:color="auto"/>
              <w:right w:val="single" w:sz="4" w:space="0" w:color="auto"/>
            </w:tcBorders>
            <w:noWrap/>
            <w:vAlign w:val="bottom"/>
            <w:hideMark/>
          </w:tcPr>
          <w:p w14:paraId="7BF38F0B"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Ramos Alonso</w:t>
            </w:r>
          </w:p>
        </w:tc>
        <w:tc>
          <w:tcPr>
            <w:tcW w:w="2619" w:type="dxa"/>
            <w:tcBorders>
              <w:top w:val="nil"/>
              <w:left w:val="nil"/>
              <w:bottom w:val="single" w:sz="4" w:space="0" w:color="auto"/>
              <w:right w:val="single" w:sz="4" w:space="0" w:color="auto"/>
            </w:tcBorders>
            <w:vAlign w:val="bottom"/>
            <w:hideMark/>
          </w:tcPr>
          <w:p w14:paraId="49C39C92"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Instituto Español de Oceanografía (IEO-CSIC)</w:t>
            </w:r>
          </w:p>
        </w:tc>
        <w:tc>
          <w:tcPr>
            <w:tcW w:w="3449" w:type="dxa"/>
            <w:tcBorders>
              <w:top w:val="nil"/>
              <w:left w:val="nil"/>
              <w:bottom w:val="single" w:sz="4" w:space="0" w:color="auto"/>
              <w:right w:val="single" w:sz="4" w:space="0" w:color="auto"/>
            </w:tcBorders>
            <w:vAlign w:val="bottom"/>
            <w:hideMark/>
          </w:tcPr>
          <w:p w14:paraId="705A70EA"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mlourdes.ramos@ieo.csic.es</w:t>
            </w:r>
          </w:p>
        </w:tc>
      </w:tr>
      <w:tr w:rsidR="00832CA5" w:rsidRPr="00832CA5" w14:paraId="3ACE908F"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2A7DDDE2"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39B6012B"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SURYA</w:t>
            </w:r>
          </w:p>
        </w:tc>
        <w:tc>
          <w:tcPr>
            <w:tcW w:w="2009" w:type="dxa"/>
            <w:tcBorders>
              <w:top w:val="nil"/>
              <w:left w:val="nil"/>
              <w:bottom w:val="single" w:sz="4" w:space="0" w:color="auto"/>
              <w:right w:val="single" w:sz="4" w:space="0" w:color="auto"/>
            </w:tcBorders>
            <w:noWrap/>
            <w:vAlign w:val="bottom"/>
            <w:hideMark/>
          </w:tcPr>
          <w:p w14:paraId="16578ED6"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w:t>
            </w:r>
          </w:p>
        </w:tc>
        <w:tc>
          <w:tcPr>
            <w:tcW w:w="2619" w:type="dxa"/>
            <w:tcBorders>
              <w:top w:val="nil"/>
              <w:left w:val="nil"/>
              <w:bottom w:val="single" w:sz="4" w:space="0" w:color="auto"/>
              <w:right w:val="single" w:sz="4" w:space="0" w:color="auto"/>
            </w:tcBorders>
            <w:vAlign w:val="bottom"/>
            <w:hideMark/>
          </w:tcPr>
          <w:p w14:paraId="380F74C5"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CMFRI</w:t>
            </w:r>
          </w:p>
        </w:tc>
        <w:tc>
          <w:tcPr>
            <w:tcW w:w="3449" w:type="dxa"/>
            <w:tcBorders>
              <w:top w:val="nil"/>
              <w:left w:val="nil"/>
              <w:bottom w:val="single" w:sz="4" w:space="0" w:color="auto"/>
              <w:right w:val="single" w:sz="4" w:space="0" w:color="auto"/>
            </w:tcBorders>
            <w:vAlign w:val="bottom"/>
            <w:hideMark/>
          </w:tcPr>
          <w:p w14:paraId="43FF78EA"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revandasurya@gmail.com</w:t>
            </w:r>
          </w:p>
        </w:tc>
      </w:tr>
      <w:tr w:rsidR="00832CA5" w:rsidRPr="00832CA5" w14:paraId="16E07BB5"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218C98D7"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29D0303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Philippe</w:t>
            </w:r>
          </w:p>
        </w:tc>
        <w:tc>
          <w:tcPr>
            <w:tcW w:w="2009" w:type="dxa"/>
            <w:tcBorders>
              <w:top w:val="nil"/>
              <w:left w:val="nil"/>
              <w:bottom w:val="single" w:sz="4" w:space="0" w:color="auto"/>
              <w:right w:val="single" w:sz="4" w:space="0" w:color="auto"/>
            </w:tcBorders>
            <w:noWrap/>
            <w:vAlign w:val="bottom"/>
            <w:hideMark/>
          </w:tcPr>
          <w:p w14:paraId="32D7A6F2"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Sabarros</w:t>
            </w:r>
          </w:p>
        </w:tc>
        <w:tc>
          <w:tcPr>
            <w:tcW w:w="2619" w:type="dxa"/>
            <w:tcBorders>
              <w:top w:val="nil"/>
              <w:left w:val="nil"/>
              <w:bottom w:val="single" w:sz="4" w:space="0" w:color="auto"/>
              <w:right w:val="single" w:sz="4" w:space="0" w:color="auto"/>
            </w:tcBorders>
            <w:vAlign w:val="bottom"/>
            <w:hideMark/>
          </w:tcPr>
          <w:p w14:paraId="162C6563"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IRD</w:t>
            </w:r>
          </w:p>
        </w:tc>
        <w:tc>
          <w:tcPr>
            <w:tcW w:w="3449" w:type="dxa"/>
            <w:tcBorders>
              <w:top w:val="nil"/>
              <w:left w:val="nil"/>
              <w:bottom w:val="single" w:sz="4" w:space="0" w:color="auto"/>
              <w:right w:val="single" w:sz="4" w:space="0" w:color="auto"/>
            </w:tcBorders>
            <w:vAlign w:val="bottom"/>
            <w:hideMark/>
          </w:tcPr>
          <w:p w14:paraId="403A47C7"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philippe.sabarros@ird.fr</w:t>
            </w:r>
          </w:p>
        </w:tc>
      </w:tr>
      <w:tr w:rsidR="00832CA5" w:rsidRPr="00832CA5" w14:paraId="192613FE" w14:textId="77777777" w:rsidTr="00AE188D">
        <w:trPr>
          <w:trHeight w:val="576"/>
        </w:trPr>
        <w:tc>
          <w:tcPr>
            <w:tcW w:w="612" w:type="dxa"/>
            <w:tcBorders>
              <w:top w:val="nil"/>
              <w:left w:val="single" w:sz="4" w:space="0" w:color="auto"/>
              <w:bottom w:val="single" w:sz="4" w:space="0" w:color="auto"/>
              <w:right w:val="single" w:sz="4" w:space="0" w:color="auto"/>
            </w:tcBorders>
            <w:noWrap/>
            <w:vAlign w:val="bottom"/>
            <w:hideMark/>
          </w:tcPr>
          <w:p w14:paraId="3CF67D23"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572B6BE6"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Bram</w:t>
            </w:r>
          </w:p>
        </w:tc>
        <w:tc>
          <w:tcPr>
            <w:tcW w:w="2009" w:type="dxa"/>
            <w:tcBorders>
              <w:top w:val="nil"/>
              <w:left w:val="nil"/>
              <w:bottom w:val="single" w:sz="4" w:space="0" w:color="auto"/>
              <w:right w:val="single" w:sz="4" w:space="0" w:color="auto"/>
            </w:tcBorders>
            <w:noWrap/>
            <w:vAlign w:val="bottom"/>
            <w:hideMark/>
          </w:tcPr>
          <w:p w14:paraId="37D73BA2"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Setyadji</w:t>
            </w:r>
          </w:p>
        </w:tc>
        <w:tc>
          <w:tcPr>
            <w:tcW w:w="2619" w:type="dxa"/>
            <w:tcBorders>
              <w:top w:val="nil"/>
              <w:left w:val="nil"/>
              <w:bottom w:val="single" w:sz="4" w:space="0" w:color="auto"/>
              <w:right w:val="single" w:sz="4" w:space="0" w:color="auto"/>
            </w:tcBorders>
            <w:vAlign w:val="bottom"/>
            <w:hideMark/>
          </w:tcPr>
          <w:p w14:paraId="571790F7"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National Research and Innovation Agency (BRIN)</w:t>
            </w:r>
          </w:p>
        </w:tc>
        <w:tc>
          <w:tcPr>
            <w:tcW w:w="3449" w:type="dxa"/>
            <w:tcBorders>
              <w:top w:val="nil"/>
              <w:left w:val="nil"/>
              <w:bottom w:val="single" w:sz="4" w:space="0" w:color="auto"/>
              <w:right w:val="single" w:sz="4" w:space="0" w:color="auto"/>
            </w:tcBorders>
            <w:vAlign w:val="bottom"/>
            <w:hideMark/>
          </w:tcPr>
          <w:p w14:paraId="3E2128C6"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bram.setyadji@gmail.com</w:t>
            </w:r>
          </w:p>
        </w:tc>
      </w:tr>
      <w:tr w:rsidR="00832CA5" w:rsidRPr="00832CA5" w14:paraId="16CDBD4E"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64D9A581"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0CAF227A"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Chloé</w:t>
            </w:r>
          </w:p>
        </w:tc>
        <w:tc>
          <w:tcPr>
            <w:tcW w:w="2009" w:type="dxa"/>
            <w:tcBorders>
              <w:top w:val="nil"/>
              <w:left w:val="nil"/>
              <w:bottom w:val="single" w:sz="4" w:space="0" w:color="auto"/>
              <w:right w:val="single" w:sz="4" w:space="0" w:color="auto"/>
            </w:tcBorders>
            <w:noWrap/>
            <w:vAlign w:val="bottom"/>
            <w:hideMark/>
          </w:tcPr>
          <w:p w14:paraId="35CA6947"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TELLIER</w:t>
            </w:r>
          </w:p>
        </w:tc>
        <w:tc>
          <w:tcPr>
            <w:tcW w:w="2619" w:type="dxa"/>
            <w:tcBorders>
              <w:top w:val="nil"/>
              <w:left w:val="nil"/>
              <w:bottom w:val="single" w:sz="4" w:space="0" w:color="auto"/>
              <w:right w:val="single" w:sz="4" w:space="0" w:color="auto"/>
            </w:tcBorders>
            <w:vAlign w:val="bottom"/>
            <w:hideMark/>
          </w:tcPr>
          <w:p w14:paraId="3135A32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IRD</w:t>
            </w:r>
          </w:p>
        </w:tc>
        <w:tc>
          <w:tcPr>
            <w:tcW w:w="3449" w:type="dxa"/>
            <w:tcBorders>
              <w:top w:val="nil"/>
              <w:left w:val="nil"/>
              <w:bottom w:val="single" w:sz="4" w:space="0" w:color="auto"/>
              <w:right w:val="single" w:sz="4" w:space="0" w:color="auto"/>
            </w:tcBorders>
            <w:vAlign w:val="bottom"/>
            <w:hideMark/>
          </w:tcPr>
          <w:p w14:paraId="71C1119E"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chloe.tellier@ird.fr</w:t>
            </w:r>
          </w:p>
        </w:tc>
      </w:tr>
      <w:tr w:rsidR="00832CA5" w:rsidRPr="00832CA5" w14:paraId="7B79650A"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6DE42A2E"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65332689"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 xml:space="preserve">Weerapol </w:t>
            </w:r>
          </w:p>
        </w:tc>
        <w:tc>
          <w:tcPr>
            <w:tcW w:w="2009" w:type="dxa"/>
            <w:tcBorders>
              <w:top w:val="nil"/>
              <w:left w:val="nil"/>
              <w:bottom w:val="single" w:sz="4" w:space="0" w:color="auto"/>
              <w:right w:val="single" w:sz="4" w:space="0" w:color="auto"/>
            </w:tcBorders>
            <w:noWrap/>
            <w:vAlign w:val="bottom"/>
            <w:hideMark/>
          </w:tcPr>
          <w:p w14:paraId="765A5179" w14:textId="77777777" w:rsidR="00832CA5" w:rsidRPr="00832CA5" w:rsidRDefault="00832CA5" w:rsidP="00832CA5">
            <w:pPr>
              <w:rPr>
                <w:rFonts w:ascii="Calibri" w:hAnsi="Calibri" w:cs="Calibri"/>
                <w:color w:val="000000"/>
                <w:lang w:val="en-SC" w:eastAsia="zh-CN"/>
              </w:rPr>
            </w:pPr>
            <w:r w:rsidRPr="00832CA5">
              <w:rPr>
                <w:rFonts w:ascii="Calibri" w:hAnsi="Calibri" w:cs="Calibri"/>
                <w:color w:val="000000"/>
                <w:lang w:val="en-SC" w:eastAsia="zh-CN"/>
              </w:rPr>
              <w:t>Thitipongtrakul</w:t>
            </w:r>
          </w:p>
        </w:tc>
        <w:tc>
          <w:tcPr>
            <w:tcW w:w="2619" w:type="dxa"/>
            <w:tcBorders>
              <w:top w:val="nil"/>
              <w:left w:val="nil"/>
              <w:bottom w:val="single" w:sz="4" w:space="0" w:color="auto"/>
              <w:right w:val="single" w:sz="4" w:space="0" w:color="auto"/>
            </w:tcBorders>
            <w:vAlign w:val="bottom"/>
            <w:hideMark/>
          </w:tcPr>
          <w:p w14:paraId="01F48AE4" w14:textId="77777777" w:rsidR="00832CA5" w:rsidRPr="00832CA5" w:rsidRDefault="00832CA5" w:rsidP="00832CA5">
            <w:pPr>
              <w:rPr>
                <w:rFonts w:ascii="Calibri" w:hAnsi="Calibri" w:cs="Calibri"/>
                <w:color w:val="000000"/>
                <w:lang w:val="en-SC" w:eastAsia="zh-CN"/>
              </w:rPr>
            </w:pPr>
            <w:r w:rsidRPr="00832CA5">
              <w:rPr>
                <w:rFonts w:ascii="Calibri" w:hAnsi="Calibri" w:cs="Calibri"/>
                <w:color w:val="000000"/>
                <w:lang w:val="en-SC" w:eastAsia="zh-CN"/>
              </w:rPr>
              <w:t>DOF Thailand</w:t>
            </w:r>
          </w:p>
        </w:tc>
        <w:tc>
          <w:tcPr>
            <w:tcW w:w="3449" w:type="dxa"/>
            <w:tcBorders>
              <w:top w:val="nil"/>
              <w:left w:val="nil"/>
              <w:bottom w:val="single" w:sz="4" w:space="0" w:color="auto"/>
              <w:right w:val="single" w:sz="4" w:space="0" w:color="auto"/>
            </w:tcBorders>
            <w:vAlign w:val="bottom"/>
            <w:hideMark/>
          </w:tcPr>
          <w:p w14:paraId="1D811117"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weerapol.t@gmail.com</w:t>
            </w:r>
          </w:p>
        </w:tc>
      </w:tr>
      <w:tr w:rsidR="00832CA5" w:rsidRPr="00C56790" w14:paraId="3EFC5D3F"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7B261EA0"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0071D2D8"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Sheng-Ping</w:t>
            </w:r>
          </w:p>
        </w:tc>
        <w:tc>
          <w:tcPr>
            <w:tcW w:w="2009" w:type="dxa"/>
            <w:tcBorders>
              <w:top w:val="nil"/>
              <w:left w:val="nil"/>
              <w:bottom w:val="single" w:sz="4" w:space="0" w:color="auto"/>
              <w:right w:val="single" w:sz="4" w:space="0" w:color="auto"/>
            </w:tcBorders>
            <w:noWrap/>
            <w:vAlign w:val="bottom"/>
            <w:hideMark/>
          </w:tcPr>
          <w:p w14:paraId="29B25F8B"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Wang</w:t>
            </w:r>
          </w:p>
        </w:tc>
        <w:tc>
          <w:tcPr>
            <w:tcW w:w="2619" w:type="dxa"/>
            <w:tcBorders>
              <w:top w:val="nil"/>
              <w:left w:val="nil"/>
              <w:bottom w:val="single" w:sz="4" w:space="0" w:color="auto"/>
              <w:right w:val="single" w:sz="4" w:space="0" w:color="auto"/>
            </w:tcBorders>
            <w:vAlign w:val="bottom"/>
            <w:hideMark/>
          </w:tcPr>
          <w:p w14:paraId="3B081E61"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National Taiwan Ocean University</w:t>
            </w:r>
          </w:p>
        </w:tc>
        <w:tc>
          <w:tcPr>
            <w:tcW w:w="3449" w:type="dxa"/>
            <w:tcBorders>
              <w:top w:val="nil"/>
              <w:left w:val="nil"/>
              <w:bottom w:val="single" w:sz="4" w:space="0" w:color="auto"/>
              <w:right w:val="single" w:sz="4" w:space="0" w:color="auto"/>
            </w:tcBorders>
            <w:vAlign w:val="bottom"/>
            <w:hideMark/>
          </w:tcPr>
          <w:p w14:paraId="41824E23" w14:textId="77777777" w:rsidR="00832CA5" w:rsidRPr="00832CA5" w:rsidRDefault="00832CA5" w:rsidP="00832CA5">
            <w:pPr>
              <w:rPr>
                <w:rFonts w:ascii="Aptos Narrow" w:hAnsi="Aptos Narrow"/>
                <w:color w:val="467886"/>
                <w:u w:val="single"/>
                <w:lang w:val="en-SC" w:eastAsia="zh-CN"/>
              </w:rPr>
            </w:pPr>
            <w:hyperlink r:id="rId69" w:history="1">
              <w:r w:rsidRPr="00832CA5">
                <w:rPr>
                  <w:rFonts w:ascii="Aptos Narrow" w:hAnsi="Aptos Narrow"/>
                  <w:color w:val="467886"/>
                  <w:u w:val="single"/>
                  <w:lang w:val="en-SC" w:eastAsia="zh-CN"/>
                </w:rPr>
                <w:t>wsp@mail.ntou.edu.tw</w:t>
              </w:r>
            </w:hyperlink>
          </w:p>
        </w:tc>
      </w:tr>
      <w:tr w:rsidR="00832CA5" w:rsidRPr="00C56790" w14:paraId="7AF270D6"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72920D21"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680EA39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Catarina</w:t>
            </w:r>
          </w:p>
        </w:tc>
        <w:tc>
          <w:tcPr>
            <w:tcW w:w="2009" w:type="dxa"/>
            <w:tcBorders>
              <w:top w:val="nil"/>
              <w:left w:val="nil"/>
              <w:bottom w:val="single" w:sz="4" w:space="0" w:color="auto"/>
              <w:right w:val="single" w:sz="4" w:space="0" w:color="auto"/>
            </w:tcBorders>
            <w:noWrap/>
            <w:vAlign w:val="bottom"/>
            <w:hideMark/>
          </w:tcPr>
          <w:p w14:paraId="14A7F5B0"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Wor</w:t>
            </w:r>
          </w:p>
        </w:tc>
        <w:tc>
          <w:tcPr>
            <w:tcW w:w="2619" w:type="dxa"/>
            <w:tcBorders>
              <w:top w:val="nil"/>
              <w:left w:val="nil"/>
              <w:bottom w:val="single" w:sz="4" w:space="0" w:color="auto"/>
              <w:right w:val="single" w:sz="4" w:space="0" w:color="auto"/>
            </w:tcBorders>
            <w:vAlign w:val="bottom"/>
            <w:hideMark/>
          </w:tcPr>
          <w:p w14:paraId="0A891C22"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Fisheries and oceans Canada</w:t>
            </w:r>
          </w:p>
        </w:tc>
        <w:tc>
          <w:tcPr>
            <w:tcW w:w="3449" w:type="dxa"/>
            <w:tcBorders>
              <w:top w:val="nil"/>
              <w:left w:val="nil"/>
              <w:bottom w:val="single" w:sz="4" w:space="0" w:color="auto"/>
              <w:right w:val="single" w:sz="4" w:space="0" w:color="auto"/>
            </w:tcBorders>
            <w:vAlign w:val="bottom"/>
            <w:hideMark/>
          </w:tcPr>
          <w:p w14:paraId="49090ADC" w14:textId="77777777" w:rsidR="00832CA5" w:rsidRPr="00832CA5" w:rsidRDefault="00832CA5" w:rsidP="00832CA5">
            <w:pPr>
              <w:rPr>
                <w:rFonts w:ascii="Aptos Narrow" w:hAnsi="Aptos Narrow"/>
                <w:color w:val="467886"/>
                <w:u w:val="single"/>
                <w:lang w:val="en-SC" w:eastAsia="zh-CN"/>
              </w:rPr>
            </w:pPr>
            <w:hyperlink r:id="rId70" w:history="1">
              <w:r w:rsidRPr="00832CA5">
                <w:rPr>
                  <w:rFonts w:ascii="Aptos Narrow" w:hAnsi="Aptos Narrow"/>
                  <w:color w:val="467886"/>
                  <w:u w:val="single"/>
                  <w:lang w:val="en-SC" w:eastAsia="zh-CN"/>
                </w:rPr>
                <w:t>Catarina.Wor@dfo-mpo.gc.ca</w:t>
              </w:r>
            </w:hyperlink>
          </w:p>
        </w:tc>
      </w:tr>
      <w:tr w:rsidR="00832CA5" w:rsidRPr="00832CA5" w14:paraId="7A5557A1"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41DFB68E"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Ms.</w:t>
            </w:r>
          </w:p>
        </w:tc>
        <w:tc>
          <w:tcPr>
            <w:tcW w:w="2216" w:type="dxa"/>
            <w:tcBorders>
              <w:top w:val="nil"/>
              <w:left w:val="nil"/>
              <w:bottom w:val="single" w:sz="4" w:space="0" w:color="auto"/>
              <w:right w:val="single" w:sz="4" w:space="0" w:color="auto"/>
            </w:tcBorders>
            <w:noWrap/>
            <w:vAlign w:val="bottom"/>
            <w:hideMark/>
          </w:tcPr>
          <w:p w14:paraId="3E6B4652"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Na</w:t>
            </w:r>
          </w:p>
        </w:tc>
        <w:tc>
          <w:tcPr>
            <w:tcW w:w="2009" w:type="dxa"/>
            <w:tcBorders>
              <w:top w:val="nil"/>
              <w:left w:val="nil"/>
              <w:bottom w:val="single" w:sz="4" w:space="0" w:color="auto"/>
              <w:right w:val="single" w:sz="4" w:space="0" w:color="auto"/>
            </w:tcBorders>
            <w:noWrap/>
            <w:vAlign w:val="bottom"/>
            <w:hideMark/>
          </w:tcPr>
          <w:p w14:paraId="34757E5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Zhang</w:t>
            </w:r>
          </w:p>
        </w:tc>
        <w:tc>
          <w:tcPr>
            <w:tcW w:w="2619" w:type="dxa"/>
            <w:tcBorders>
              <w:top w:val="nil"/>
              <w:left w:val="nil"/>
              <w:bottom w:val="single" w:sz="4" w:space="0" w:color="auto"/>
              <w:right w:val="single" w:sz="4" w:space="0" w:color="auto"/>
            </w:tcBorders>
            <w:vAlign w:val="bottom"/>
            <w:hideMark/>
          </w:tcPr>
          <w:p w14:paraId="1A7DE066"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Shanghai Ocean University</w:t>
            </w:r>
          </w:p>
        </w:tc>
        <w:tc>
          <w:tcPr>
            <w:tcW w:w="3449" w:type="dxa"/>
            <w:tcBorders>
              <w:top w:val="nil"/>
              <w:left w:val="nil"/>
              <w:bottom w:val="single" w:sz="4" w:space="0" w:color="auto"/>
              <w:right w:val="single" w:sz="4" w:space="0" w:color="auto"/>
            </w:tcBorders>
            <w:vAlign w:val="bottom"/>
            <w:hideMark/>
          </w:tcPr>
          <w:p w14:paraId="6A167362"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18473271095@163.com</w:t>
            </w:r>
          </w:p>
        </w:tc>
      </w:tr>
      <w:tr w:rsidR="00832CA5" w:rsidRPr="00832CA5" w14:paraId="57CF44A0" w14:textId="77777777" w:rsidTr="00AE188D">
        <w:trPr>
          <w:trHeight w:val="288"/>
        </w:trPr>
        <w:tc>
          <w:tcPr>
            <w:tcW w:w="612" w:type="dxa"/>
            <w:tcBorders>
              <w:top w:val="nil"/>
              <w:left w:val="single" w:sz="4" w:space="0" w:color="auto"/>
              <w:bottom w:val="single" w:sz="4" w:space="0" w:color="auto"/>
              <w:right w:val="single" w:sz="4" w:space="0" w:color="auto"/>
            </w:tcBorders>
            <w:noWrap/>
            <w:vAlign w:val="bottom"/>
            <w:hideMark/>
          </w:tcPr>
          <w:p w14:paraId="370FC44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Mr.</w:t>
            </w:r>
          </w:p>
        </w:tc>
        <w:tc>
          <w:tcPr>
            <w:tcW w:w="2216" w:type="dxa"/>
            <w:tcBorders>
              <w:top w:val="nil"/>
              <w:left w:val="nil"/>
              <w:bottom w:val="single" w:sz="4" w:space="0" w:color="auto"/>
              <w:right w:val="single" w:sz="4" w:space="0" w:color="auto"/>
            </w:tcBorders>
            <w:noWrap/>
            <w:vAlign w:val="bottom"/>
            <w:hideMark/>
          </w:tcPr>
          <w:p w14:paraId="72EAD83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Jizhang</w:t>
            </w:r>
          </w:p>
        </w:tc>
        <w:tc>
          <w:tcPr>
            <w:tcW w:w="2009" w:type="dxa"/>
            <w:tcBorders>
              <w:top w:val="nil"/>
              <w:left w:val="nil"/>
              <w:bottom w:val="single" w:sz="4" w:space="0" w:color="auto"/>
              <w:right w:val="single" w:sz="4" w:space="0" w:color="auto"/>
            </w:tcBorders>
            <w:noWrap/>
            <w:vAlign w:val="bottom"/>
            <w:hideMark/>
          </w:tcPr>
          <w:p w14:paraId="3676E904"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Zhu</w:t>
            </w:r>
          </w:p>
        </w:tc>
        <w:tc>
          <w:tcPr>
            <w:tcW w:w="2619" w:type="dxa"/>
            <w:tcBorders>
              <w:top w:val="nil"/>
              <w:left w:val="nil"/>
              <w:bottom w:val="single" w:sz="4" w:space="0" w:color="auto"/>
              <w:right w:val="single" w:sz="4" w:space="0" w:color="auto"/>
            </w:tcBorders>
            <w:vAlign w:val="bottom"/>
            <w:hideMark/>
          </w:tcPr>
          <w:p w14:paraId="0AD6094F" w14:textId="77777777" w:rsidR="00832CA5" w:rsidRPr="00832CA5" w:rsidRDefault="00832CA5" w:rsidP="00832CA5">
            <w:pPr>
              <w:rPr>
                <w:rFonts w:ascii="Aptos Narrow" w:hAnsi="Aptos Narrow"/>
                <w:color w:val="000000"/>
                <w:lang w:val="en-SC" w:eastAsia="zh-CN"/>
              </w:rPr>
            </w:pPr>
            <w:r w:rsidRPr="00832CA5">
              <w:rPr>
                <w:rFonts w:ascii="Aptos Narrow" w:hAnsi="Aptos Narrow"/>
                <w:color w:val="000000"/>
                <w:lang w:val="en-SC" w:eastAsia="zh-CN"/>
              </w:rPr>
              <w:t>Shanghai Ocean University</w:t>
            </w:r>
          </w:p>
        </w:tc>
        <w:tc>
          <w:tcPr>
            <w:tcW w:w="3449" w:type="dxa"/>
            <w:tcBorders>
              <w:top w:val="nil"/>
              <w:left w:val="nil"/>
              <w:bottom w:val="single" w:sz="4" w:space="0" w:color="auto"/>
              <w:right w:val="single" w:sz="4" w:space="0" w:color="auto"/>
            </w:tcBorders>
            <w:vAlign w:val="bottom"/>
            <w:hideMark/>
          </w:tcPr>
          <w:p w14:paraId="502FE0C8" w14:textId="77777777" w:rsidR="00832CA5" w:rsidRPr="00832CA5" w:rsidRDefault="00832CA5" w:rsidP="00832CA5">
            <w:pPr>
              <w:rPr>
                <w:rFonts w:ascii="Aptos Narrow" w:hAnsi="Aptos Narrow"/>
                <w:color w:val="467886"/>
                <w:u w:val="single"/>
                <w:lang w:val="en-SC" w:eastAsia="zh-CN"/>
              </w:rPr>
            </w:pPr>
            <w:r w:rsidRPr="00832CA5">
              <w:rPr>
                <w:rFonts w:ascii="Aptos Narrow" w:hAnsi="Aptos Narrow"/>
                <w:color w:val="467886"/>
                <w:u w:val="single"/>
                <w:lang w:val="en-SC" w:eastAsia="zh-CN"/>
              </w:rPr>
              <w:t>jizhangzhu_shou@163.com</w:t>
            </w:r>
          </w:p>
        </w:tc>
      </w:tr>
    </w:tbl>
    <w:p w14:paraId="0B626D33" w14:textId="1E40ECBC" w:rsidR="0058551D" w:rsidRPr="009F124D" w:rsidRDefault="0058551D" w:rsidP="006A24A8">
      <w:pPr>
        <w:pStyle w:val="AppendixHeading"/>
      </w:pPr>
      <w:bookmarkStart w:id="76" w:name="APP2"/>
      <w:bookmarkStart w:id="77" w:name="_Toc210218016"/>
      <w:r w:rsidRPr="009F124D">
        <w:rPr>
          <w:rFonts w:eastAsia="Times New Roman"/>
          <w:lang w:eastAsia="fr-FR"/>
        </w:rPr>
        <w:lastRenderedPageBreak/>
        <w:t>Appendix II</w:t>
      </w:r>
      <w:r w:rsidR="006A24A8" w:rsidRPr="009F124D">
        <w:rPr>
          <w:rFonts w:eastAsia="Times New Roman"/>
          <w:lang w:eastAsia="fr-FR"/>
        </w:rPr>
        <w:t xml:space="preserve"> - </w:t>
      </w:r>
      <w:r w:rsidRPr="009F124D">
        <w:t xml:space="preserve">Agenda for the </w:t>
      </w:r>
      <w:r w:rsidR="00DD7DE7" w:rsidRPr="009F124D">
        <w:t>2</w:t>
      </w:r>
      <w:r w:rsidR="003E02C6" w:rsidRPr="009F124D">
        <w:t>3</w:t>
      </w:r>
      <w:r w:rsidR="009F124D">
        <w:rPr>
          <w:vertAlign w:val="superscript"/>
        </w:rPr>
        <w:t>r</w:t>
      </w:r>
      <w:r w:rsidR="004D26DE" w:rsidRPr="009F124D">
        <w:rPr>
          <w:vertAlign w:val="superscript"/>
        </w:rPr>
        <w:t>d</w:t>
      </w:r>
      <w:r w:rsidR="001F7B18" w:rsidRPr="009F124D">
        <w:t xml:space="preserve"> </w:t>
      </w:r>
      <w:r w:rsidRPr="009F124D">
        <w:t>Working Party on Billfish</w:t>
      </w:r>
      <w:bookmarkEnd w:id="75"/>
      <w:bookmarkEnd w:id="76"/>
      <w:bookmarkEnd w:id="77"/>
    </w:p>
    <w:p w14:paraId="1B2C6FB2" w14:textId="77777777" w:rsidR="002B7E63" w:rsidRPr="009F124D" w:rsidRDefault="002B7E63" w:rsidP="002B7E63">
      <w:pPr>
        <w:jc w:val="center"/>
        <w:rPr>
          <w:rFonts w:ascii="Calibri" w:hAnsi="Calibri" w:cs="Calibri"/>
          <w:b/>
          <w:sz w:val="24"/>
          <w:szCs w:val="24"/>
        </w:rPr>
      </w:pPr>
      <w:bookmarkStart w:id="78" w:name="_Toc336947271"/>
      <w:bookmarkStart w:id="79" w:name="_Toc163032611"/>
    </w:p>
    <w:p w14:paraId="590CC565" w14:textId="77777777" w:rsidR="00803983" w:rsidRPr="009F124D" w:rsidRDefault="00803983" w:rsidP="00803983">
      <w:pPr>
        <w:jc w:val="center"/>
        <w:rPr>
          <w:rFonts w:ascii="Calibri" w:hAnsi="Calibri" w:cs="Calibri"/>
          <w:b/>
          <w:sz w:val="24"/>
          <w:szCs w:val="24"/>
        </w:rPr>
      </w:pPr>
      <w:r w:rsidRPr="009F124D">
        <w:rPr>
          <w:rFonts w:ascii="Calibri" w:hAnsi="Calibri" w:cs="Calibri"/>
          <w:b/>
          <w:sz w:val="24"/>
          <w:szCs w:val="24"/>
        </w:rPr>
        <w:t xml:space="preserve">Date: </w:t>
      </w:r>
      <w:r w:rsidRPr="009F124D">
        <w:rPr>
          <w:rFonts w:ascii="Calibri" w:hAnsi="Calibri" w:cs="Calibri"/>
          <w:sz w:val="24"/>
          <w:szCs w:val="24"/>
        </w:rPr>
        <w:t>15–18 September 2025</w:t>
      </w:r>
    </w:p>
    <w:p w14:paraId="59FD8A3B" w14:textId="50E4AFCB" w:rsidR="00803983" w:rsidRPr="009F124D" w:rsidRDefault="00803983" w:rsidP="00803983">
      <w:pPr>
        <w:jc w:val="center"/>
        <w:rPr>
          <w:rFonts w:ascii="Calibri" w:hAnsi="Calibri" w:cs="Calibri"/>
          <w:b/>
          <w:sz w:val="24"/>
          <w:szCs w:val="24"/>
        </w:rPr>
      </w:pPr>
      <w:r w:rsidRPr="009F124D">
        <w:rPr>
          <w:rFonts w:ascii="Calibri" w:hAnsi="Calibri" w:cs="Calibri"/>
          <w:b/>
          <w:sz w:val="24"/>
          <w:szCs w:val="24"/>
        </w:rPr>
        <w:t xml:space="preserve">Location: IRD, </w:t>
      </w:r>
      <w:r w:rsidR="0012486F" w:rsidRPr="009F124D">
        <w:rPr>
          <w:rFonts w:ascii="Calibri" w:hAnsi="Calibri" w:cs="Calibri"/>
          <w:b/>
          <w:bCs/>
          <w:sz w:val="24"/>
          <w:szCs w:val="24"/>
        </w:rPr>
        <w:t>S</w:t>
      </w:r>
      <w:r w:rsidR="0012486F">
        <w:rPr>
          <w:rFonts w:ascii="Calibri" w:hAnsi="Calibri" w:cs="Calibri"/>
          <w:b/>
          <w:bCs/>
          <w:sz w:val="24"/>
          <w:szCs w:val="24"/>
        </w:rPr>
        <w:t>è</w:t>
      </w:r>
      <w:r w:rsidR="0012486F" w:rsidRPr="009F124D">
        <w:rPr>
          <w:rFonts w:ascii="Calibri" w:hAnsi="Calibri" w:cs="Calibri"/>
          <w:b/>
          <w:bCs/>
          <w:sz w:val="24"/>
          <w:szCs w:val="24"/>
        </w:rPr>
        <w:t>te</w:t>
      </w:r>
      <w:r w:rsidRPr="009F124D">
        <w:rPr>
          <w:rFonts w:ascii="Calibri" w:hAnsi="Calibri" w:cs="Calibri"/>
          <w:bCs/>
          <w:sz w:val="24"/>
          <w:szCs w:val="24"/>
        </w:rPr>
        <w:t>, France</w:t>
      </w:r>
    </w:p>
    <w:p w14:paraId="6EACF1C4" w14:textId="77777777" w:rsidR="00803983" w:rsidRPr="009F124D" w:rsidRDefault="00803983" w:rsidP="00803983">
      <w:pPr>
        <w:jc w:val="center"/>
        <w:rPr>
          <w:rFonts w:ascii="Calibri" w:hAnsi="Calibri" w:cs="Calibri"/>
          <w:b/>
          <w:sz w:val="24"/>
          <w:szCs w:val="24"/>
        </w:rPr>
      </w:pPr>
      <w:r w:rsidRPr="009F124D">
        <w:rPr>
          <w:rFonts w:ascii="Calibri" w:hAnsi="Calibri" w:cs="Calibri"/>
          <w:b/>
          <w:sz w:val="24"/>
          <w:szCs w:val="24"/>
        </w:rPr>
        <w:t xml:space="preserve">Time: </w:t>
      </w:r>
      <w:r w:rsidRPr="009F124D">
        <w:rPr>
          <w:rFonts w:ascii="Calibri" w:hAnsi="Calibri" w:cs="Calibri"/>
          <w:bCs/>
          <w:sz w:val="24"/>
          <w:szCs w:val="24"/>
        </w:rPr>
        <w:t>09:00 – 17:00 daily (French time)</w:t>
      </w:r>
    </w:p>
    <w:p w14:paraId="7BC3E176" w14:textId="77777777" w:rsidR="00803983" w:rsidRPr="009F124D" w:rsidRDefault="00803983" w:rsidP="00803983">
      <w:pPr>
        <w:jc w:val="center"/>
        <w:rPr>
          <w:rFonts w:ascii="Calibri" w:hAnsi="Calibri" w:cs="Calibri"/>
          <w:b/>
          <w:color w:val="000000" w:themeColor="text1"/>
          <w:sz w:val="24"/>
          <w:szCs w:val="24"/>
          <w:lang w:val="pt-PT"/>
        </w:rPr>
      </w:pPr>
      <w:r w:rsidRPr="009F124D">
        <w:rPr>
          <w:rFonts w:ascii="Calibri" w:hAnsi="Calibri" w:cs="Calibri"/>
          <w:b/>
          <w:sz w:val="24"/>
          <w:szCs w:val="24"/>
        </w:rPr>
        <w:t xml:space="preserve">Chair: </w:t>
      </w:r>
      <w:r w:rsidRPr="009F124D">
        <w:rPr>
          <w:rFonts w:ascii="Calibri" w:hAnsi="Calibri" w:cs="Calibri"/>
          <w:bCs/>
          <w:sz w:val="24"/>
          <w:szCs w:val="24"/>
        </w:rPr>
        <w:t>Dr Jie Cao (China);</w:t>
      </w:r>
      <w:r w:rsidRPr="009F124D">
        <w:rPr>
          <w:rFonts w:ascii="Calibri" w:hAnsi="Calibri" w:cs="Calibri"/>
          <w:b/>
          <w:sz w:val="24"/>
          <w:szCs w:val="24"/>
        </w:rPr>
        <w:t xml:space="preserve"> Vice-Chair </w:t>
      </w:r>
      <w:r w:rsidRPr="009F124D">
        <w:rPr>
          <w:rFonts w:ascii="Calibri" w:hAnsi="Calibri" w:cs="Calibri"/>
          <w:bCs/>
          <w:sz w:val="24"/>
          <w:szCs w:val="24"/>
        </w:rPr>
        <w:t>Dr Sylvain Bonhommeau (France)</w:t>
      </w:r>
      <w:r w:rsidRPr="009F124D">
        <w:rPr>
          <w:rFonts w:ascii="Calibri" w:hAnsi="Calibri" w:cs="Calibri"/>
          <w:b/>
          <w:sz w:val="24"/>
          <w:szCs w:val="24"/>
        </w:rPr>
        <w:t xml:space="preserve">: </w:t>
      </w:r>
    </w:p>
    <w:p w14:paraId="24AD7669" w14:textId="77777777" w:rsidR="00803983" w:rsidRPr="009F124D" w:rsidRDefault="00803983" w:rsidP="00803983">
      <w:pPr>
        <w:jc w:val="center"/>
        <w:rPr>
          <w:rFonts w:ascii="Calibri" w:hAnsi="Calibri" w:cs="Calibri"/>
          <w:sz w:val="16"/>
          <w:szCs w:val="16"/>
          <w:lang w:val="pt-PT"/>
        </w:rPr>
      </w:pPr>
    </w:p>
    <w:p w14:paraId="2DA46E71" w14:textId="77777777" w:rsidR="00803983" w:rsidRPr="009F124D" w:rsidRDefault="00803983" w:rsidP="00803983">
      <w:pPr>
        <w:numPr>
          <w:ilvl w:val="0"/>
          <w:numId w:val="20"/>
        </w:numPr>
        <w:jc w:val="both"/>
        <w:rPr>
          <w:rFonts w:ascii="Calibri" w:hAnsi="Calibri" w:cs="Calibri"/>
          <w:b/>
        </w:rPr>
      </w:pPr>
      <w:r w:rsidRPr="009F124D">
        <w:rPr>
          <w:rFonts w:ascii="Calibri" w:hAnsi="Calibri" w:cs="Calibri"/>
          <w:b/>
        </w:rPr>
        <w:t xml:space="preserve">OPENING OF THE MEETING </w:t>
      </w:r>
      <w:r w:rsidRPr="009F124D">
        <w:rPr>
          <w:rFonts w:ascii="Calibri" w:hAnsi="Calibri" w:cs="Calibri"/>
        </w:rPr>
        <w:t>(Chairperson)</w:t>
      </w:r>
    </w:p>
    <w:p w14:paraId="182DA5CB" w14:textId="77777777" w:rsidR="00803983" w:rsidRPr="009F124D" w:rsidRDefault="00803983" w:rsidP="00803983">
      <w:pPr>
        <w:tabs>
          <w:tab w:val="left" w:pos="8198"/>
        </w:tabs>
        <w:ind w:left="360"/>
        <w:jc w:val="both"/>
        <w:rPr>
          <w:rFonts w:ascii="Calibri" w:hAnsi="Calibri" w:cs="Calibri"/>
          <w:b/>
        </w:rPr>
      </w:pPr>
      <w:r w:rsidRPr="009F124D">
        <w:rPr>
          <w:rFonts w:ascii="Calibri" w:hAnsi="Calibri" w:cs="Calibri"/>
          <w:b/>
        </w:rPr>
        <w:tab/>
      </w:r>
    </w:p>
    <w:p w14:paraId="2A3E0DD3" w14:textId="77777777" w:rsidR="00803983" w:rsidRPr="009F124D" w:rsidRDefault="00803983" w:rsidP="00803983">
      <w:pPr>
        <w:numPr>
          <w:ilvl w:val="0"/>
          <w:numId w:val="20"/>
        </w:numPr>
        <w:tabs>
          <w:tab w:val="left" w:pos="720"/>
        </w:tabs>
        <w:jc w:val="both"/>
        <w:rPr>
          <w:rFonts w:ascii="Calibri" w:hAnsi="Calibri" w:cs="Calibri"/>
          <w:b/>
        </w:rPr>
      </w:pPr>
      <w:r w:rsidRPr="009F124D">
        <w:rPr>
          <w:rFonts w:ascii="Calibri" w:hAnsi="Calibri" w:cs="Calibri"/>
          <w:b/>
        </w:rPr>
        <w:t xml:space="preserve">ADOPTION OF THE AGENDA AND ARRANGEMENTS FOR THE SESSION </w:t>
      </w:r>
      <w:r w:rsidRPr="009F124D">
        <w:rPr>
          <w:rFonts w:ascii="Calibri" w:hAnsi="Calibri" w:cs="Calibri"/>
        </w:rPr>
        <w:t>(Chairperson)</w:t>
      </w:r>
    </w:p>
    <w:p w14:paraId="29A53085" w14:textId="77777777" w:rsidR="00803983" w:rsidRPr="009F124D" w:rsidRDefault="00803983" w:rsidP="00803983">
      <w:pPr>
        <w:tabs>
          <w:tab w:val="left" w:pos="360"/>
          <w:tab w:val="left" w:pos="720"/>
          <w:tab w:val="left" w:pos="1080"/>
        </w:tabs>
        <w:jc w:val="both"/>
        <w:rPr>
          <w:rFonts w:ascii="Calibri" w:hAnsi="Calibri" w:cs="Calibri"/>
          <w:b/>
        </w:rPr>
      </w:pPr>
      <w:r w:rsidRPr="009F124D">
        <w:rPr>
          <w:rFonts w:ascii="Calibri" w:hAnsi="Calibri" w:cs="Calibri"/>
          <w:b/>
        </w:rPr>
        <w:t>I</w:t>
      </w:r>
    </w:p>
    <w:p w14:paraId="41432220" w14:textId="77777777" w:rsidR="00803983" w:rsidRPr="009F124D" w:rsidRDefault="00803983" w:rsidP="00803983">
      <w:pPr>
        <w:numPr>
          <w:ilvl w:val="0"/>
          <w:numId w:val="20"/>
        </w:numPr>
        <w:tabs>
          <w:tab w:val="left" w:pos="720"/>
        </w:tabs>
        <w:jc w:val="both"/>
        <w:rPr>
          <w:rFonts w:ascii="Calibri" w:hAnsi="Calibri" w:cs="Calibri"/>
          <w:b/>
        </w:rPr>
      </w:pPr>
      <w:r w:rsidRPr="009F124D">
        <w:rPr>
          <w:rFonts w:ascii="Calibri" w:hAnsi="Calibri" w:cs="Calibri"/>
          <w:b/>
        </w:rPr>
        <w:t xml:space="preserve">THE IOTC PROCESS: OUTCOMES, UPDATES AND PROGRESS </w:t>
      </w:r>
    </w:p>
    <w:p w14:paraId="47810E3A" w14:textId="77777777" w:rsidR="00803983" w:rsidRPr="009F124D" w:rsidRDefault="00803983" w:rsidP="00803983">
      <w:pPr>
        <w:pStyle w:val="ListParagraph"/>
        <w:numPr>
          <w:ilvl w:val="1"/>
          <w:numId w:val="20"/>
        </w:numPr>
        <w:tabs>
          <w:tab w:val="left" w:pos="1080"/>
        </w:tabs>
        <w:spacing w:after="200" w:line="276" w:lineRule="auto"/>
        <w:ind w:left="1134" w:hanging="774"/>
        <w:jc w:val="both"/>
        <w:rPr>
          <w:rFonts w:ascii="Calibri" w:hAnsi="Calibri" w:cs="Calibri"/>
        </w:rPr>
      </w:pPr>
      <w:r w:rsidRPr="009F124D">
        <w:rPr>
          <w:rFonts w:ascii="Calibri" w:hAnsi="Calibri" w:cs="Calibri"/>
        </w:rPr>
        <w:t>Outcomes of the 27</w:t>
      </w:r>
      <w:r w:rsidRPr="009F124D">
        <w:rPr>
          <w:rFonts w:ascii="Calibri" w:hAnsi="Calibri" w:cs="Calibri"/>
          <w:vertAlign w:val="superscript"/>
        </w:rPr>
        <w:t>th</w:t>
      </w:r>
      <w:r w:rsidRPr="009F124D">
        <w:rPr>
          <w:rFonts w:ascii="Calibri" w:hAnsi="Calibri" w:cs="Calibri"/>
        </w:rPr>
        <w:t xml:space="preserve"> Session of the Scientific Committee (IOTC Secretariat)</w:t>
      </w:r>
    </w:p>
    <w:p w14:paraId="3D0B906D" w14:textId="77777777" w:rsidR="00803983" w:rsidRPr="009F124D" w:rsidRDefault="00803983" w:rsidP="00803983">
      <w:pPr>
        <w:pStyle w:val="ListParagraph"/>
        <w:numPr>
          <w:ilvl w:val="1"/>
          <w:numId w:val="20"/>
        </w:numPr>
        <w:tabs>
          <w:tab w:val="left" w:pos="1080"/>
        </w:tabs>
        <w:spacing w:after="200" w:line="276" w:lineRule="auto"/>
        <w:ind w:left="1134" w:hanging="774"/>
        <w:jc w:val="both"/>
        <w:rPr>
          <w:rFonts w:ascii="Calibri" w:hAnsi="Calibri" w:cs="Calibri"/>
        </w:rPr>
      </w:pPr>
      <w:r w:rsidRPr="009F124D">
        <w:rPr>
          <w:rFonts w:ascii="Calibri" w:hAnsi="Calibri" w:cs="Calibri"/>
        </w:rPr>
        <w:t>Outcomes of the 29</w:t>
      </w:r>
      <w:r w:rsidRPr="009F124D">
        <w:rPr>
          <w:rFonts w:ascii="Calibri" w:hAnsi="Calibri" w:cs="Calibri"/>
          <w:vertAlign w:val="superscript"/>
        </w:rPr>
        <w:t>th</w:t>
      </w:r>
      <w:r w:rsidRPr="009F124D">
        <w:rPr>
          <w:rFonts w:ascii="Calibri" w:hAnsi="Calibri" w:cs="Calibri"/>
        </w:rPr>
        <w:t xml:space="preserve"> Session of the Commission (IOTC Secretariat)</w:t>
      </w:r>
    </w:p>
    <w:p w14:paraId="7FB078C4" w14:textId="77777777" w:rsidR="00803983" w:rsidRPr="009F124D" w:rsidRDefault="00803983" w:rsidP="00803983">
      <w:pPr>
        <w:pStyle w:val="ListParagraph"/>
        <w:numPr>
          <w:ilvl w:val="1"/>
          <w:numId w:val="20"/>
        </w:numPr>
        <w:tabs>
          <w:tab w:val="left" w:pos="1080"/>
        </w:tabs>
        <w:spacing w:after="200" w:line="276" w:lineRule="auto"/>
        <w:ind w:left="1134" w:hanging="774"/>
        <w:jc w:val="both"/>
        <w:rPr>
          <w:rFonts w:ascii="Calibri" w:hAnsi="Calibri" w:cs="Calibri"/>
        </w:rPr>
      </w:pPr>
      <w:r w:rsidRPr="009F124D">
        <w:rPr>
          <w:rFonts w:ascii="Calibri" w:hAnsi="Calibri" w:cs="Calibri"/>
        </w:rPr>
        <w:t>Review of Conservation and Management Measures relevant to billfish (IOTC Secretariat)</w:t>
      </w:r>
    </w:p>
    <w:p w14:paraId="3015E8DF" w14:textId="77777777" w:rsidR="00803983" w:rsidRPr="009F124D" w:rsidRDefault="00803983" w:rsidP="00803983">
      <w:pPr>
        <w:pStyle w:val="ListParagraph"/>
        <w:numPr>
          <w:ilvl w:val="1"/>
          <w:numId w:val="20"/>
        </w:numPr>
        <w:tabs>
          <w:tab w:val="left" w:pos="1080"/>
        </w:tabs>
        <w:spacing w:after="200" w:line="276" w:lineRule="auto"/>
        <w:ind w:left="1134" w:hanging="774"/>
        <w:jc w:val="both"/>
        <w:rPr>
          <w:rFonts w:ascii="Calibri" w:hAnsi="Calibri" w:cs="Calibri"/>
        </w:rPr>
      </w:pPr>
      <w:r w:rsidRPr="009F124D">
        <w:rPr>
          <w:rFonts w:ascii="Calibri" w:hAnsi="Calibri" w:cs="Calibri"/>
        </w:rPr>
        <w:t>Progress on the recommendations of WPB22 (IOTC Secretariat)</w:t>
      </w:r>
    </w:p>
    <w:p w14:paraId="53937B9E" w14:textId="77777777" w:rsidR="00803983" w:rsidRPr="009F124D" w:rsidRDefault="00803983" w:rsidP="00803983">
      <w:pPr>
        <w:numPr>
          <w:ilvl w:val="0"/>
          <w:numId w:val="20"/>
        </w:numPr>
        <w:tabs>
          <w:tab w:val="left" w:pos="720"/>
        </w:tabs>
        <w:jc w:val="both"/>
        <w:rPr>
          <w:rFonts w:ascii="Calibri" w:hAnsi="Calibri" w:cs="Calibri"/>
          <w:b/>
        </w:rPr>
      </w:pPr>
      <w:r w:rsidRPr="009F124D">
        <w:rPr>
          <w:rFonts w:ascii="Calibri" w:hAnsi="Calibri" w:cs="Calibri"/>
          <w:b/>
        </w:rPr>
        <w:t>NEW INFORMATION ON FISHERIES AND ASSOCIATED ENVIRONMENTAL DATA FOR BILLFISH</w:t>
      </w:r>
    </w:p>
    <w:p w14:paraId="5BFA369C" w14:textId="77777777" w:rsidR="00803983" w:rsidRPr="009F124D" w:rsidRDefault="00803983" w:rsidP="00803983">
      <w:pPr>
        <w:pStyle w:val="ListParagraph"/>
        <w:numPr>
          <w:ilvl w:val="1"/>
          <w:numId w:val="20"/>
        </w:numPr>
        <w:ind w:left="1078" w:hanging="718"/>
        <w:jc w:val="both"/>
        <w:rPr>
          <w:rFonts w:ascii="Calibri" w:hAnsi="Calibri" w:cs="Calibri"/>
        </w:rPr>
      </w:pPr>
      <w:r w:rsidRPr="009F124D">
        <w:rPr>
          <w:rFonts w:ascii="Calibri" w:hAnsi="Calibri" w:cs="Calibri"/>
        </w:rPr>
        <w:t>Review of the statistical data available for billfish at the Secretariat (IOTC Secretariat)</w:t>
      </w:r>
    </w:p>
    <w:p w14:paraId="290DF330" w14:textId="77777777" w:rsidR="00803983" w:rsidRPr="009F124D" w:rsidRDefault="00803983" w:rsidP="00803983">
      <w:pPr>
        <w:pStyle w:val="ListParagraph"/>
        <w:numPr>
          <w:ilvl w:val="1"/>
          <w:numId w:val="20"/>
        </w:numPr>
        <w:spacing w:after="200"/>
        <w:ind w:left="1080" w:hanging="720"/>
        <w:jc w:val="both"/>
        <w:rPr>
          <w:rFonts w:ascii="Calibri" w:hAnsi="Calibri" w:cs="Calibri"/>
        </w:rPr>
      </w:pPr>
      <w:r w:rsidRPr="009F124D">
        <w:rPr>
          <w:rFonts w:ascii="Calibri" w:hAnsi="Calibri" w:cs="Calibri"/>
        </w:rPr>
        <w:t>Climate change (all)</w:t>
      </w:r>
    </w:p>
    <w:p w14:paraId="17373D39" w14:textId="77777777" w:rsidR="00803983" w:rsidRPr="009F124D" w:rsidRDefault="00803983" w:rsidP="00803983">
      <w:pPr>
        <w:numPr>
          <w:ilvl w:val="0"/>
          <w:numId w:val="20"/>
        </w:numPr>
        <w:jc w:val="both"/>
        <w:rPr>
          <w:rFonts w:ascii="Calibri" w:hAnsi="Calibri" w:cs="Calibri"/>
          <w:b/>
        </w:rPr>
      </w:pPr>
      <w:r w:rsidRPr="009F124D">
        <w:rPr>
          <w:rFonts w:ascii="Calibri" w:hAnsi="Calibri" w:cs="Calibri"/>
          <w:b/>
        </w:rPr>
        <w:t>MARLINS (Priority species for 2025: Blue marlin and Indo Pacific Sailfish)</w:t>
      </w:r>
    </w:p>
    <w:p w14:paraId="3D3483CE" w14:textId="77777777" w:rsidR="00803983" w:rsidRPr="009F124D" w:rsidRDefault="00803983" w:rsidP="00803983">
      <w:pPr>
        <w:numPr>
          <w:ilvl w:val="1"/>
          <w:numId w:val="20"/>
        </w:numPr>
        <w:ind w:left="1064" w:hanging="704"/>
        <w:jc w:val="both"/>
        <w:rPr>
          <w:rFonts w:ascii="Calibri" w:hAnsi="Calibri" w:cs="Calibri"/>
          <w:b/>
        </w:rPr>
      </w:pPr>
      <w:r w:rsidRPr="009F124D">
        <w:rPr>
          <w:rFonts w:ascii="Calibri" w:hAnsi="Calibri" w:cs="Calibri"/>
        </w:rPr>
        <w:t>Review new information on marlin biology, stock structure, fisheries and associated environmental data (all)</w:t>
      </w:r>
    </w:p>
    <w:p w14:paraId="22B15658" w14:textId="77777777" w:rsidR="00803983" w:rsidRPr="009F124D" w:rsidRDefault="00803983" w:rsidP="00803983">
      <w:pPr>
        <w:numPr>
          <w:ilvl w:val="1"/>
          <w:numId w:val="20"/>
        </w:numPr>
        <w:ind w:left="1064" w:hanging="704"/>
        <w:jc w:val="both"/>
        <w:rPr>
          <w:rFonts w:ascii="Calibri" w:hAnsi="Calibri" w:cs="Calibri"/>
          <w:b/>
        </w:rPr>
      </w:pPr>
      <w:r w:rsidRPr="009F124D">
        <w:rPr>
          <w:rFonts w:ascii="Calibri" w:hAnsi="Calibri" w:cs="Calibri"/>
        </w:rPr>
        <w:t>Review of new information on the status of blue marlin and Indo Pacific sailfish (all)</w:t>
      </w:r>
    </w:p>
    <w:p w14:paraId="084A4603" w14:textId="77777777" w:rsidR="00803983" w:rsidRPr="009F124D" w:rsidRDefault="00803983" w:rsidP="00803983">
      <w:pPr>
        <w:numPr>
          <w:ilvl w:val="3"/>
          <w:numId w:val="22"/>
        </w:numPr>
        <w:ind w:left="1418" w:hanging="338"/>
        <w:jc w:val="both"/>
        <w:rPr>
          <w:rFonts w:ascii="Calibri" w:hAnsi="Calibri" w:cs="Calibri"/>
        </w:rPr>
      </w:pPr>
      <w:r w:rsidRPr="009F124D">
        <w:rPr>
          <w:rFonts w:ascii="Calibri" w:hAnsi="Calibri" w:cs="Calibri"/>
        </w:rPr>
        <w:t xml:space="preserve">Nominal and standardised CPUE indices </w:t>
      </w:r>
    </w:p>
    <w:p w14:paraId="246CA4FA" w14:textId="77777777" w:rsidR="00803983" w:rsidRPr="009F124D" w:rsidRDefault="00803983" w:rsidP="00803983">
      <w:pPr>
        <w:numPr>
          <w:ilvl w:val="3"/>
          <w:numId w:val="22"/>
        </w:numPr>
        <w:ind w:left="1418" w:hanging="338"/>
        <w:jc w:val="both"/>
        <w:rPr>
          <w:rFonts w:ascii="Calibri" w:hAnsi="Calibri" w:cs="Calibri"/>
        </w:rPr>
      </w:pPr>
      <w:r w:rsidRPr="009F124D">
        <w:rPr>
          <w:rFonts w:ascii="Calibri" w:hAnsi="Calibri" w:cs="Calibri"/>
        </w:rPr>
        <w:t>Stock assessments</w:t>
      </w:r>
    </w:p>
    <w:p w14:paraId="7701D406" w14:textId="77777777" w:rsidR="00803983" w:rsidRPr="009F124D" w:rsidRDefault="00803983" w:rsidP="00803983">
      <w:pPr>
        <w:numPr>
          <w:ilvl w:val="3"/>
          <w:numId w:val="22"/>
        </w:numPr>
        <w:ind w:left="1418" w:hanging="338"/>
        <w:jc w:val="both"/>
        <w:rPr>
          <w:rFonts w:ascii="Calibri" w:hAnsi="Calibri" w:cs="Calibri"/>
          <w:b/>
        </w:rPr>
      </w:pPr>
      <w:r w:rsidRPr="009F124D">
        <w:rPr>
          <w:rFonts w:ascii="Calibri" w:hAnsi="Calibri" w:cs="Calibri"/>
        </w:rPr>
        <w:t>Selection of Stock Status indicators</w:t>
      </w:r>
    </w:p>
    <w:p w14:paraId="1C2FD5C7" w14:textId="77777777" w:rsidR="00803983" w:rsidRPr="009F124D" w:rsidRDefault="00803983" w:rsidP="00803983">
      <w:pPr>
        <w:numPr>
          <w:ilvl w:val="1"/>
          <w:numId w:val="20"/>
        </w:numPr>
        <w:spacing w:after="200"/>
        <w:ind w:left="1060" w:hanging="703"/>
        <w:jc w:val="both"/>
        <w:rPr>
          <w:rFonts w:ascii="Calibri" w:hAnsi="Calibri" w:cs="Calibri"/>
          <w:b/>
        </w:rPr>
      </w:pPr>
      <w:r w:rsidRPr="009F124D">
        <w:rPr>
          <w:rFonts w:ascii="Calibri" w:hAnsi="Calibri" w:cs="Calibri"/>
        </w:rPr>
        <w:t>Development of management advice for blue marlin and Indo Pacific sailfish and update of species Executive Summaries for the consideration of the Scientific Committee, including discussion on current catch limits as per standing IOTC Resolutions (all)</w:t>
      </w:r>
    </w:p>
    <w:p w14:paraId="722906D6" w14:textId="77777777" w:rsidR="00803983" w:rsidRPr="009F124D" w:rsidRDefault="00803983" w:rsidP="00803983">
      <w:pPr>
        <w:numPr>
          <w:ilvl w:val="0"/>
          <w:numId w:val="20"/>
        </w:numPr>
        <w:spacing w:after="120"/>
        <w:ind w:left="357" w:hanging="357"/>
        <w:jc w:val="both"/>
        <w:rPr>
          <w:rFonts w:ascii="Calibri" w:hAnsi="Calibri" w:cs="Calibri"/>
          <w:b/>
        </w:rPr>
      </w:pPr>
      <w:r w:rsidRPr="009F124D">
        <w:rPr>
          <w:rFonts w:ascii="Calibri" w:hAnsi="Calibri" w:cs="Calibri"/>
          <w:b/>
        </w:rPr>
        <w:t>THE SWORDFISH MANAGEMENT Procedure (Resolution 24/08)</w:t>
      </w:r>
    </w:p>
    <w:p w14:paraId="2AF82DE3" w14:textId="77777777" w:rsidR="00803983" w:rsidRPr="009F124D" w:rsidRDefault="00803983" w:rsidP="00803983">
      <w:pPr>
        <w:numPr>
          <w:ilvl w:val="1"/>
          <w:numId w:val="20"/>
        </w:numPr>
        <w:spacing w:after="200"/>
        <w:ind w:left="1060" w:hanging="703"/>
        <w:jc w:val="both"/>
        <w:rPr>
          <w:rFonts w:ascii="Calibri" w:hAnsi="Calibri" w:cs="Calibri"/>
        </w:rPr>
      </w:pPr>
      <w:r w:rsidRPr="009F124D">
        <w:rPr>
          <w:rFonts w:ascii="Calibri" w:hAnsi="Calibri" w:cs="Calibri"/>
        </w:rPr>
        <w:t>Review of exceptional circumstances</w:t>
      </w:r>
    </w:p>
    <w:p w14:paraId="0E0537E8" w14:textId="77777777" w:rsidR="00803983" w:rsidRPr="009F124D" w:rsidRDefault="00803983" w:rsidP="00803983">
      <w:pPr>
        <w:numPr>
          <w:ilvl w:val="0"/>
          <w:numId w:val="20"/>
        </w:numPr>
        <w:jc w:val="both"/>
        <w:rPr>
          <w:rFonts w:ascii="Calibri" w:hAnsi="Calibri" w:cs="Calibri"/>
          <w:b/>
        </w:rPr>
      </w:pPr>
      <w:r w:rsidRPr="009F124D">
        <w:rPr>
          <w:rFonts w:ascii="Calibri" w:hAnsi="Calibri" w:cs="Calibri"/>
          <w:b/>
        </w:rPr>
        <w:t>OTHER BILLFISHES (new information for informing future assessments)</w:t>
      </w:r>
    </w:p>
    <w:p w14:paraId="793E7BF8" w14:textId="77777777" w:rsidR="00803983" w:rsidRPr="009F124D" w:rsidRDefault="00803983" w:rsidP="00803983">
      <w:pPr>
        <w:numPr>
          <w:ilvl w:val="1"/>
          <w:numId w:val="20"/>
        </w:numPr>
        <w:ind w:left="1092" w:hanging="732"/>
        <w:jc w:val="both"/>
        <w:rPr>
          <w:rFonts w:ascii="Calibri" w:hAnsi="Calibri" w:cs="Calibri"/>
          <w:b/>
        </w:rPr>
      </w:pPr>
      <w:r w:rsidRPr="009F124D">
        <w:rPr>
          <w:rFonts w:ascii="Calibri" w:hAnsi="Calibri" w:cs="Calibri"/>
        </w:rPr>
        <w:t>Review of new information on other billfishes (biology, stock structure, fisheries and associated environmental data (all)</w:t>
      </w:r>
    </w:p>
    <w:p w14:paraId="6D26DE3D" w14:textId="77777777" w:rsidR="00803983" w:rsidRPr="009F124D" w:rsidRDefault="00803983" w:rsidP="00803983">
      <w:pPr>
        <w:numPr>
          <w:ilvl w:val="1"/>
          <w:numId w:val="20"/>
        </w:numPr>
        <w:ind w:left="1092" w:hanging="732"/>
        <w:jc w:val="both"/>
        <w:rPr>
          <w:rFonts w:ascii="Calibri" w:hAnsi="Calibri" w:cs="Calibri"/>
          <w:b/>
        </w:rPr>
      </w:pPr>
      <w:r w:rsidRPr="009F124D">
        <w:rPr>
          <w:rFonts w:ascii="Calibri" w:hAnsi="Calibri" w:cs="Calibri"/>
        </w:rPr>
        <w:t>Resolution 18/05 Catch Limits</w:t>
      </w:r>
    </w:p>
    <w:p w14:paraId="0728C1D3" w14:textId="77777777" w:rsidR="00803983" w:rsidRPr="009F124D" w:rsidRDefault="00803983" w:rsidP="00803983">
      <w:pPr>
        <w:tabs>
          <w:tab w:val="left" w:pos="990"/>
        </w:tabs>
        <w:ind w:left="720" w:hanging="360"/>
        <w:jc w:val="both"/>
        <w:rPr>
          <w:rFonts w:ascii="Calibri" w:hAnsi="Calibri" w:cs="Calibri"/>
        </w:rPr>
      </w:pPr>
    </w:p>
    <w:p w14:paraId="41A07246" w14:textId="77777777" w:rsidR="00803983" w:rsidRPr="009F124D" w:rsidRDefault="00803983" w:rsidP="00803983">
      <w:pPr>
        <w:keepNext/>
        <w:keepLines/>
        <w:numPr>
          <w:ilvl w:val="0"/>
          <w:numId w:val="20"/>
        </w:numPr>
        <w:ind w:left="358" w:hangingChars="162" w:hanging="358"/>
        <w:jc w:val="both"/>
        <w:rPr>
          <w:rFonts w:ascii="Calibri" w:hAnsi="Calibri" w:cs="Calibri"/>
          <w:b/>
        </w:rPr>
      </w:pPr>
      <w:r w:rsidRPr="009F124D">
        <w:rPr>
          <w:rFonts w:ascii="Calibri" w:hAnsi="Calibri" w:cs="Calibri"/>
          <w:b/>
        </w:rPr>
        <w:t>WPB PROGRAM OF WORK</w:t>
      </w:r>
    </w:p>
    <w:p w14:paraId="434CD13B" w14:textId="77777777" w:rsidR="00803983" w:rsidRPr="009F124D" w:rsidRDefault="00803983" w:rsidP="00803983">
      <w:pPr>
        <w:pStyle w:val="ListParagraph"/>
        <w:keepNext/>
        <w:keepLines/>
        <w:numPr>
          <w:ilvl w:val="1"/>
          <w:numId w:val="20"/>
        </w:numPr>
        <w:tabs>
          <w:tab w:val="left" w:pos="1080"/>
        </w:tabs>
        <w:spacing w:after="200" w:line="276" w:lineRule="auto"/>
        <w:ind w:left="1134" w:hanging="774"/>
        <w:jc w:val="both"/>
        <w:rPr>
          <w:rFonts w:ascii="Calibri" w:hAnsi="Calibri" w:cs="Calibri"/>
        </w:rPr>
      </w:pPr>
      <w:r w:rsidRPr="009F124D">
        <w:rPr>
          <w:rFonts w:ascii="Calibri" w:hAnsi="Calibri" w:cs="Calibri"/>
        </w:rPr>
        <w:t xml:space="preserve">Revision of the WPB </w:t>
      </w:r>
      <w:r w:rsidRPr="009F124D">
        <w:rPr>
          <w:rFonts w:ascii="Calibri" w:hAnsi="Calibri" w:cs="Calibri"/>
          <w:lang w:val="en-US"/>
        </w:rPr>
        <w:t>Program of Work (2026–2030)</w:t>
      </w:r>
      <w:r w:rsidRPr="009F124D">
        <w:rPr>
          <w:rFonts w:ascii="Calibri" w:hAnsi="Calibri" w:cs="Calibri"/>
        </w:rPr>
        <w:t xml:space="preserve"> (Chairperson and IOTC Secretariat)</w:t>
      </w:r>
    </w:p>
    <w:p w14:paraId="75038A30" w14:textId="77777777" w:rsidR="00803983" w:rsidRPr="009F124D" w:rsidRDefault="00803983" w:rsidP="00803983">
      <w:pPr>
        <w:pStyle w:val="ListParagraph"/>
        <w:keepNext/>
        <w:keepLines/>
        <w:numPr>
          <w:ilvl w:val="1"/>
          <w:numId w:val="20"/>
        </w:numPr>
        <w:tabs>
          <w:tab w:val="left" w:pos="1080"/>
        </w:tabs>
        <w:spacing w:after="200" w:line="276" w:lineRule="auto"/>
        <w:ind w:left="1134" w:hanging="774"/>
        <w:jc w:val="both"/>
        <w:rPr>
          <w:rFonts w:ascii="Calibri" w:hAnsi="Calibri" w:cs="Calibri"/>
        </w:rPr>
      </w:pPr>
      <w:r w:rsidRPr="009F124D">
        <w:rPr>
          <w:rFonts w:ascii="Calibri" w:hAnsi="Calibri" w:cs="Calibri"/>
        </w:rPr>
        <w:t>Development of priorities for an Invited Expert at the next WPB meeting (Chairperson)</w:t>
      </w:r>
    </w:p>
    <w:p w14:paraId="23D957C3" w14:textId="77777777" w:rsidR="00803983" w:rsidRPr="009F124D" w:rsidRDefault="00803983" w:rsidP="00803983">
      <w:pPr>
        <w:keepNext/>
        <w:numPr>
          <w:ilvl w:val="0"/>
          <w:numId w:val="20"/>
        </w:numPr>
        <w:tabs>
          <w:tab w:val="num" w:pos="432"/>
        </w:tabs>
        <w:jc w:val="both"/>
        <w:rPr>
          <w:rFonts w:ascii="Calibri" w:hAnsi="Calibri" w:cs="Calibri"/>
          <w:b/>
        </w:rPr>
      </w:pPr>
      <w:r w:rsidRPr="009F124D">
        <w:rPr>
          <w:rFonts w:ascii="Calibri" w:hAnsi="Calibri" w:cs="Calibri"/>
          <w:b/>
        </w:rPr>
        <w:t>OTHER BUSINESS</w:t>
      </w:r>
    </w:p>
    <w:p w14:paraId="6408A549" w14:textId="77777777" w:rsidR="00803983" w:rsidRPr="009F124D" w:rsidRDefault="00803983" w:rsidP="00803983">
      <w:pPr>
        <w:pStyle w:val="ListParagraph"/>
        <w:keepNext/>
        <w:keepLines/>
        <w:numPr>
          <w:ilvl w:val="1"/>
          <w:numId w:val="20"/>
        </w:numPr>
        <w:spacing w:after="200" w:line="276" w:lineRule="auto"/>
        <w:ind w:left="1092" w:hanging="732"/>
        <w:jc w:val="both"/>
        <w:rPr>
          <w:rFonts w:ascii="Calibri" w:hAnsi="Calibri" w:cs="Calibri"/>
        </w:rPr>
      </w:pPr>
      <w:r w:rsidRPr="009F124D">
        <w:rPr>
          <w:rFonts w:ascii="Calibri" w:hAnsi="Calibri" w:cs="Calibri"/>
        </w:rPr>
        <w:t>Date and place of the 24</w:t>
      </w:r>
      <w:r w:rsidRPr="009F124D">
        <w:rPr>
          <w:rFonts w:ascii="Calibri" w:hAnsi="Calibri" w:cs="Calibri"/>
          <w:vertAlign w:val="superscript"/>
        </w:rPr>
        <w:t>th</w:t>
      </w:r>
      <w:r w:rsidRPr="009F124D">
        <w:rPr>
          <w:rFonts w:ascii="Calibri" w:hAnsi="Calibri" w:cs="Calibri"/>
        </w:rPr>
        <w:t xml:space="preserve"> and 25</w:t>
      </w:r>
      <w:r w:rsidRPr="009F124D">
        <w:rPr>
          <w:rFonts w:ascii="Calibri" w:hAnsi="Calibri" w:cs="Calibri"/>
          <w:vertAlign w:val="superscript"/>
        </w:rPr>
        <w:t>th</w:t>
      </w:r>
      <w:r w:rsidRPr="009F124D">
        <w:rPr>
          <w:rFonts w:ascii="Calibri" w:hAnsi="Calibri" w:cs="Calibri"/>
        </w:rPr>
        <w:t xml:space="preserve"> Sessions of the Working Party on Billfish (Chairperson and IOTC Secretariat)</w:t>
      </w:r>
    </w:p>
    <w:p w14:paraId="3AB9CC5E" w14:textId="77777777" w:rsidR="00803983" w:rsidRPr="009F124D" w:rsidRDefault="00803983" w:rsidP="00803983">
      <w:pPr>
        <w:pStyle w:val="ListParagraph"/>
        <w:keepNext/>
        <w:keepLines/>
        <w:numPr>
          <w:ilvl w:val="1"/>
          <w:numId w:val="20"/>
        </w:numPr>
        <w:spacing w:after="200" w:line="276" w:lineRule="auto"/>
        <w:ind w:left="1092" w:hanging="732"/>
        <w:jc w:val="both"/>
        <w:rPr>
          <w:rFonts w:ascii="Calibri" w:hAnsi="Calibri" w:cs="Calibri"/>
        </w:rPr>
      </w:pPr>
      <w:r w:rsidRPr="009F124D">
        <w:rPr>
          <w:rFonts w:ascii="Calibri" w:hAnsi="Calibri" w:cs="Calibri"/>
        </w:rPr>
        <w:t>Review of the draft, and adoption of the Report of the 23</w:t>
      </w:r>
      <w:r w:rsidRPr="009F124D">
        <w:rPr>
          <w:rFonts w:ascii="Calibri" w:hAnsi="Calibri" w:cs="Calibri"/>
          <w:vertAlign w:val="superscript"/>
        </w:rPr>
        <w:t>rd</w:t>
      </w:r>
      <w:r w:rsidRPr="009F124D">
        <w:rPr>
          <w:rFonts w:ascii="Calibri" w:hAnsi="Calibri" w:cs="Calibri"/>
        </w:rPr>
        <w:t xml:space="preserve"> Session of the Working Party on Billfish (Chairperson)</w:t>
      </w:r>
    </w:p>
    <w:p w14:paraId="1CE1A022" w14:textId="77777777" w:rsidR="00FB27F7" w:rsidRDefault="00FB27F7" w:rsidP="00445443">
      <w:pPr>
        <w:pStyle w:val="AppendixHeading"/>
        <w:jc w:val="left"/>
      </w:pPr>
    </w:p>
    <w:p w14:paraId="21D063FA" w14:textId="4D6DB294" w:rsidR="00F310C3" w:rsidRDefault="0058551D" w:rsidP="00506B59">
      <w:pPr>
        <w:pStyle w:val="AppendixHeading"/>
        <w:rPr>
          <w:color w:val="FF0000"/>
          <w:highlight w:val="yellow"/>
        </w:rPr>
      </w:pPr>
      <w:bookmarkStart w:id="80" w:name="APP3"/>
      <w:bookmarkStart w:id="81" w:name="_Toc210218017"/>
      <w:r w:rsidRPr="00AD5CF5">
        <w:lastRenderedPageBreak/>
        <w:t>Appendix III</w:t>
      </w:r>
      <w:r w:rsidR="006A24A8" w:rsidRPr="00AD5CF5">
        <w:t xml:space="preserve"> </w:t>
      </w:r>
      <w:bookmarkEnd w:id="80"/>
      <w:r w:rsidR="006A24A8" w:rsidRPr="00AD5CF5">
        <w:t xml:space="preserve">- </w:t>
      </w:r>
      <w:r w:rsidRPr="00AD5CF5">
        <w:rPr>
          <w:caps/>
          <w:sz w:val="24"/>
          <w:szCs w:val="24"/>
          <w:lang w:val="en-US"/>
        </w:rPr>
        <w:t xml:space="preserve">List of documents </w:t>
      </w:r>
      <w:r w:rsidR="006A24A8" w:rsidRPr="00AD5CF5">
        <w:rPr>
          <w:caps/>
          <w:sz w:val="24"/>
          <w:szCs w:val="24"/>
          <w:lang w:val="en-US"/>
        </w:rPr>
        <w:t>for the</w:t>
      </w:r>
      <w:r w:rsidRPr="00AD5CF5">
        <w:rPr>
          <w:caps/>
          <w:sz w:val="24"/>
          <w:szCs w:val="24"/>
          <w:lang w:val="en-US"/>
        </w:rPr>
        <w:t xml:space="preserve"> </w:t>
      </w:r>
      <w:r w:rsidR="00DD7DE7" w:rsidRPr="00AD5CF5">
        <w:rPr>
          <w:caps/>
          <w:sz w:val="24"/>
          <w:szCs w:val="24"/>
          <w:lang w:val="en-US"/>
        </w:rPr>
        <w:t>2</w:t>
      </w:r>
      <w:r w:rsidR="00DA2756">
        <w:rPr>
          <w:caps/>
          <w:sz w:val="24"/>
          <w:szCs w:val="24"/>
          <w:lang w:val="en-US"/>
        </w:rPr>
        <w:t>3</w:t>
      </w:r>
      <w:r w:rsidR="002740CC">
        <w:rPr>
          <w:caps/>
          <w:sz w:val="24"/>
          <w:szCs w:val="24"/>
          <w:vertAlign w:val="superscript"/>
          <w:lang w:val="en-US"/>
        </w:rPr>
        <w:t>nd</w:t>
      </w:r>
      <w:r w:rsidR="00AD5CF5" w:rsidRPr="00AD5CF5">
        <w:rPr>
          <w:caps/>
          <w:sz w:val="24"/>
          <w:szCs w:val="24"/>
          <w:lang w:val="en-US"/>
        </w:rPr>
        <w:t xml:space="preserve"> </w:t>
      </w:r>
      <w:r w:rsidR="006A24A8" w:rsidRPr="00AD5CF5">
        <w:rPr>
          <w:caps/>
          <w:sz w:val="24"/>
          <w:szCs w:val="24"/>
          <w:lang w:val="en-US"/>
        </w:rPr>
        <w:t>Working Party on Billfish</w:t>
      </w:r>
      <w:bookmarkEnd w:id="81"/>
      <w:r w:rsidR="006A24A8" w:rsidRPr="00AD5CF5">
        <w:rPr>
          <w:sz w:val="24"/>
          <w:szCs w:val="24"/>
        </w:rPr>
        <w:t xml:space="preserve"> </w:t>
      </w:r>
      <w:r w:rsidRPr="0037320B">
        <w:rPr>
          <w:sz w:val="24"/>
          <w:szCs w:val="24"/>
          <w:highlight w:val="yellow"/>
        </w:rPr>
        <w:br/>
      </w:r>
      <w:bookmarkStart w:id="82" w:name="_Toc163032612"/>
      <w:bookmarkStart w:id="83" w:name="_Toc336947272"/>
      <w:bookmarkEnd w:id="78"/>
      <w:bookmarkEnd w:id="79"/>
    </w:p>
    <w:tbl>
      <w:tblPr>
        <w:tblW w:w="9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2"/>
        <w:gridCol w:w="6536"/>
      </w:tblGrid>
      <w:tr w:rsidR="009F2F97" w:rsidRPr="00865A06" w14:paraId="27A42BA5" w14:textId="77777777" w:rsidTr="00D31465">
        <w:trPr>
          <w:cantSplit/>
          <w:trHeight w:val="485"/>
          <w:tblHeader/>
          <w:jc w:val="center"/>
        </w:trPr>
        <w:tc>
          <w:tcPr>
            <w:tcW w:w="3362" w:type="dxa"/>
            <w:vAlign w:val="center"/>
          </w:tcPr>
          <w:p w14:paraId="120FA638" w14:textId="77777777" w:rsidR="009F2F97" w:rsidRPr="009F2F97" w:rsidRDefault="009F2F97" w:rsidP="00D31465">
            <w:pPr>
              <w:rPr>
                <w:rFonts w:ascii="Calibri" w:hAnsi="Calibri" w:cs="Calibri"/>
                <w:b/>
                <w:sz w:val="20"/>
                <w:szCs w:val="20"/>
              </w:rPr>
            </w:pPr>
            <w:r w:rsidRPr="009F2F97">
              <w:rPr>
                <w:rFonts w:ascii="Calibri" w:hAnsi="Calibri" w:cs="Calibri"/>
                <w:b/>
                <w:sz w:val="20"/>
                <w:szCs w:val="20"/>
              </w:rPr>
              <w:t>Document</w:t>
            </w:r>
          </w:p>
        </w:tc>
        <w:tc>
          <w:tcPr>
            <w:tcW w:w="6536" w:type="dxa"/>
            <w:vAlign w:val="center"/>
          </w:tcPr>
          <w:p w14:paraId="7D685C26" w14:textId="77777777" w:rsidR="009F2F97" w:rsidRPr="009F2F97" w:rsidRDefault="009F2F97" w:rsidP="00D31465">
            <w:pPr>
              <w:jc w:val="center"/>
              <w:rPr>
                <w:rFonts w:ascii="Calibri" w:hAnsi="Calibri" w:cs="Calibri"/>
                <w:b/>
                <w:sz w:val="20"/>
                <w:szCs w:val="20"/>
              </w:rPr>
            </w:pPr>
            <w:r w:rsidRPr="009F2F97">
              <w:rPr>
                <w:rFonts w:ascii="Calibri" w:hAnsi="Calibri" w:cs="Calibri"/>
                <w:b/>
                <w:sz w:val="20"/>
                <w:szCs w:val="20"/>
              </w:rPr>
              <w:t>Title</w:t>
            </w:r>
          </w:p>
        </w:tc>
      </w:tr>
      <w:tr w:rsidR="009F2F97" w:rsidRPr="00865A06" w14:paraId="6E00D06E" w14:textId="77777777" w:rsidTr="00D31465">
        <w:trPr>
          <w:cantSplit/>
          <w:jc w:val="center"/>
        </w:trPr>
        <w:tc>
          <w:tcPr>
            <w:tcW w:w="3362" w:type="dxa"/>
            <w:vAlign w:val="center"/>
          </w:tcPr>
          <w:p w14:paraId="602B2CEF"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t>
            </w:r>
            <w:r w:rsidRPr="009F2F97">
              <w:rPr>
                <w:rFonts w:ascii="Calibri" w:hAnsi="Calibri" w:cs="Calibri"/>
                <w:color w:val="000000"/>
                <w:sz w:val="20"/>
                <w:szCs w:val="20"/>
              </w:rPr>
              <w:t>WPB23</w:t>
            </w:r>
            <w:r w:rsidRPr="009F2F97">
              <w:rPr>
                <w:rFonts w:ascii="Calibri" w:hAnsi="Calibri" w:cs="Calibri"/>
                <w:sz w:val="20"/>
                <w:szCs w:val="20"/>
              </w:rPr>
              <w:t>-01a</w:t>
            </w:r>
          </w:p>
        </w:tc>
        <w:tc>
          <w:tcPr>
            <w:tcW w:w="6536" w:type="dxa"/>
            <w:vAlign w:val="center"/>
          </w:tcPr>
          <w:p w14:paraId="7367BE6A"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Agenda of the 23</w:t>
            </w:r>
            <w:r w:rsidRPr="009F2F97">
              <w:rPr>
                <w:rFonts w:ascii="Calibri" w:hAnsi="Calibri" w:cs="Calibri"/>
                <w:sz w:val="20"/>
                <w:szCs w:val="20"/>
                <w:vertAlign w:val="superscript"/>
              </w:rPr>
              <w:t>rd</w:t>
            </w:r>
            <w:r w:rsidRPr="009F2F97">
              <w:rPr>
                <w:rFonts w:ascii="Calibri" w:hAnsi="Calibri" w:cs="Calibri"/>
                <w:sz w:val="20"/>
                <w:szCs w:val="20"/>
              </w:rPr>
              <w:t xml:space="preserve"> Working Party on Billfish</w:t>
            </w:r>
          </w:p>
        </w:tc>
      </w:tr>
      <w:tr w:rsidR="009F2F97" w:rsidRPr="00865A06" w14:paraId="49B5BF38" w14:textId="77777777" w:rsidTr="00D31465">
        <w:trPr>
          <w:cantSplit/>
          <w:jc w:val="center"/>
        </w:trPr>
        <w:tc>
          <w:tcPr>
            <w:tcW w:w="3362" w:type="dxa"/>
            <w:vAlign w:val="center"/>
          </w:tcPr>
          <w:p w14:paraId="304909C4" w14:textId="77777777" w:rsidR="009F2F97" w:rsidRPr="009F2F97" w:rsidRDefault="009F2F97" w:rsidP="00D31465">
            <w:pPr>
              <w:rPr>
                <w:rFonts w:ascii="Calibri" w:hAnsi="Calibri" w:cs="Calibri"/>
                <w:color w:val="000000"/>
                <w:sz w:val="20"/>
                <w:szCs w:val="20"/>
              </w:rPr>
            </w:pPr>
            <w:r w:rsidRPr="009F2F97">
              <w:rPr>
                <w:rFonts w:ascii="Calibri" w:hAnsi="Calibri" w:cs="Calibri"/>
                <w:sz w:val="20"/>
                <w:szCs w:val="20"/>
              </w:rPr>
              <w:t>IOTC-2025-</w:t>
            </w:r>
            <w:r w:rsidRPr="009F2F97">
              <w:rPr>
                <w:rFonts w:ascii="Calibri" w:hAnsi="Calibri" w:cs="Calibri"/>
                <w:color w:val="000000"/>
                <w:sz w:val="20"/>
                <w:szCs w:val="20"/>
              </w:rPr>
              <w:t>WPB23-01b</w:t>
            </w:r>
          </w:p>
        </w:tc>
        <w:tc>
          <w:tcPr>
            <w:tcW w:w="6536" w:type="dxa"/>
            <w:vAlign w:val="center"/>
          </w:tcPr>
          <w:p w14:paraId="7D087D24"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Annotated agenda of the 23</w:t>
            </w:r>
            <w:r w:rsidRPr="009F2F97">
              <w:rPr>
                <w:rFonts w:ascii="Calibri" w:hAnsi="Calibri" w:cs="Calibri"/>
                <w:sz w:val="20"/>
                <w:szCs w:val="20"/>
                <w:vertAlign w:val="superscript"/>
              </w:rPr>
              <w:t>rd</w:t>
            </w:r>
            <w:r w:rsidRPr="009F2F97">
              <w:rPr>
                <w:rFonts w:ascii="Calibri" w:hAnsi="Calibri" w:cs="Calibri"/>
                <w:sz w:val="20"/>
                <w:szCs w:val="20"/>
              </w:rPr>
              <w:t xml:space="preserve"> Working Party on Billfish</w:t>
            </w:r>
          </w:p>
        </w:tc>
      </w:tr>
      <w:tr w:rsidR="009F2F97" w:rsidRPr="00865A06" w14:paraId="7ADC5E07" w14:textId="77777777" w:rsidTr="00D31465">
        <w:trPr>
          <w:cantSplit/>
          <w:jc w:val="center"/>
        </w:trPr>
        <w:tc>
          <w:tcPr>
            <w:tcW w:w="3362" w:type="dxa"/>
            <w:vAlign w:val="center"/>
          </w:tcPr>
          <w:p w14:paraId="5C75ABF9" w14:textId="77777777" w:rsidR="009F2F97" w:rsidRPr="009F2F97" w:rsidRDefault="009F2F97" w:rsidP="00D31465">
            <w:pPr>
              <w:rPr>
                <w:rFonts w:ascii="Calibri" w:hAnsi="Calibri" w:cs="Calibri"/>
                <w:color w:val="000000"/>
                <w:sz w:val="20"/>
                <w:szCs w:val="20"/>
              </w:rPr>
            </w:pPr>
            <w:r w:rsidRPr="009F2F97">
              <w:rPr>
                <w:rFonts w:ascii="Calibri" w:hAnsi="Calibri" w:cs="Calibri"/>
                <w:sz w:val="20"/>
                <w:szCs w:val="20"/>
              </w:rPr>
              <w:t>IOTC-2025-</w:t>
            </w:r>
            <w:r w:rsidRPr="009F2F97">
              <w:rPr>
                <w:rFonts w:ascii="Calibri" w:hAnsi="Calibri" w:cs="Calibri"/>
                <w:color w:val="000000"/>
                <w:sz w:val="20"/>
                <w:szCs w:val="20"/>
              </w:rPr>
              <w:t>WPB23-02</w:t>
            </w:r>
          </w:p>
        </w:tc>
        <w:tc>
          <w:tcPr>
            <w:tcW w:w="6536" w:type="dxa"/>
            <w:vAlign w:val="center"/>
          </w:tcPr>
          <w:p w14:paraId="29534720"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List of documents of the 23</w:t>
            </w:r>
            <w:r w:rsidRPr="009F2F97">
              <w:rPr>
                <w:rFonts w:ascii="Calibri" w:hAnsi="Calibri" w:cs="Calibri"/>
                <w:sz w:val="20"/>
                <w:szCs w:val="20"/>
                <w:vertAlign w:val="superscript"/>
              </w:rPr>
              <w:t xml:space="preserve">rd </w:t>
            </w:r>
            <w:r w:rsidRPr="009F2F97">
              <w:rPr>
                <w:rFonts w:ascii="Calibri" w:hAnsi="Calibri" w:cs="Calibri"/>
                <w:sz w:val="20"/>
                <w:szCs w:val="20"/>
              </w:rPr>
              <w:t>Working Party on Billfish</w:t>
            </w:r>
          </w:p>
        </w:tc>
      </w:tr>
      <w:tr w:rsidR="009F2F97" w:rsidRPr="00865A06" w14:paraId="0F18541F" w14:textId="77777777" w:rsidTr="00D31465">
        <w:trPr>
          <w:cantSplit/>
          <w:jc w:val="center"/>
        </w:trPr>
        <w:tc>
          <w:tcPr>
            <w:tcW w:w="3362" w:type="dxa"/>
            <w:vAlign w:val="center"/>
          </w:tcPr>
          <w:p w14:paraId="731036B7"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t>
            </w:r>
            <w:r w:rsidRPr="009F2F97">
              <w:rPr>
                <w:rFonts w:ascii="Calibri" w:hAnsi="Calibri" w:cs="Calibri"/>
                <w:color w:val="000000"/>
                <w:sz w:val="20"/>
                <w:szCs w:val="20"/>
              </w:rPr>
              <w:t>WPB23</w:t>
            </w:r>
            <w:r w:rsidRPr="009F2F97">
              <w:rPr>
                <w:rFonts w:ascii="Calibri" w:hAnsi="Calibri" w:cs="Calibri"/>
                <w:sz w:val="20"/>
                <w:szCs w:val="20"/>
              </w:rPr>
              <w:t>-03</w:t>
            </w:r>
          </w:p>
        </w:tc>
        <w:tc>
          <w:tcPr>
            <w:tcW w:w="6536" w:type="dxa"/>
            <w:vAlign w:val="center"/>
          </w:tcPr>
          <w:p w14:paraId="500FF434" w14:textId="77777777" w:rsidR="009F2F97" w:rsidRPr="009F2F97" w:rsidRDefault="009F2F97" w:rsidP="00D31465">
            <w:pPr>
              <w:keepNext/>
              <w:tabs>
                <w:tab w:val="left" w:pos="0"/>
              </w:tabs>
              <w:outlineLvl w:val="0"/>
              <w:rPr>
                <w:rFonts w:ascii="Calibri" w:hAnsi="Calibri" w:cs="Calibri"/>
                <w:bCs/>
                <w:color w:val="000000"/>
                <w:kern w:val="28"/>
                <w:sz w:val="20"/>
                <w:szCs w:val="20"/>
              </w:rPr>
            </w:pPr>
            <w:r w:rsidRPr="009F2F97">
              <w:rPr>
                <w:rFonts w:ascii="Calibri" w:hAnsi="Calibri" w:cs="Calibri"/>
                <w:bCs/>
                <w:color w:val="000000"/>
                <w:kern w:val="28"/>
                <w:sz w:val="20"/>
                <w:szCs w:val="20"/>
              </w:rPr>
              <w:t>Outcomes of the 27</w:t>
            </w:r>
            <w:r w:rsidRPr="009F2F97">
              <w:rPr>
                <w:rFonts w:ascii="Calibri" w:hAnsi="Calibri" w:cs="Calibri"/>
                <w:bCs/>
                <w:color w:val="000000"/>
                <w:kern w:val="28"/>
                <w:sz w:val="20"/>
                <w:szCs w:val="20"/>
                <w:vertAlign w:val="superscript"/>
              </w:rPr>
              <w:t>th</w:t>
            </w:r>
            <w:r w:rsidRPr="009F2F97">
              <w:rPr>
                <w:rFonts w:ascii="Calibri" w:hAnsi="Calibri" w:cs="Calibri"/>
                <w:bCs/>
                <w:color w:val="000000"/>
                <w:kern w:val="28"/>
                <w:sz w:val="20"/>
                <w:szCs w:val="20"/>
              </w:rPr>
              <w:t xml:space="preserve"> Session of the Scientific Committee (IOTC Secretariat)</w:t>
            </w:r>
          </w:p>
        </w:tc>
      </w:tr>
      <w:tr w:rsidR="009F2F97" w:rsidRPr="00865A06" w14:paraId="45E95E13" w14:textId="77777777" w:rsidTr="00D31465">
        <w:trPr>
          <w:cantSplit/>
          <w:jc w:val="center"/>
        </w:trPr>
        <w:tc>
          <w:tcPr>
            <w:tcW w:w="3362" w:type="dxa"/>
            <w:vAlign w:val="center"/>
          </w:tcPr>
          <w:p w14:paraId="335FEBF3"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t>
            </w:r>
            <w:r w:rsidRPr="009F2F97">
              <w:rPr>
                <w:rFonts w:ascii="Calibri" w:hAnsi="Calibri" w:cs="Calibri"/>
                <w:color w:val="000000"/>
                <w:sz w:val="20"/>
                <w:szCs w:val="20"/>
              </w:rPr>
              <w:t>WPB23</w:t>
            </w:r>
            <w:r w:rsidRPr="009F2F97">
              <w:rPr>
                <w:rFonts w:ascii="Calibri" w:hAnsi="Calibri" w:cs="Calibri"/>
                <w:sz w:val="20"/>
                <w:szCs w:val="20"/>
              </w:rPr>
              <w:t>-04</w:t>
            </w:r>
          </w:p>
        </w:tc>
        <w:tc>
          <w:tcPr>
            <w:tcW w:w="6536" w:type="dxa"/>
            <w:vAlign w:val="center"/>
          </w:tcPr>
          <w:p w14:paraId="01EB9615" w14:textId="77777777" w:rsidR="009F2F97" w:rsidRPr="009F2F97" w:rsidRDefault="009F2F97" w:rsidP="00D31465">
            <w:pPr>
              <w:tabs>
                <w:tab w:val="left" w:pos="0"/>
              </w:tabs>
              <w:rPr>
                <w:rFonts w:ascii="Calibri" w:hAnsi="Calibri" w:cs="Calibri"/>
                <w:bCs/>
                <w:color w:val="000000"/>
                <w:sz w:val="20"/>
                <w:szCs w:val="20"/>
              </w:rPr>
            </w:pPr>
            <w:r w:rsidRPr="009F2F97">
              <w:rPr>
                <w:rFonts w:ascii="Calibri" w:hAnsi="Calibri" w:cs="Calibri"/>
                <w:bCs/>
                <w:color w:val="000000"/>
                <w:sz w:val="20"/>
                <w:szCs w:val="20"/>
              </w:rPr>
              <w:t>Outcomes of the 29</w:t>
            </w:r>
            <w:r w:rsidRPr="009F2F97">
              <w:rPr>
                <w:rFonts w:ascii="Calibri" w:hAnsi="Calibri" w:cs="Calibri"/>
                <w:bCs/>
                <w:color w:val="000000"/>
                <w:sz w:val="20"/>
                <w:szCs w:val="20"/>
                <w:vertAlign w:val="superscript"/>
              </w:rPr>
              <w:t>th</w:t>
            </w:r>
            <w:r w:rsidRPr="009F2F97">
              <w:rPr>
                <w:rFonts w:ascii="Calibri" w:hAnsi="Calibri" w:cs="Calibri"/>
                <w:bCs/>
                <w:color w:val="000000"/>
                <w:sz w:val="20"/>
                <w:szCs w:val="20"/>
              </w:rPr>
              <w:t xml:space="preserve"> Session of the Commission (IOTC Secretariat)</w:t>
            </w:r>
          </w:p>
        </w:tc>
      </w:tr>
      <w:tr w:rsidR="009F2F97" w:rsidRPr="00865A06" w14:paraId="4535A248" w14:textId="77777777" w:rsidTr="00D31465">
        <w:trPr>
          <w:cantSplit/>
          <w:jc w:val="center"/>
        </w:trPr>
        <w:tc>
          <w:tcPr>
            <w:tcW w:w="3362" w:type="dxa"/>
            <w:vAlign w:val="center"/>
          </w:tcPr>
          <w:p w14:paraId="24CACC75"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t>
            </w:r>
            <w:r w:rsidRPr="009F2F97">
              <w:rPr>
                <w:rFonts w:ascii="Calibri" w:hAnsi="Calibri" w:cs="Calibri"/>
                <w:color w:val="000000"/>
                <w:sz w:val="20"/>
                <w:szCs w:val="20"/>
              </w:rPr>
              <w:t>WPB23</w:t>
            </w:r>
            <w:r w:rsidRPr="009F2F97">
              <w:rPr>
                <w:rFonts w:ascii="Calibri" w:hAnsi="Calibri" w:cs="Calibri"/>
                <w:sz w:val="20"/>
                <w:szCs w:val="20"/>
              </w:rPr>
              <w:t>-05</w:t>
            </w:r>
          </w:p>
        </w:tc>
        <w:tc>
          <w:tcPr>
            <w:tcW w:w="6536" w:type="dxa"/>
            <w:vAlign w:val="center"/>
          </w:tcPr>
          <w:p w14:paraId="13126EE9"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Review of Conservation and Management Measures relevant to billfish (IOTC Secretariat)</w:t>
            </w:r>
          </w:p>
        </w:tc>
      </w:tr>
      <w:tr w:rsidR="009F2F97" w:rsidRPr="00865A06" w14:paraId="04D58E88" w14:textId="77777777" w:rsidTr="00D31465">
        <w:trPr>
          <w:cantSplit/>
          <w:jc w:val="center"/>
        </w:trPr>
        <w:tc>
          <w:tcPr>
            <w:tcW w:w="3362" w:type="dxa"/>
            <w:vAlign w:val="center"/>
          </w:tcPr>
          <w:p w14:paraId="359F827E" w14:textId="77777777" w:rsidR="009F2F97" w:rsidRPr="009F2F97" w:rsidRDefault="009F2F97" w:rsidP="00D31465">
            <w:pPr>
              <w:rPr>
                <w:rFonts w:ascii="Calibri" w:hAnsi="Calibri" w:cs="Calibri"/>
                <w:color w:val="000000"/>
                <w:sz w:val="20"/>
                <w:szCs w:val="20"/>
              </w:rPr>
            </w:pPr>
            <w:r w:rsidRPr="009F2F97">
              <w:rPr>
                <w:rFonts w:ascii="Calibri" w:hAnsi="Calibri" w:cs="Calibri"/>
                <w:sz w:val="20"/>
                <w:szCs w:val="20"/>
              </w:rPr>
              <w:t>IOTC-2025-</w:t>
            </w:r>
            <w:r w:rsidRPr="009F2F97">
              <w:rPr>
                <w:rFonts w:ascii="Calibri" w:hAnsi="Calibri" w:cs="Calibri"/>
                <w:color w:val="000000"/>
                <w:sz w:val="20"/>
                <w:szCs w:val="20"/>
              </w:rPr>
              <w:t>WPB23-06</w:t>
            </w:r>
          </w:p>
        </w:tc>
        <w:tc>
          <w:tcPr>
            <w:tcW w:w="6536" w:type="dxa"/>
            <w:vAlign w:val="center"/>
          </w:tcPr>
          <w:p w14:paraId="435DE98D" w14:textId="77777777" w:rsidR="009F2F97" w:rsidRPr="009F2F97" w:rsidRDefault="009F2F97" w:rsidP="00D31465">
            <w:pPr>
              <w:rPr>
                <w:rFonts w:ascii="Calibri" w:hAnsi="Calibri" w:cs="Calibri"/>
                <w:bCs/>
                <w:color w:val="000000"/>
                <w:sz w:val="20"/>
                <w:szCs w:val="20"/>
              </w:rPr>
            </w:pPr>
            <w:r w:rsidRPr="009F2F97">
              <w:rPr>
                <w:rFonts w:ascii="Calibri" w:hAnsi="Calibri" w:cs="Calibri"/>
                <w:bCs/>
                <w:color w:val="000000"/>
                <w:sz w:val="20"/>
                <w:szCs w:val="20"/>
              </w:rPr>
              <w:t>Progress made on the recommendations and requests of WPB22 and SC27 (IOTC Secretariat)</w:t>
            </w:r>
          </w:p>
        </w:tc>
      </w:tr>
      <w:tr w:rsidR="009F2F97" w:rsidRPr="00865A06" w14:paraId="7CD48C76" w14:textId="77777777" w:rsidTr="00D31465">
        <w:trPr>
          <w:cantSplit/>
          <w:jc w:val="center"/>
        </w:trPr>
        <w:tc>
          <w:tcPr>
            <w:tcW w:w="3362" w:type="dxa"/>
            <w:vAlign w:val="center"/>
          </w:tcPr>
          <w:p w14:paraId="0FC9B5C0" w14:textId="77777777" w:rsidR="009F2F97" w:rsidRPr="009F2F97" w:rsidRDefault="009F2F97" w:rsidP="00D31465">
            <w:pPr>
              <w:rPr>
                <w:rFonts w:ascii="Calibri" w:hAnsi="Calibri" w:cs="Calibri"/>
                <w:color w:val="000000" w:themeColor="text1"/>
                <w:sz w:val="20"/>
                <w:szCs w:val="20"/>
              </w:rPr>
            </w:pPr>
            <w:bookmarkStart w:id="84" w:name="OLE_LINK11"/>
            <w:bookmarkStart w:id="85" w:name="OLE_LINK12"/>
            <w:r w:rsidRPr="009F2F97">
              <w:rPr>
                <w:rFonts w:ascii="Calibri" w:hAnsi="Calibri" w:cs="Calibri"/>
                <w:sz w:val="20"/>
                <w:szCs w:val="20"/>
              </w:rPr>
              <w:t>IOTC-2025-</w:t>
            </w:r>
            <w:r w:rsidRPr="009F2F97">
              <w:rPr>
                <w:rFonts w:ascii="Calibri" w:hAnsi="Calibri" w:cs="Calibri"/>
                <w:color w:val="000000"/>
                <w:sz w:val="20"/>
                <w:szCs w:val="20"/>
              </w:rPr>
              <w:t>WPB23</w:t>
            </w:r>
            <w:r w:rsidRPr="009F2F97">
              <w:rPr>
                <w:rFonts w:ascii="Calibri" w:hAnsi="Calibri" w:cs="Calibri"/>
                <w:color w:val="000000" w:themeColor="text1"/>
                <w:sz w:val="20"/>
                <w:szCs w:val="20"/>
              </w:rPr>
              <w:t>-07</w:t>
            </w:r>
            <w:bookmarkEnd w:id="84"/>
            <w:bookmarkEnd w:id="85"/>
          </w:p>
        </w:tc>
        <w:tc>
          <w:tcPr>
            <w:tcW w:w="6536" w:type="dxa"/>
            <w:vAlign w:val="center"/>
          </w:tcPr>
          <w:p w14:paraId="484E3F05" w14:textId="77777777" w:rsidR="009F2F97" w:rsidRPr="009F2F97" w:rsidRDefault="009F2F97" w:rsidP="00D31465">
            <w:pPr>
              <w:rPr>
                <w:rFonts w:ascii="Calibri" w:hAnsi="Calibri" w:cs="Calibri"/>
                <w:color w:val="000000"/>
                <w:sz w:val="20"/>
                <w:szCs w:val="20"/>
              </w:rPr>
            </w:pPr>
            <w:bookmarkStart w:id="86" w:name="OLE_LINK9"/>
            <w:bookmarkStart w:id="87" w:name="OLE_LINK10"/>
            <w:r w:rsidRPr="009F2F97">
              <w:rPr>
                <w:rFonts w:ascii="Calibri" w:hAnsi="Calibri" w:cs="Calibri"/>
                <w:bCs/>
                <w:color w:val="000000"/>
                <w:sz w:val="20"/>
                <w:szCs w:val="20"/>
              </w:rPr>
              <w:t xml:space="preserve">Review of the statistical data and fishery trends for billfish species </w:t>
            </w:r>
            <w:bookmarkEnd w:id="86"/>
            <w:bookmarkEnd w:id="87"/>
            <w:r w:rsidRPr="009F2F97">
              <w:rPr>
                <w:rFonts w:ascii="Calibri" w:hAnsi="Calibri" w:cs="Calibri"/>
                <w:bCs/>
                <w:color w:val="000000"/>
                <w:sz w:val="20"/>
                <w:szCs w:val="20"/>
              </w:rPr>
              <w:t>(IOTC Secretariat)</w:t>
            </w:r>
          </w:p>
        </w:tc>
      </w:tr>
      <w:tr w:rsidR="009F2F97" w:rsidRPr="00865A06" w14:paraId="1E17E58A" w14:textId="77777777" w:rsidTr="00D31465">
        <w:trPr>
          <w:cantSplit/>
          <w:jc w:val="center"/>
        </w:trPr>
        <w:tc>
          <w:tcPr>
            <w:tcW w:w="3362" w:type="dxa"/>
            <w:vAlign w:val="center"/>
          </w:tcPr>
          <w:p w14:paraId="011D8F6B" w14:textId="77777777" w:rsidR="009F2F97" w:rsidRPr="009F2F97" w:rsidRDefault="009F2F97" w:rsidP="00D31465">
            <w:pPr>
              <w:rPr>
                <w:rFonts w:ascii="Calibri" w:hAnsi="Calibri" w:cs="Calibri"/>
                <w:color w:val="000000" w:themeColor="text1"/>
                <w:sz w:val="20"/>
                <w:szCs w:val="20"/>
              </w:rPr>
            </w:pPr>
            <w:r w:rsidRPr="009F2F97">
              <w:rPr>
                <w:rFonts w:ascii="Calibri" w:hAnsi="Calibri" w:cs="Calibri"/>
                <w:sz w:val="20"/>
                <w:szCs w:val="20"/>
              </w:rPr>
              <w:t>IOTC-2025-</w:t>
            </w:r>
            <w:r w:rsidRPr="009F2F97">
              <w:rPr>
                <w:rFonts w:ascii="Calibri" w:hAnsi="Calibri" w:cs="Calibri"/>
                <w:color w:val="000000"/>
                <w:sz w:val="20"/>
                <w:szCs w:val="20"/>
              </w:rPr>
              <w:t>WPB23</w:t>
            </w:r>
            <w:r w:rsidRPr="009F2F97">
              <w:rPr>
                <w:rFonts w:ascii="Calibri" w:hAnsi="Calibri" w:cs="Calibri"/>
                <w:color w:val="000000" w:themeColor="text1"/>
                <w:sz w:val="20"/>
                <w:szCs w:val="20"/>
              </w:rPr>
              <w:t>-08</w:t>
            </w:r>
          </w:p>
        </w:tc>
        <w:tc>
          <w:tcPr>
            <w:tcW w:w="6536" w:type="dxa"/>
            <w:vAlign w:val="center"/>
          </w:tcPr>
          <w:p w14:paraId="6613BBC8" w14:textId="77777777" w:rsidR="009F2F97" w:rsidRPr="009F2F97" w:rsidRDefault="009F2F97" w:rsidP="00D31465">
            <w:pPr>
              <w:rPr>
                <w:rFonts w:ascii="Calibri" w:hAnsi="Calibri" w:cs="Calibri"/>
                <w:i/>
                <w:color w:val="000000"/>
                <w:sz w:val="20"/>
                <w:szCs w:val="20"/>
              </w:rPr>
            </w:pPr>
            <w:r w:rsidRPr="009F2F97">
              <w:rPr>
                <w:rFonts w:ascii="Calibri" w:hAnsi="Calibri" w:cs="Calibri"/>
                <w:bCs/>
                <w:color w:val="000000"/>
                <w:sz w:val="20"/>
                <w:szCs w:val="20"/>
              </w:rPr>
              <w:t>Revision of the WPB Program of Work (2026-2030) (IOTC Secretariat)</w:t>
            </w:r>
          </w:p>
        </w:tc>
      </w:tr>
      <w:tr w:rsidR="009F2F97" w:rsidRPr="00865A06" w14:paraId="05F435E3" w14:textId="77777777" w:rsidTr="00D31465">
        <w:trPr>
          <w:cantSplit/>
          <w:jc w:val="center"/>
        </w:trPr>
        <w:tc>
          <w:tcPr>
            <w:tcW w:w="3362" w:type="dxa"/>
            <w:vAlign w:val="center"/>
          </w:tcPr>
          <w:p w14:paraId="15CDA412" w14:textId="77777777" w:rsidR="009F2F97" w:rsidRPr="009F2F97" w:rsidRDefault="009F2F97" w:rsidP="00D31465">
            <w:pPr>
              <w:rPr>
                <w:rFonts w:ascii="Calibri" w:hAnsi="Calibri" w:cs="Calibri"/>
                <w:color w:val="000000"/>
                <w:sz w:val="20"/>
                <w:szCs w:val="20"/>
              </w:rPr>
            </w:pPr>
            <w:r w:rsidRPr="009F2F97">
              <w:rPr>
                <w:rFonts w:ascii="Calibri" w:hAnsi="Calibri" w:cs="Calibri"/>
                <w:sz w:val="20"/>
                <w:szCs w:val="20"/>
              </w:rPr>
              <w:t>IOTC-2025-WPB23-10</w:t>
            </w:r>
          </w:p>
        </w:tc>
        <w:tc>
          <w:tcPr>
            <w:tcW w:w="6536" w:type="dxa"/>
            <w:vAlign w:val="bottom"/>
          </w:tcPr>
          <w:p w14:paraId="0D1BFE37" w14:textId="77777777" w:rsidR="009F2F97" w:rsidRPr="009F2F97" w:rsidRDefault="009F2F97" w:rsidP="00D31465">
            <w:pPr>
              <w:rPr>
                <w:rFonts w:ascii="Calibri" w:hAnsi="Calibri" w:cs="Calibri"/>
                <w:bCs/>
                <w:color w:val="000000"/>
                <w:sz w:val="20"/>
                <w:szCs w:val="20"/>
              </w:rPr>
            </w:pPr>
            <w:r w:rsidRPr="009F2F97">
              <w:rPr>
                <w:rFonts w:ascii="Calibri" w:hAnsi="Calibri" w:cs="Calibri"/>
                <w:sz w:val="20"/>
                <w:szCs w:val="20"/>
                <w:lang w:val="en-US"/>
              </w:rPr>
              <w:t>Billfish resources of India with special reference to the fishery and biology of blue marlin (Makaira nigricans) landed caught from the Eastern Arabian Sea (</w:t>
            </w:r>
            <w:r w:rsidRPr="009F2F97">
              <w:rPr>
                <w:rFonts w:ascii="Calibri" w:hAnsi="Calibri" w:cs="Calibri"/>
                <w:sz w:val="20"/>
                <w:szCs w:val="20"/>
              </w:rPr>
              <w:t>Surya S, Abdusamad E, Mini K, Rajesh K, Manas H, Abdul A, Anulekshmi C, Vinothkumar R, Santhosh B, Shoba J, Grinson G</w:t>
            </w:r>
            <w:r w:rsidRPr="009F2F97">
              <w:rPr>
                <w:rFonts w:ascii="Calibri" w:hAnsi="Calibri" w:cs="Calibri"/>
                <w:sz w:val="20"/>
                <w:szCs w:val="20"/>
                <w:lang w:val="en-US"/>
              </w:rPr>
              <w:t>)</w:t>
            </w:r>
          </w:p>
        </w:tc>
      </w:tr>
      <w:tr w:rsidR="009F2F97" w:rsidRPr="00865A06" w14:paraId="2B7224A1" w14:textId="77777777" w:rsidTr="00D31465">
        <w:trPr>
          <w:cantSplit/>
          <w:jc w:val="center"/>
        </w:trPr>
        <w:tc>
          <w:tcPr>
            <w:tcW w:w="3362" w:type="dxa"/>
            <w:vAlign w:val="center"/>
          </w:tcPr>
          <w:p w14:paraId="04C3F7E5"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IOTC-2025-WPB23-11</w:t>
            </w:r>
          </w:p>
        </w:tc>
        <w:tc>
          <w:tcPr>
            <w:tcW w:w="6536" w:type="dxa"/>
            <w:vAlign w:val="bottom"/>
          </w:tcPr>
          <w:p w14:paraId="6D09C908"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US"/>
              </w:rPr>
            </w:pPr>
            <w:r w:rsidRPr="009F2F97">
              <w:rPr>
                <w:rFonts w:ascii="Calibri" w:hAnsi="Calibri" w:cs="Calibri"/>
                <w:sz w:val="20"/>
                <w:szCs w:val="20"/>
              </w:rPr>
              <w:t>Billfish landing by foreign IOTC fishing vessels at Thai fishing ports during 2020 – 2024 (Thitipongtrakul W, Kumyoo C)</w:t>
            </w:r>
          </w:p>
        </w:tc>
      </w:tr>
      <w:tr w:rsidR="009F2F97" w:rsidRPr="00865A06" w14:paraId="0F172952" w14:textId="77777777" w:rsidTr="00D31465">
        <w:trPr>
          <w:cantSplit/>
          <w:jc w:val="center"/>
        </w:trPr>
        <w:tc>
          <w:tcPr>
            <w:tcW w:w="3362" w:type="dxa"/>
            <w:vAlign w:val="center"/>
          </w:tcPr>
          <w:p w14:paraId="54F3FD8B" w14:textId="77777777" w:rsidR="009F2F97" w:rsidRPr="009F2F97" w:rsidRDefault="009F2F97" w:rsidP="00D31465">
            <w:pPr>
              <w:rPr>
                <w:rFonts w:ascii="Calibri" w:hAnsi="Calibri" w:cs="Calibri"/>
                <w:bCs/>
                <w:color w:val="000000"/>
                <w:sz w:val="20"/>
                <w:szCs w:val="20"/>
                <w:lang w:val="fr-FR"/>
              </w:rPr>
            </w:pPr>
            <w:r w:rsidRPr="009F2F97">
              <w:rPr>
                <w:rFonts w:ascii="Calibri" w:hAnsi="Calibri" w:cs="Calibri"/>
                <w:sz w:val="20"/>
                <w:szCs w:val="20"/>
              </w:rPr>
              <w:t>IOTC-2025-WPB23-12</w:t>
            </w:r>
          </w:p>
        </w:tc>
        <w:tc>
          <w:tcPr>
            <w:tcW w:w="6536" w:type="dxa"/>
            <w:vAlign w:val="bottom"/>
          </w:tcPr>
          <w:p w14:paraId="2F529B28"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US"/>
              </w:rPr>
            </w:pPr>
            <w:r w:rsidRPr="009F2F97">
              <w:rPr>
                <w:rFonts w:ascii="Calibri" w:hAnsi="Calibri" w:cs="Calibri"/>
                <w:sz w:val="20"/>
                <w:szCs w:val="20"/>
              </w:rPr>
              <w:t>Spatial temporal distribution of for Swordfish (Xiphias Gladius) catches and catch rates from the Kenyan industrial longline fishery (Lukhwenda P)</w:t>
            </w:r>
          </w:p>
        </w:tc>
      </w:tr>
      <w:tr w:rsidR="009F2F97" w:rsidRPr="00865A06" w14:paraId="75705DB9" w14:textId="77777777" w:rsidTr="00D31465">
        <w:trPr>
          <w:cantSplit/>
          <w:jc w:val="center"/>
        </w:trPr>
        <w:tc>
          <w:tcPr>
            <w:tcW w:w="3362" w:type="dxa"/>
            <w:vAlign w:val="center"/>
          </w:tcPr>
          <w:p w14:paraId="0698F5D3"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IOTC-2025-WPB23-13</w:t>
            </w:r>
          </w:p>
        </w:tc>
        <w:tc>
          <w:tcPr>
            <w:tcW w:w="6536" w:type="dxa"/>
            <w:vAlign w:val="bottom"/>
          </w:tcPr>
          <w:p w14:paraId="351B5A9F"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US"/>
              </w:rPr>
            </w:pPr>
            <w:r w:rsidRPr="009F2F97">
              <w:rPr>
                <w:rFonts w:ascii="Calibri" w:hAnsi="Calibri" w:cs="Calibri"/>
                <w:sz w:val="20"/>
                <w:szCs w:val="20"/>
              </w:rPr>
              <w:t>Spatio-temporal Trends of Sailfish (Istiophorus platypterus) Catch Rates in the Sri Lankan Tuna Longline Fishery (Gunasekara S, Jayasinghe R)</w:t>
            </w:r>
          </w:p>
        </w:tc>
      </w:tr>
      <w:tr w:rsidR="009F2F97" w:rsidRPr="00865A06" w14:paraId="5961E1FE" w14:textId="77777777" w:rsidTr="00D31465">
        <w:trPr>
          <w:cantSplit/>
          <w:jc w:val="center"/>
        </w:trPr>
        <w:tc>
          <w:tcPr>
            <w:tcW w:w="3362" w:type="dxa"/>
          </w:tcPr>
          <w:p w14:paraId="305D92F6"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IOTC-2025-WPB23-15</w:t>
            </w:r>
          </w:p>
        </w:tc>
        <w:tc>
          <w:tcPr>
            <w:tcW w:w="6536" w:type="dxa"/>
            <w:vAlign w:val="bottom"/>
          </w:tcPr>
          <w:p w14:paraId="10DBC003"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US" w:eastAsia="zh-CN"/>
              </w:rPr>
            </w:pPr>
            <w:r w:rsidRPr="009F2F97">
              <w:rPr>
                <w:rFonts w:ascii="Calibri" w:hAnsi="Calibri" w:cs="Calibri"/>
                <w:sz w:val="20"/>
                <w:szCs w:val="20"/>
              </w:rPr>
              <w:t>Update on CPUE Standardization of Blue Marlin (Makaira nigricans) from Indonesian Tuna Longline Fleets 2006-2023 (Setyadji B, Spencer M, Kell L, Wright S, Ferson S)</w:t>
            </w:r>
          </w:p>
        </w:tc>
      </w:tr>
      <w:tr w:rsidR="009F2F97" w:rsidRPr="00865A06" w14:paraId="4980F3F3" w14:textId="77777777" w:rsidTr="00D31465">
        <w:trPr>
          <w:cantSplit/>
          <w:jc w:val="center"/>
        </w:trPr>
        <w:tc>
          <w:tcPr>
            <w:tcW w:w="3362" w:type="dxa"/>
          </w:tcPr>
          <w:p w14:paraId="1B27C23D"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IOTC-2025-WPB23-16</w:t>
            </w:r>
          </w:p>
        </w:tc>
        <w:tc>
          <w:tcPr>
            <w:tcW w:w="6536" w:type="dxa"/>
            <w:vAlign w:val="bottom"/>
          </w:tcPr>
          <w:p w14:paraId="5F536664"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SC"/>
              </w:rPr>
            </w:pPr>
            <w:r w:rsidRPr="009F2F97">
              <w:rPr>
                <w:rFonts w:ascii="Calibri" w:hAnsi="Calibri" w:cs="Calibri"/>
                <w:sz w:val="20"/>
                <w:szCs w:val="20"/>
                <w:lang w:val="en-SC"/>
              </w:rPr>
              <w:t>Spatio-temporal model for CPUE standardization: application</w:t>
            </w:r>
          </w:p>
          <w:p w14:paraId="1D8BE811"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SC"/>
              </w:rPr>
            </w:pPr>
            <w:r w:rsidRPr="009F2F97">
              <w:rPr>
                <w:rFonts w:ascii="Calibri" w:hAnsi="Calibri" w:cs="Calibri"/>
                <w:sz w:val="20"/>
                <w:szCs w:val="20"/>
                <w:lang w:val="en-SC"/>
              </w:rPr>
              <w:t>to blue marlin caught by Japanese tuna longline fishery in</w:t>
            </w:r>
          </w:p>
          <w:p w14:paraId="1B529092"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US"/>
              </w:rPr>
            </w:pPr>
            <w:r w:rsidRPr="009F2F97">
              <w:rPr>
                <w:rFonts w:ascii="Calibri" w:hAnsi="Calibri" w:cs="Calibri"/>
                <w:sz w:val="20"/>
                <w:szCs w:val="20"/>
                <w:lang w:val="en-SC"/>
              </w:rPr>
              <w:t>the Indian ocean from 1979 to 2023 (Kai M)</w:t>
            </w:r>
          </w:p>
        </w:tc>
      </w:tr>
      <w:tr w:rsidR="009F2F97" w:rsidRPr="00865A06" w14:paraId="286D5C06" w14:textId="77777777" w:rsidTr="00D31465">
        <w:trPr>
          <w:cantSplit/>
          <w:jc w:val="center"/>
        </w:trPr>
        <w:tc>
          <w:tcPr>
            <w:tcW w:w="3362" w:type="dxa"/>
          </w:tcPr>
          <w:p w14:paraId="731B92FB"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IOTC-2025-WPB23-17</w:t>
            </w:r>
          </w:p>
        </w:tc>
        <w:tc>
          <w:tcPr>
            <w:tcW w:w="6536" w:type="dxa"/>
            <w:vAlign w:val="bottom"/>
          </w:tcPr>
          <w:p w14:paraId="03E2A1FF"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SC"/>
              </w:rPr>
            </w:pPr>
            <w:r w:rsidRPr="009F2F97">
              <w:rPr>
                <w:rFonts w:ascii="Calibri" w:hAnsi="Calibri" w:cs="Calibri"/>
                <w:sz w:val="20"/>
                <w:szCs w:val="20"/>
              </w:rPr>
              <w:t>CPUE standardization of blue marlin (Makaira nigricans) caught by the Taiwanese large-scale longline fishery in the Indian Ocean using GLM and sdmTMB (Xu W, Lin C, Wang S)</w:t>
            </w:r>
          </w:p>
        </w:tc>
      </w:tr>
      <w:tr w:rsidR="009F2F97" w:rsidRPr="00865A06" w14:paraId="7B45A5C2" w14:textId="77777777" w:rsidTr="00D31465">
        <w:trPr>
          <w:cantSplit/>
          <w:jc w:val="center"/>
        </w:trPr>
        <w:tc>
          <w:tcPr>
            <w:tcW w:w="3362" w:type="dxa"/>
          </w:tcPr>
          <w:p w14:paraId="0670285A" w14:textId="77777777" w:rsidR="009F2F97" w:rsidRPr="009F2F97" w:rsidRDefault="009F2F97" w:rsidP="00D31465">
            <w:pPr>
              <w:rPr>
                <w:rFonts w:ascii="Calibri" w:hAnsi="Calibri" w:cs="Calibri"/>
                <w:sz w:val="20"/>
                <w:szCs w:val="20"/>
              </w:rPr>
            </w:pPr>
          </w:p>
          <w:p w14:paraId="17C8B3D4" w14:textId="77777777" w:rsidR="009F2F97" w:rsidRPr="009F2F97" w:rsidRDefault="009F2F97" w:rsidP="00D31465">
            <w:pPr>
              <w:tabs>
                <w:tab w:val="left" w:pos="2339"/>
              </w:tabs>
              <w:rPr>
                <w:rFonts w:ascii="Calibri" w:hAnsi="Calibri" w:cs="Calibri"/>
                <w:sz w:val="20"/>
                <w:szCs w:val="20"/>
              </w:rPr>
            </w:pPr>
            <w:r w:rsidRPr="009F2F97">
              <w:rPr>
                <w:rFonts w:ascii="Calibri" w:hAnsi="Calibri" w:cs="Calibri"/>
                <w:sz w:val="20"/>
                <w:szCs w:val="20"/>
              </w:rPr>
              <w:t>IOTC-2025-WPB23-18</w:t>
            </w:r>
            <w:r w:rsidRPr="009F2F97">
              <w:rPr>
                <w:rFonts w:ascii="Calibri" w:hAnsi="Calibri" w:cs="Calibri"/>
                <w:sz w:val="20"/>
                <w:szCs w:val="20"/>
              </w:rPr>
              <w:tab/>
            </w:r>
          </w:p>
        </w:tc>
        <w:tc>
          <w:tcPr>
            <w:tcW w:w="6536" w:type="dxa"/>
            <w:vAlign w:val="bottom"/>
          </w:tcPr>
          <w:p w14:paraId="09A78929"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SC"/>
              </w:rPr>
            </w:pPr>
            <w:r w:rsidRPr="009F2F97">
              <w:rPr>
                <w:rFonts w:ascii="Calibri" w:hAnsi="Calibri" w:cs="Calibri"/>
                <w:sz w:val="20"/>
                <w:szCs w:val="20"/>
                <w:lang w:val="en-SC"/>
              </w:rPr>
              <w:t>Stock assessment of blue marlin (Makaira nigricans) in the Indian Ocean using JABBA (</w:t>
            </w:r>
            <w:r w:rsidRPr="009F2F97">
              <w:rPr>
                <w:rFonts w:ascii="Calibri" w:hAnsi="Calibri" w:cs="Calibri"/>
                <w:sz w:val="20"/>
                <w:szCs w:val="20"/>
              </w:rPr>
              <w:t>Lin C, Xu W, Wang S</w:t>
            </w:r>
            <w:r w:rsidRPr="009F2F97">
              <w:rPr>
                <w:rFonts w:ascii="Calibri" w:hAnsi="Calibri" w:cs="Calibri"/>
                <w:sz w:val="20"/>
                <w:szCs w:val="20"/>
                <w:lang w:val="en-SC"/>
              </w:rPr>
              <w:t xml:space="preserve"> )</w:t>
            </w:r>
          </w:p>
        </w:tc>
      </w:tr>
      <w:tr w:rsidR="009F2F97" w:rsidRPr="00865A06" w14:paraId="3C315CE8" w14:textId="77777777" w:rsidTr="00D31465">
        <w:trPr>
          <w:cantSplit/>
          <w:jc w:val="center"/>
        </w:trPr>
        <w:tc>
          <w:tcPr>
            <w:tcW w:w="3362" w:type="dxa"/>
          </w:tcPr>
          <w:p w14:paraId="39F508B3"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IOTC-2025-WPB23-19</w:t>
            </w:r>
          </w:p>
        </w:tc>
        <w:tc>
          <w:tcPr>
            <w:tcW w:w="6536" w:type="dxa"/>
            <w:vAlign w:val="bottom"/>
          </w:tcPr>
          <w:p w14:paraId="085B935F"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SC"/>
              </w:rPr>
            </w:pPr>
            <w:r w:rsidRPr="009F2F97">
              <w:rPr>
                <w:rFonts w:ascii="Calibri" w:hAnsi="Calibri" w:cs="Calibri"/>
                <w:sz w:val="20"/>
                <w:szCs w:val="20"/>
                <w:lang w:val="en-SC"/>
              </w:rPr>
              <w:t>Stock assessment of blue marlin (Makaira nigricans) in the Indian Ocean using Stock Synthesis (</w:t>
            </w:r>
            <w:r w:rsidRPr="009F2F97">
              <w:rPr>
                <w:rFonts w:ascii="Calibri" w:hAnsi="Calibri" w:cs="Calibri"/>
                <w:sz w:val="20"/>
                <w:szCs w:val="20"/>
              </w:rPr>
              <w:t>Xu W, Lin C, Wang S</w:t>
            </w:r>
            <w:r w:rsidRPr="009F2F97">
              <w:rPr>
                <w:rFonts w:ascii="Calibri" w:hAnsi="Calibri" w:cs="Calibri"/>
                <w:sz w:val="20"/>
                <w:szCs w:val="20"/>
                <w:lang w:val="en-SC"/>
              </w:rPr>
              <w:t xml:space="preserve"> )</w:t>
            </w:r>
          </w:p>
        </w:tc>
      </w:tr>
      <w:tr w:rsidR="009F2F97" w:rsidRPr="00865A06" w14:paraId="222D5690" w14:textId="77777777" w:rsidTr="00D31465">
        <w:trPr>
          <w:cantSplit/>
          <w:jc w:val="center"/>
        </w:trPr>
        <w:tc>
          <w:tcPr>
            <w:tcW w:w="3362" w:type="dxa"/>
          </w:tcPr>
          <w:p w14:paraId="4CC60F5D"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IOTC-2025-WPB23-20</w:t>
            </w:r>
          </w:p>
        </w:tc>
        <w:tc>
          <w:tcPr>
            <w:tcW w:w="6536" w:type="dxa"/>
            <w:vAlign w:val="bottom"/>
          </w:tcPr>
          <w:p w14:paraId="65484FE1"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SC"/>
              </w:rPr>
            </w:pPr>
            <w:r w:rsidRPr="009F2F97">
              <w:rPr>
                <w:rFonts w:ascii="Calibri" w:hAnsi="Calibri" w:cs="Calibri"/>
                <w:sz w:val="20"/>
                <w:szCs w:val="20"/>
              </w:rPr>
              <w:t>Stock assessment for Indo-Pacific sailfish (</w:t>
            </w:r>
            <w:r w:rsidRPr="009F2F97">
              <w:rPr>
                <w:rFonts w:ascii="Calibri" w:hAnsi="Calibri" w:cs="Calibri"/>
                <w:i/>
                <w:iCs/>
                <w:sz w:val="20"/>
                <w:szCs w:val="20"/>
              </w:rPr>
              <w:t>Istiophorus platypterus</w:t>
            </w:r>
            <w:r w:rsidRPr="009F2F97">
              <w:rPr>
                <w:rFonts w:ascii="Calibri" w:hAnsi="Calibri" w:cs="Calibri"/>
                <w:sz w:val="20"/>
                <w:szCs w:val="20"/>
              </w:rPr>
              <w:t>) in Indian Ocean using Bayesian surplus production model (JABBA) (Li Y)</w:t>
            </w:r>
          </w:p>
        </w:tc>
      </w:tr>
      <w:tr w:rsidR="009F2F97" w:rsidRPr="00865A06" w14:paraId="6C2A6327" w14:textId="77777777" w:rsidTr="00D31465">
        <w:trPr>
          <w:cantSplit/>
          <w:jc w:val="center"/>
        </w:trPr>
        <w:tc>
          <w:tcPr>
            <w:tcW w:w="3362" w:type="dxa"/>
          </w:tcPr>
          <w:p w14:paraId="405E9466"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IOTC-2025-WPB23-21</w:t>
            </w:r>
          </w:p>
        </w:tc>
        <w:tc>
          <w:tcPr>
            <w:tcW w:w="6536" w:type="dxa"/>
            <w:vAlign w:val="bottom"/>
          </w:tcPr>
          <w:p w14:paraId="076FEED7"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rPr>
            </w:pPr>
            <w:r w:rsidRPr="009F2F97">
              <w:rPr>
                <w:rFonts w:ascii="Calibri" w:hAnsi="Calibri" w:cs="Calibri"/>
                <w:sz w:val="20"/>
                <w:szCs w:val="20"/>
              </w:rPr>
              <w:t>Consideration of exceptional circumstances for the Swordfish Management Procedure 2025 (Bromhead D, Preece A, Brunel T, Mosqueira I)</w:t>
            </w:r>
          </w:p>
        </w:tc>
      </w:tr>
      <w:tr w:rsidR="009F2F97" w:rsidRPr="00125346" w14:paraId="3E51FFA4" w14:textId="77777777" w:rsidTr="00D31465">
        <w:trPr>
          <w:cantSplit/>
          <w:jc w:val="center"/>
        </w:trPr>
        <w:tc>
          <w:tcPr>
            <w:tcW w:w="3362" w:type="dxa"/>
          </w:tcPr>
          <w:p w14:paraId="312AC016"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IOTC-2025-WPB23-22</w:t>
            </w:r>
          </w:p>
        </w:tc>
        <w:tc>
          <w:tcPr>
            <w:tcW w:w="6536" w:type="dxa"/>
            <w:vAlign w:val="bottom"/>
          </w:tcPr>
          <w:p w14:paraId="5017DBA4"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US"/>
              </w:rPr>
            </w:pPr>
            <w:r w:rsidRPr="009F2F97">
              <w:rPr>
                <w:rFonts w:ascii="Calibri" w:hAnsi="Calibri" w:cs="Calibri"/>
                <w:sz w:val="20"/>
                <w:szCs w:val="20"/>
              </w:rPr>
              <w:t>Standardization of the catch per unit effort for Swordfish (Xiphias Gladius) for the South African longline fishery (Da silva C, West W, Kerwath S)</w:t>
            </w:r>
          </w:p>
        </w:tc>
      </w:tr>
      <w:tr w:rsidR="009F2F97" w:rsidRPr="00125346" w14:paraId="38FD3A69" w14:textId="77777777" w:rsidTr="00D31465">
        <w:trPr>
          <w:cantSplit/>
          <w:jc w:val="center"/>
        </w:trPr>
        <w:tc>
          <w:tcPr>
            <w:tcW w:w="3362" w:type="dxa"/>
          </w:tcPr>
          <w:p w14:paraId="6AC900FB"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IOTC-2025-WPB23-23</w:t>
            </w:r>
          </w:p>
        </w:tc>
        <w:tc>
          <w:tcPr>
            <w:tcW w:w="6536" w:type="dxa"/>
            <w:vAlign w:val="bottom"/>
          </w:tcPr>
          <w:p w14:paraId="3C37852F" w14:textId="606882F2" w:rsidR="009F2F97" w:rsidRPr="009F2F97" w:rsidRDefault="001B77E9"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rPr>
            </w:pPr>
            <w:r w:rsidRPr="009B114D">
              <w:rPr>
                <w:rFonts w:ascii="Calibri" w:hAnsi="Calibri" w:cs="Calibri"/>
                <w:sz w:val="20"/>
                <w:szCs w:val="20"/>
              </w:rPr>
              <w:t>A preliminary review of scientific data and research relevant to potential management options for marlin and sailfish in the IOTC</w:t>
            </w:r>
            <w:r w:rsidRPr="009F2F97">
              <w:rPr>
                <w:rFonts w:ascii="Calibri" w:hAnsi="Calibri" w:cs="Calibri"/>
                <w:sz w:val="20"/>
                <w:szCs w:val="20"/>
              </w:rPr>
              <w:t xml:space="preserve"> (</w:t>
            </w:r>
            <w:r>
              <w:rPr>
                <w:rFonts w:ascii="Calibri" w:hAnsi="Calibri" w:cs="Calibri"/>
                <w:sz w:val="20"/>
                <w:szCs w:val="20"/>
              </w:rPr>
              <w:t xml:space="preserve">Bromhead D. </w:t>
            </w:r>
            <w:r w:rsidRPr="009F2F97">
              <w:rPr>
                <w:rFonts w:ascii="Calibri" w:hAnsi="Calibri" w:cs="Calibri"/>
                <w:sz w:val="20"/>
                <w:szCs w:val="20"/>
              </w:rPr>
              <w:t>Clayton C, Emery T)</w:t>
            </w:r>
          </w:p>
        </w:tc>
      </w:tr>
      <w:tr w:rsidR="009F2F97" w:rsidRPr="00125346" w14:paraId="72FEE555" w14:textId="77777777" w:rsidTr="00D31465">
        <w:trPr>
          <w:cantSplit/>
          <w:jc w:val="center"/>
        </w:trPr>
        <w:tc>
          <w:tcPr>
            <w:tcW w:w="3362" w:type="dxa"/>
          </w:tcPr>
          <w:p w14:paraId="65B69BEB"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IOTC-2025-WPB23-24</w:t>
            </w:r>
          </w:p>
        </w:tc>
        <w:tc>
          <w:tcPr>
            <w:tcW w:w="6536" w:type="dxa"/>
            <w:vAlign w:val="bottom"/>
          </w:tcPr>
          <w:p w14:paraId="2988750B"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US"/>
              </w:rPr>
            </w:pPr>
            <w:r w:rsidRPr="009F2F97">
              <w:rPr>
                <w:rFonts w:ascii="Calibri" w:hAnsi="Calibri" w:cs="Calibri"/>
                <w:sz w:val="20"/>
                <w:szCs w:val="20"/>
                <w:lang w:val="en-US"/>
              </w:rPr>
              <w:t>On-deck condition and mortality of Indo-Pacific Sailfish (</w:t>
            </w:r>
            <w:r w:rsidRPr="009F2F97">
              <w:rPr>
                <w:rFonts w:ascii="Calibri" w:hAnsi="Calibri" w:cs="Calibri"/>
                <w:i/>
                <w:iCs/>
                <w:sz w:val="20"/>
                <w:szCs w:val="20"/>
                <w:lang w:val="en-US"/>
              </w:rPr>
              <w:t>Istiophorus platypterus</w:t>
            </w:r>
            <w:r w:rsidRPr="009F2F97">
              <w:rPr>
                <w:rFonts w:ascii="Calibri" w:hAnsi="Calibri" w:cs="Calibri"/>
                <w:sz w:val="20"/>
                <w:szCs w:val="20"/>
                <w:lang w:val="en-US"/>
              </w:rPr>
              <w:t>) in Indian Ocean tuna longline fisheries (Zhang N)</w:t>
            </w:r>
          </w:p>
        </w:tc>
      </w:tr>
      <w:tr w:rsidR="009F2F97" w:rsidRPr="00125346" w14:paraId="4BCD553C" w14:textId="77777777" w:rsidTr="00D31465">
        <w:trPr>
          <w:cantSplit/>
          <w:jc w:val="center"/>
        </w:trPr>
        <w:tc>
          <w:tcPr>
            <w:tcW w:w="3362" w:type="dxa"/>
          </w:tcPr>
          <w:p w14:paraId="37B0F2E1"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IOTC-2025-WPB23-INF01:</w:t>
            </w:r>
          </w:p>
        </w:tc>
        <w:tc>
          <w:tcPr>
            <w:tcW w:w="6536" w:type="dxa"/>
            <w:vAlign w:val="bottom"/>
          </w:tcPr>
          <w:p w14:paraId="1A62651A"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lang w:val="en-US"/>
              </w:rPr>
            </w:pPr>
            <w:r w:rsidRPr="009F2F97">
              <w:rPr>
                <w:rFonts w:ascii="Calibri" w:hAnsi="Calibri" w:cs="Calibri"/>
                <w:sz w:val="20"/>
                <w:szCs w:val="20"/>
              </w:rPr>
              <w:t xml:space="preserve">Status of marlins and sailfish catches- resolution 18/05 (IOTC Secretariat) </w:t>
            </w:r>
          </w:p>
        </w:tc>
      </w:tr>
      <w:tr w:rsidR="009F2F97" w:rsidRPr="00125346" w14:paraId="580AA516" w14:textId="77777777" w:rsidTr="00D31465">
        <w:trPr>
          <w:cantSplit/>
          <w:jc w:val="center"/>
        </w:trPr>
        <w:tc>
          <w:tcPr>
            <w:tcW w:w="3362" w:type="dxa"/>
          </w:tcPr>
          <w:p w14:paraId="1F4BC0E1" w14:textId="77777777" w:rsidR="009F2F97" w:rsidRPr="009F2F97" w:rsidRDefault="009F2F97" w:rsidP="00D31465">
            <w:pPr>
              <w:rPr>
                <w:rFonts w:ascii="Calibri" w:hAnsi="Calibri" w:cs="Calibri"/>
                <w:sz w:val="20"/>
                <w:szCs w:val="20"/>
              </w:rPr>
            </w:pPr>
            <w:r w:rsidRPr="009F2F97">
              <w:rPr>
                <w:rFonts w:ascii="Calibri" w:hAnsi="Calibri" w:cs="Calibri"/>
                <w:sz w:val="20"/>
                <w:szCs w:val="20"/>
              </w:rPr>
              <w:t>IOTC-2025-WPB23-INF02:</w:t>
            </w:r>
          </w:p>
        </w:tc>
        <w:tc>
          <w:tcPr>
            <w:tcW w:w="6536" w:type="dxa"/>
            <w:vAlign w:val="bottom"/>
          </w:tcPr>
          <w:p w14:paraId="383348A9"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rPr>
            </w:pPr>
            <w:r w:rsidRPr="009F2F97">
              <w:rPr>
                <w:rFonts w:ascii="Calibri" w:hAnsi="Calibri" w:cs="Calibri"/>
                <w:sz w:val="20"/>
                <w:szCs w:val="20"/>
              </w:rPr>
              <w:t>Population structure of the swordfish, Xiphias gladius, across the Indian Ocean using next generation sequencing (Chevrier T, Cowart D, Nieblas A, Charrier G,  Bernard S, Evano H, Brisset B, Chanut J, Bonhommeau S)</w:t>
            </w:r>
          </w:p>
          <w:p w14:paraId="22775BD4" w14:textId="77777777" w:rsidR="009F2F97" w:rsidRPr="009F2F97" w:rsidRDefault="009F2F97" w:rsidP="00D314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sz w:val="20"/>
                <w:szCs w:val="20"/>
              </w:rPr>
            </w:pPr>
          </w:p>
        </w:tc>
      </w:tr>
    </w:tbl>
    <w:p w14:paraId="406FC7AA" w14:textId="68886571" w:rsidR="0058551D" w:rsidRPr="00F076D9" w:rsidRDefault="0058551D" w:rsidP="002C77EE">
      <w:pPr>
        <w:pStyle w:val="AppendixHeading"/>
      </w:pPr>
      <w:bookmarkStart w:id="88" w:name="APP4"/>
      <w:bookmarkStart w:id="89" w:name="_Toc430342613"/>
      <w:bookmarkStart w:id="90" w:name="_Toc210218018"/>
      <w:bookmarkEnd w:id="82"/>
      <w:bookmarkEnd w:id="83"/>
      <w:r w:rsidRPr="00F076D9">
        <w:lastRenderedPageBreak/>
        <w:t xml:space="preserve">Appendix </w:t>
      </w:r>
      <w:r w:rsidR="00B36C02">
        <w:t>I</w:t>
      </w:r>
      <w:r w:rsidRPr="00F076D9">
        <w:t>V</w:t>
      </w:r>
      <w:r w:rsidR="002C77EE" w:rsidRPr="00F076D9">
        <w:t xml:space="preserve"> </w:t>
      </w:r>
      <w:bookmarkEnd w:id="88"/>
      <w:r w:rsidR="002C77EE" w:rsidRPr="00F076D9">
        <w:t xml:space="preserve">- </w:t>
      </w:r>
      <w:r w:rsidRPr="00F076D9">
        <w:t>[ Draft ] resource stock status summary – Swordfish</w:t>
      </w:r>
      <w:bookmarkEnd w:id="89"/>
      <w:bookmarkEnd w:id="90"/>
    </w:p>
    <w:p w14:paraId="1B4B8D37" w14:textId="77777777" w:rsidR="0058551D" w:rsidRPr="00F076D9" w:rsidRDefault="0058551D" w:rsidP="0058551D">
      <w:pPr>
        <w:pStyle w:val="AnnexTitle"/>
        <w:spacing w:after="0"/>
        <w:jc w:val="left"/>
        <w:rPr>
          <w:rFonts w:ascii="Calibri" w:hAnsi="Calibri" w:cs="Calibri"/>
          <w:kern w:val="32"/>
          <w:lang w:val="en-GB"/>
        </w:rPr>
      </w:pPr>
    </w:p>
    <w:p w14:paraId="3C754342" w14:textId="77777777" w:rsidR="0058551D" w:rsidRPr="00F076D9" w:rsidRDefault="0058551D" w:rsidP="0058551D">
      <w:pPr>
        <w:rPr>
          <w:rFonts w:ascii="Calibri" w:hAnsi="Calibri" w:cs="Calibri"/>
          <w:kern w:val="32"/>
        </w:rPr>
      </w:pPr>
      <w:bookmarkStart w:id="91" w:name="_Toc335235216"/>
      <w:bookmarkStart w:id="92" w:name="_Toc335346031"/>
      <w:bookmarkStart w:id="93" w:name="_Toc335346167"/>
      <w:bookmarkStart w:id="94" w:name="_Toc335346933"/>
      <w:bookmarkStart w:id="95" w:name="_Toc335446190"/>
      <w:bookmarkStart w:id="96" w:name="_Toc335473520"/>
      <w:bookmarkStart w:id="97" w:name="_Toc335473564"/>
      <w:bookmarkStart w:id="98" w:name="_Toc336415105"/>
      <w:bookmarkStart w:id="99" w:name="_Toc336424966"/>
      <w:bookmarkStart w:id="100" w:name="_Toc336426031"/>
      <w:bookmarkStart w:id="101" w:name="_Toc336947281"/>
      <w:bookmarkStart w:id="102" w:name="_Toc336950770"/>
      <w:bookmarkStart w:id="103" w:name="_Toc367585688"/>
      <w:bookmarkStart w:id="104" w:name="_Toc367585781"/>
      <w:bookmarkStart w:id="105" w:name="_Toc367590513"/>
      <w:bookmarkStart w:id="106" w:name="_Toc368303992"/>
      <w:bookmarkStart w:id="107" w:name="_Toc368304608"/>
      <w:bookmarkStart w:id="108" w:name="_Toc368477142"/>
      <w:bookmarkStart w:id="109" w:name="_Toc401726954"/>
      <w:bookmarkStart w:id="110" w:name="_Toc402257453"/>
      <w:bookmarkStart w:id="111" w:name="_Toc402877908"/>
      <w:bookmarkStart w:id="112" w:name="_Toc402883440"/>
      <w:bookmarkStart w:id="113" w:name="_Toc427843787"/>
      <w:bookmarkStart w:id="114" w:name="_Toc428447304"/>
      <w:bookmarkStart w:id="115" w:name="_Toc429177472"/>
      <w:bookmarkStart w:id="116" w:name="_Toc429204148"/>
      <w:bookmarkStart w:id="117" w:name="_Toc429204258"/>
      <w:bookmarkStart w:id="118" w:name="_Toc430342614"/>
      <w:bookmarkStart w:id="119" w:name="_Toc462328934"/>
      <w:bookmarkStart w:id="120" w:name="_Toc462329663"/>
      <w:bookmarkStart w:id="121" w:name="_Toc462332438"/>
      <w:bookmarkStart w:id="122" w:name="_Toc462402853"/>
      <w:bookmarkStart w:id="123" w:name="_Toc462403242"/>
      <w:bookmarkStart w:id="124" w:name="_Toc462403309"/>
      <w:bookmarkStart w:id="125" w:name="_Toc462403377"/>
      <w:bookmarkStart w:id="126" w:name="_Toc492648172"/>
      <w:r w:rsidRPr="00F076D9">
        <w:rPr>
          <w:rFonts w:ascii="Calibri" w:hAnsi="Calibri" w:cs="Calibri"/>
          <w:noProof/>
          <w:lang w:val="en-ZA" w:eastAsia="en-ZA"/>
        </w:rPr>
        <mc:AlternateContent>
          <mc:Choice Requires="wps">
            <w:drawing>
              <wp:anchor distT="0" distB="0" distL="114300" distR="114300" simplePos="0" relativeHeight="251658243" behindDoc="0" locked="0" layoutInCell="1" allowOverlap="1" wp14:anchorId="1D583558" wp14:editId="5C031FCC">
                <wp:simplePos x="0" y="0"/>
                <wp:positionH relativeFrom="column">
                  <wp:posOffset>-7620</wp:posOffset>
                </wp:positionH>
                <wp:positionV relativeFrom="paragraph">
                  <wp:posOffset>-73025</wp:posOffset>
                </wp:positionV>
                <wp:extent cx="6069965" cy="904240"/>
                <wp:effectExtent l="0" t="0" r="0" b="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9965" cy="904240"/>
                        </a:xfrm>
                        <a:prstGeom prst="rect">
                          <a:avLst/>
                        </a:prstGeom>
                        <a:noFill/>
                        <a:ln w="6350">
                          <a:noFill/>
                        </a:ln>
                        <a:effectLst/>
                      </wps:spPr>
                      <wps:txbx>
                        <w:txbxContent>
                          <w:p w14:paraId="5EF2CBCC" w14:textId="3C7E33DF" w:rsidR="005E594A" w:rsidRDefault="005E594A" w:rsidP="00552774">
                            <w:pPr>
                              <w:jc w:val="center"/>
                            </w:pPr>
                            <w:r>
                              <w:rPr>
                                <w:b/>
                                <w:noProof/>
                                <w:color w:val="000000" w:themeColor="text1"/>
                                <w:sz w:val="28"/>
                                <w:szCs w:val="28"/>
                                <w:lang w:val="en-ZA" w:eastAsia="en-ZA"/>
                              </w:rPr>
                              <w:drawing>
                                <wp:inline distT="0" distB="0" distL="0" distR="0" wp14:anchorId="165B543B" wp14:editId="5098C781">
                                  <wp:extent cx="2425148" cy="790115"/>
                                  <wp:effectExtent l="0" t="0" r="0" b="0"/>
                                  <wp:docPr id="535225915" name="Picture 535225915" descr="C:\Users\david\AppData\Local\Microsoft\Windows\Temporary Internet Files\Content.Outlook\H14SYSEK\SWO_FA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avid\AppData\Local\Microsoft\Windows\Temporary Internet Files\Content.Outlook\H14SYSEK\SWO_FAO (2).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454840" cy="79978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583558" id="Text Box 43" o:spid="_x0000_s1027" type="#_x0000_t202" style="position:absolute;margin-left:-.6pt;margin-top:-5.75pt;width:477.95pt;height:71.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" filled="f" stroked="f" strokeweight=".5pt">
                <v:textbox>
                  <w:txbxContent>
                    <w:p w14:paraId="5EF2CBCC" w14:textId="3C7E33DF" w:rsidR="005E594A" w:rsidRDefault="005E594A" w:rsidP="00552774">
                      <w:pPr>
                        <w:jc w:val="center"/>
                      </w:pPr>
                      <w:r>
                        <w:rPr>
                          <w:b/>
                          <w:noProof/>
                          <w:color w:val="000000" w:themeColor="text1"/>
                          <w:sz w:val="28"/>
                          <w:szCs w:val="28"/>
                          <w:lang w:val="en-ZA" w:eastAsia="en-ZA"/>
                        </w:rPr>
                        <w:drawing>
                          <wp:inline distT="0" distB="0" distL="0" distR="0" wp14:anchorId="165B543B" wp14:editId="5098C781">
                            <wp:extent cx="2425148" cy="790115"/>
                            <wp:effectExtent l="0" t="0" r="0" b="0"/>
                            <wp:docPr id="535225915" name="Picture 535225915" descr="C:\Users\david\AppData\Local\Microsoft\Windows\Temporary Internet Files\Content.Outlook\H14SYSEK\SWO_FA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avid\AppData\Local\Microsoft\Windows\Temporary Internet Files\Content.Outlook\H14SYSEK\SWO_FAO (2).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454840" cy="799789"/>
                                    </a:xfrm>
                                    <a:prstGeom prst="rect">
                                      <a:avLst/>
                                    </a:prstGeom>
                                    <a:noFill/>
                                    <a:ln>
                                      <a:noFill/>
                                    </a:ln>
                                  </pic:spPr>
                                </pic:pic>
                              </a:graphicData>
                            </a:graphic>
                          </wp:inline>
                        </w:drawing>
                      </w:r>
                    </w:p>
                  </w:txbxContent>
                </v:textbox>
              </v:shape>
            </w:pict>
          </mc:Fallback>
        </mc:AlternateConten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p w14:paraId="79A2115E" w14:textId="77777777" w:rsidR="0058551D" w:rsidRPr="00F076D9" w:rsidRDefault="0058551D" w:rsidP="0058551D">
      <w:pPr>
        <w:spacing w:before="60"/>
        <w:ind w:left="720" w:hanging="720"/>
        <w:jc w:val="both"/>
        <w:rPr>
          <w:rFonts w:ascii="Calibri" w:eastAsia="MS Mincho" w:hAnsi="Calibri" w:cs="Calibri"/>
          <w:b/>
          <w:bCs/>
          <w:smallCaps/>
          <w:sz w:val="28"/>
          <w:szCs w:val="28"/>
          <w:lang w:eastAsia="en-US"/>
        </w:rPr>
      </w:pPr>
    </w:p>
    <w:p w14:paraId="59812D8C" w14:textId="77777777" w:rsidR="0058551D" w:rsidRPr="00F076D9" w:rsidRDefault="0058551D" w:rsidP="0058551D">
      <w:pPr>
        <w:pStyle w:val="AnnexTitle"/>
        <w:spacing w:after="0"/>
        <w:jc w:val="left"/>
        <w:rPr>
          <w:rFonts w:ascii="Calibri" w:hAnsi="Calibri" w:cs="Calibri"/>
          <w:kern w:val="32"/>
          <w:lang w:val="en-GB"/>
        </w:rPr>
      </w:pPr>
    </w:p>
    <w:p w14:paraId="4BBD2B00" w14:textId="77777777" w:rsidR="0058551D" w:rsidRPr="00F076D9" w:rsidRDefault="0058551D" w:rsidP="0058551D">
      <w:pPr>
        <w:pStyle w:val="AnnexTitle"/>
        <w:spacing w:after="0"/>
        <w:rPr>
          <w:rFonts w:ascii="Calibri" w:hAnsi="Calibri" w:cs="Calibri"/>
          <w:kern w:val="32"/>
          <w:lang w:val="en-GB"/>
        </w:rPr>
      </w:pPr>
    </w:p>
    <w:p w14:paraId="0DC0B15B" w14:textId="77777777" w:rsidR="0058551D" w:rsidRPr="00F076D9" w:rsidRDefault="0058551D" w:rsidP="0058551D">
      <w:pPr>
        <w:spacing w:before="60"/>
        <w:jc w:val="both"/>
        <w:rPr>
          <w:rFonts w:ascii="Calibri" w:hAnsi="Calibri" w:cs="Calibri"/>
          <w:szCs w:val="20"/>
          <w:lang w:val="en-AU" w:eastAsia="en-GB"/>
        </w:rPr>
      </w:pPr>
    </w:p>
    <w:p w14:paraId="0DF54ECB" w14:textId="77777777" w:rsidR="005263C8" w:rsidRPr="00BB3B54" w:rsidRDefault="005263C8" w:rsidP="005263C8">
      <w:pPr>
        <w:spacing w:before="120" w:after="120"/>
        <w:jc w:val="center"/>
        <w:rPr>
          <w:rFonts w:ascii="Calibri" w:hAnsi="Calibri" w:cs="Calibri"/>
          <w:sz w:val="18"/>
          <w:szCs w:val="18"/>
        </w:rPr>
      </w:pPr>
      <w:bookmarkStart w:id="127" w:name="_Toc430342615"/>
      <w:r w:rsidRPr="00BB3B54">
        <w:rPr>
          <w:rFonts w:ascii="Calibri" w:hAnsi="Calibri" w:cs="Calibri"/>
          <w:b/>
          <w:sz w:val="20"/>
          <w:szCs w:val="20"/>
        </w:rPr>
        <w:t>TABLE 1.</w:t>
      </w:r>
      <w:r w:rsidRPr="00BB3B54">
        <w:rPr>
          <w:rFonts w:ascii="Calibri" w:hAnsi="Calibri" w:cs="Calibri"/>
          <w:sz w:val="20"/>
          <w:szCs w:val="20"/>
        </w:rPr>
        <w:t xml:space="preserve"> Status of swordfish (</w:t>
      </w:r>
      <w:r w:rsidRPr="00BB3B54">
        <w:rPr>
          <w:rFonts w:ascii="Calibri" w:hAnsi="Calibri" w:cs="Calibri"/>
          <w:i/>
          <w:sz w:val="20"/>
          <w:szCs w:val="20"/>
        </w:rPr>
        <w:t>Xiphias gladius</w:t>
      </w:r>
      <w:r w:rsidRPr="00BB3B54">
        <w:rPr>
          <w:rFonts w:ascii="Calibri" w:hAnsi="Calibri" w:cs="Calibri"/>
          <w:sz w:val="20"/>
          <w:szCs w:val="20"/>
        </w:rPr>
        <w:t>) in the Indian Ocean.</w:t>
      </w:r>
      <w:r w:rsidRPr="00BB3B54">
        <w:rPr>
          <w:rFonts w:ascii="Calibri" w:hAnsi="Calibri" w:cs="Calibri"/>
          <w:b/>
          <w:sz w:val="18"/>
          <w:szCs w:val="18"/>
        </w:rPr>
        <w:t xml:space="preserve"> </w:t>
      </w:r>
    </w:p>
    <w:tbl>
      <w:tblPr>
        <w:tblW w:w="9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0"/>
        <w:gridCol w:w="2728"/>
        <w:gridCol w:w="2492"/>
        <w:gridCol w:w="1633"/>
      </w:tblGrid>
      <w:tr w:rsidR="005263C8" w:rsidRPr="00BB3B54" w14:paraId="1D329295" w14:textId="77777777" w:rsidTr="00444A1C">
        <w:trPr>
          <w:trHeight w:val="960"/>
          <w:jc w:val="center"/>
        </w:trPr>
        <w:tc>
          <w:tcPr>
            <w:tcW w:w="2370" w:type="dxa"/>
            <w:vAlign w:val="center"/>
          </w:tcPr>
          <w:p w14:paraId="16DC7706" w14:textId="77777777" w:rsidR="005263C8" w:rsidRPr="00BB3B54" w:rsidRDefault="005263C8" w:rsidP="00444A1C">
            <w:pPr>
              <w:jc w:val="center"/>
              <w:rPr>
                <w:rFonts w:ascii="Calibri" w:hAnsi="Calibri" w:cs="Calibri"/>
                <w:b/>
                <w:color w:val="000000"/>
                <w:sz w:val="20"/>
                <w:szCs w:val="20"/>
                <w:lang w:eastAsia="en-GB"/>
              </w:rPr>
            </w:pPr>
            <w:r w:rsidRPr="00BB3B54">
              <w:rPr>
                <w:rFonts w:ascii="Calibri" w:hAnsi="Calibri" w:cs="Calibri"/>
                <w:b/>
                <w:color w:val="000000"/>
                <w:sz w:val="20"/>
                <w:szCs w:val="20"/>
                <w:lang w:eastAsia="en-GB"/>
              </w:rPr>
              <w:t>Area</w:t>
            </w:r>
            <w:r w:rsidRPr="00BB3B54">
              <w:rPr>
                <w:rFonts w:ascii="Calibri" w:hAnsi="Calibri" w:cs="Calibri"/>
                <w:b/>
                <w:color w:val="000000"/>
                <w:sz w:val="20"/>
                <w:szCs w:val="20"/>
                <w:vertAlign w:val="superscript"/>
                <w:lang w:eastAsia="en-GB"/>
              </w:rPr>
              <w:t>1</w:t>
            </w:r>
          </w:p>
        </w:tc>
        <w:tc>
          <w:tcPr>
            <w:tcW w:w="5220" w:type="dxa"/>
            <w:gridSpan w:val="2"/>
            <w:vAlign w:val="center"/>
          </w:tcPr>
          <w:p w14:paraId="22CEDA47" w14:textId="77777777" w:rsidR="005263C8" w:rsidRPr="00BB3B54" w:rsidRDefault="005263C8" w:rsidP="00444A1C">
            <w:pPr>
              <w:jc w:val="center"/>
              <w:rPr>
                <w:rFonts w:ascii="Calibri" w:hAnsi="Calibri" w:cs="Calibri"/>
                <w:b/>
                <w:color w:val="000000"/>
                <w:sz w:val="20"/>
                <w:szCs w:val="20"/>
                <w:lang w:eastAsia="en-GB"/>
              </w:rPr>
            </w:pPr>
            <w:r w:rsidRPr="00BB3B54">
              <w:rPr>
                <w:rFonts w:ascii="Calibri" w:hAnsi="Calibri" w:cs="Calibri"/>
                <w:b/>
                <w:color w:val="000000"/>
                <w:sz w:val="20"/>
                <w:szCs w:val="20"/>
                <w:lang w:eastAsia="en-GB"/>
              </w:rPr>
              <w:t>Indicators</w:t>
            </w:r>
          </w:p>
        </w:tc>
        <w:tc>
          <w:tcPr>
            <w:tcW w:w="1633" w:type="dxa"/>
            <w:vAlign w:val="center"/>
          </w:tcPr>
          <w:p w14:paraId="74989900" w14:textId="77777777" w:rsidR="005263C8" w:rsidRPr="00BB3B54" w:rsidRDefault="005263C8" w:rsidP="00444A1C">
            <w:pPr>
              <w:jc w:val="center"/>
              <w:rPr>
                <w:rFonts w:ascii="Calibri" w:hAnsi="Calibri" w:cs="Calibri"/>
                <w:b/>
                <w:color w:val="000000"/>
                <w:sz w:val="20"/>
                <w:szCs w:val="20"/>
                <w:lang w:eastAsia="en-GB"/>
              </w:rPr>
            </w:pPr>
            <w:r w:rsidRPr="00BB3B54">
              <w:rPr>
                <w:rFonts w:ascii="Calibri" w:hAnsi="Calibri" w:cs="Calibri"/>
                <w:b/>
                <w:color w:val="000000"/>
                <w:sz w:val="20"/>
                <w:szCs w:val="20"/>
                <w:lang w:eastAsia="en-GB"/>
              </w:rPr>
              <w:t>202</w:t>
            </w:r>
            <w:r>
              <w:rPr>
                <w:rFonts w:ascii="Calibri" w:hAnsi="Calibri" w:cs="Calibri"/>
                <w:b/>
                <w:color w:val="000000"/>
                <w:sz w:val="20"/>
                <w:szCs w:val="20"/>
                <w:lang w:eastAsia="en-GB"/>
              </w:rPr>
              <w:t>3</w:t>
            </w:r>
            <w:r w:rsidRPr="00BB3B54">
              <w:rPr>
                <w:rFonts w:ascii="Calibri" w:hAnsi="Calibri" w:cs="Calibri"/>
                <w:b/>
                <w:color w:val="000000"/>
                <w:sz w:val="20"/>
                <w:szCs w:val="20"/>
                <w:lang w:eastAsia="en-GB"/>
              </w:rPr>
              <w:t xml:space="preserve"> stock status determination</w:t>
            </w:r>
          </w:p>
        </w:tc>
      </w:tr>
      <w:tr w:rsidR="00314DBD" w:rsidRPr="00BB3B54" w14:paraId="05FCD25E" w14:textId="77777777" w:rsidTr="00444A1C">
        <w:trPr>
          <w:trHeight w:val="690"/>
          <w:jc w:val="center"/>
        </w:trPr>
        <w:tc>
          <w:tcPr>
            <w:tcW w:w="2370" w:type="dxa"/>
            <w:vMerge w:val="restart"/>
            <w:vAlign w:val="center"/>
          </w:tcPr>
          <w:p w14:paraId="382E2217" w14:textId="77777777" w:rsidR="00314DBD" w:rsidRPr="00BB3B54" w:rsidRDefault="00314DBD" w:rsidP="00314DBD">
            <w:pPr>
              <w:jc w:val="center"/>
              <w:rPr>
                <w:rFonts w:ascii="Calibri" w:hAnsi="Calibri" w:cs="Calibri"/>
                <w:color w:val="FF0000"/>
                <w:sz w:val="20"/>
                <w:szCs w:val="20"/>
                <w:lang w:eastAsia="en-GB"/>
              </w:rPr>
            </w:pPr>
            <w:r w:rsidRPr="00BB3B54">
              <w:rPr>
                <w:rFonts w:ascii="Calibri" w:hAnsi="Calibri" w:cs="Calibri"/>
                <w:color w:val="000000"/>
                <w:sz w:val="20"/>
                <w:szCs w:val="20"/>
                <w:lang w:eastAsia="en-GB"/>
              </w:rPr>
              <w:t>Indian Ocean</w:t>
            </w:r>
          </w:p>
        </w:tc>
        <w:tc>
          <w:tcPr>
            <w:tcW w:w="2728" w:type="dxa"/>
            <w:vAlign w:val="center"/>
          </w:tcPr>
          <w:p w14:paraId="62FDB2A2" w14:textId="77777777" w:rsidR="00314DBD" w:rsidRPr="00BB3B54" w:rsidRDefault="00314DBD" w:rsidP="00314DBD">
            <w:pPr>
              <w:tabs>
                <w:tab w:val="right" w:pos="932"/>
                <w:tab w:val="left" w:pos="1168"/>
              </w:tabs>
              <w:jc w:val="right"/>
              <w:rPr>
                <w:rFonts w:ascii="Calibri" w:eastAsia="Calibri" w:hAnsi="Calibri" w:cs="Calibri"/>
                <w:color w:val="000000"/>
                <w:sz w:val="20"/>
                <w:szCs w:val="20"/>
              </w:rPr>
            </w:pPr>
            <w:r w:rsidRPr="00BB3B54">
              <w:rPr>
                <w:rFonts w:ascii="Calibri" w:eastAsia="Calibri" w:hAnsi="Calibri" w:cs="Calibri"/>
                <w:color w:val="000000"/>
                <w:sz w:val="20"/>
                <w:szCs w:val="20"/>
              </w:rPr>
              <w:t>Catch 202</w:t>
            </w:r>
            <w:r>
              <w:rPr>
                <w:rFonts w:ascii="Calibri" w:eastAsia="Calibri" w:hAnsi="Calibri" w:cs="Calibri"/>
                <w:color w:val="000000"/>
                <w:sz w:val="20"/>
                <w:szCs w:val="20"/>
              </w:rPr>
              <w:t>3</w:t>
            </w:r>
            <w:r w:rsidRPr="00BB3B54">
              <w:rPr>
                <w:rFonts w:ascii="Calibri" w:hAnsi="Calibri" w:cs="Calibri"/>
                <w:vertAlign w:val="superscript"/>
              </w:rPr>
              <w:t>2</w:t>
            </w:r>
            <w:r w:rsidRPr="00BB3B54">
              <w:rPr>
                <w:rFonts w:ascii="Calibri" w:hAnsi="Calibri" w:cs="Calibri"/>
              </w:rPr>
              <w:t xml:space="preserve"> (t)</w:t>
            </w:r>
          </w:p>
          <w:p w14:paraId="6327CE84" w14:textId="39BAD628" w:rsidR="00314DBD" w:rsidRPr="00BB3B54" w:rsidRDefault="00314DBD" w:rsidP="00314DBD">
            <w:pPr>
              <w:tabs>
                <w:tab w:val="right" w:pos="932"/>
                <w:tab w:val="left" w:pos="1168"/>
              </w:tabs>
              <w:jc w:val="right"/>
              <w:rPr>
                <w:rFonts w:ascii="Calibri" w:eastAsia="Calibri" w:hAnsi="Calibri" w:cs="Calibri"/>
                <w:color w:val="000000"/>
                <w:sz w:val="20"/>
                <w:szCs w:val="20"/>
              </w:rPr>
            </w:pPr>
            <w:r w:rsidRPr="00BB3B54">
              <w:rPr>
                <w:rFonts w:ascii="Calibri" w:eastAsia="Calibri" w:hAnsi="Calibri" w:cs="Calibri"/>
                <w:color w:val="000000"/>
                <w:sz w:val="20"/>
                <w:szCs w:val="20"/>
              </w:rPr>
              <w:t>Average catch 201</w:t>
            </w:r>
            <w:r>
              <w:rPr>
                <w:rFonts w:ascii="Calibri" w:eastAsia="Calibri" w:hAnsi="Calibri" w:cs="Calibri"/>
                <w:color w:val="000000"/>
                <w:sz w:val="20"/>
                <w:szCs w:val="20"/>
              </w:rPr>
              <w:t>9</w:t>
            </w:r>
            <w:r w:rsidRPr="00BB3B54">
              <w:rPr>
                <w:rFonts w:ascii="Calibri" w:eastAsia="Calibri" w:hAnsi="Calibri" w:cs="Calibri"/>
                <w:color w:val="000000"/>
                <w:sz w:val="20"/>
                <w:szCs w:val="20"/>
              </w:rPr>
              <w:t>-202</w:t>
            </w:r>
            <w:r>
              <w:rPr>
                <w:rFonts w:ascii="Calibri" w:eastAsia="Calibri" w:hAnsi="Calibri" w:cs="Calibri"/>
                <w:color w:val="000000"/>
                <w:sz w:val="20"/>
                <w:szCs w:val="20"/>
              </w:rPr>
              <w:t>3</w:t>
            </w:r>
            <w:r w:rsidRPr="00BB3B54">
              <w:rPr>
                <w:rFonts w:ascii="Calibri" w:eastAsia="Calibri" w:hAnsi="Calibri" w:cs="Calibri"/>
                <w:color w:val="000000"/>
                <w:sz w:val="20"/>
                <w:szCs w:val="20"/>
              </w:rPr>
              <w:t xml:space="preserve"> (t)</w:t>
            </w:r>
          </w:p>
        </w:tc>
        <w:tc>
          <w:tcPr>
            <w:tcW w:w="2492" w:type="dxa"/>
            <w:vAlign w:val="center"/>
          </w:tcPr>
          <w:p w14:paraId="39AC6815" w14:textId="33E4DCE5" w:rsidR="00314DBD" w:rsidRPr="00314DBD" w:rsidRDefault="00314DBD" w:rsidP="00314DBD">
            <w:pPr>
              <w:rPr>
                <w:rFonts w:ascii="Calibri" w:hAnsi="Calibri" w:cs="Calibri"/>
                <w:color w:val="000000"/>
                <w:kern w:val="2"/>
                <w:sz w:val="20"/>
                <w:szCs w:val="20"/>
                <w:lang w:eastAsia="ja-JP"/>
              </w:rPr>
            </w:pPr>
            <w:r w:rsidRPr="534C2E38">
              <w:rPr>
                <w:rFonts w:ascii="Calibri" w:hAnsi="Calibri" w:cs="Calibri"/>
                <w:color w:val="000000" w:themeColor="text1"/>
                <w:sz w:val="20"/>
                <w:szCs w:val="20"/>
                <w:lang w:eastAsia="ja-JP"/>
              </w:rPr>
              <w:t>24,115</w:t>
            </w:r>
          </w:p>
          <w:p w14:paraId="421F206C" w14:textId="2621B7A9" w:rsidR="00314DBD" w:rsidRPr="00BB3B54" w:rsidRDefault="00314DBD" w:rsidP="00314DBD">
            <w:pPr>
              <w:rPr>
                <w:rFonts w:ascii="Calibri" w:eastAsia="SimSun" w:hAnsi="Calibri" w:cs="Calibri"/>
                <w:color w:val="000000"/>
                <w:sz w:val="20"/>
                <w:szCs w:val="20"/>
                <w:lang w:eastAsia="zh-CN"/>
              </w:rPr>
            </w:pPr>
            <w:r w:rsidRPr="3A54C510">
              <w:rPr>
                <w:rFonts w:ascii="Calibri" w:hAnsi="Calibri" w:cs="Calibri"/>
                <w:color w:val="000000" w:themeColor="text1"/>
                <w:sz w:val="20"/>
                <w:szCs w:val="20"/>
                <w:lang w:eastAsia="ja-JP"/>
              </w:rPr>
              <w:t>27,651</w:t>
            </w:r>
          </w:p>
        </w:tc>
        <w:tc>
          <w:tcPr>
            <w:tcW w:w="1633" w:type="dxa"/>
            <w:vMerge w:val="restart"/>
            <w:shd w:val="clear" w:color="auto" w:fill="92D050"/>
            <w:vAlign w:val="center"/>
          </w:tcPr>
          <w:p w14:paraId="3F2B94EB" w14:textId="77777777" w:rsidR="00314DBD" w:rsidRPr="00BB3B54" w:rsidRDefault="00314DBD" w:rsidP="00314DBD">
            <w:pPr>
              <w:keepNext/>
              <w:keepLines/>
              <w:jc w:val="center"/>
              <w:outlineLvl w:val="0"/>
              <w:rPr>
                <w:rFonts w:ascii="Calibri" w:hAnsi="Calibri" w:cs="Calibri"/>
                <w:b/>
                <w:bCs/>
                <w:smallCaps/>
                <w:kern w:val="32"/>
                <w:sz w:val="20"/>
                <w:szCs w:val="20"/>
              </w:rPr>
            </w:pPr>
            <w:r w:rsidRPr="00BB3B54">
              <w:rPr>
                <w:rFonts w:ascii="Calibri" w:hAnsi="Calibri" w:cs="Calibri"/>
                <w:b/>
                <w:bCs/>
                <w:smallCaps/>
                <w:kern w:val="32"/>
                <w:sz w:val="20"/>
                <w:szCs w:val="20"/>
              </w:rPr>
              <w:t>97%</w:t>
            </w:r>
          </w:p>
        </w:tc>
      </w:tr>
      <w:tr w:rsidR="00314DBD" w:rsidRPr="00BB3B54" w14:paraId="71F8269C" w14:textId="77777777" w:rsidTr="00444A1C">
        <w:trPr>
          <w:trHeight w:val="690"/>
          <w:jc w:val="center"/>
        </w:trPr>
        <w:tc>
          <w:tcPr>
            <w:tcW w:w="2370" w:type="dxa"/>
            <w:vMerge/>
            <w:vAlign w:val="center"/>
          </w:tcPr>
          <w:p w14:paraId="4F1F0F34" w14:textId="77777777" w:rsidR="00314DBD" w:rsidRPr="00BB3B54" w:rsidRDefault="00314DBD" w:rsidP="00314DBD">
            <w:pPr>
              <w:jc w:val="center"/>
              <w:rPr>
                <w:rFonts w:ascii="Calibri" w:hAnsi="Calibri" w:cs="Calibri"/>
                <w:color w:val="000000"/>
                <w:sz w:val="20"/>
                <w:szCs w:val="20"/>
                <w:lang w:eastAsia="en-GB"/>
              </w:rPr>
            </w:pPr>
          </w:p>
        </w:tc>
        <w:tc>
          <w:tcPr>
            <w:tcW w:w="2728" w:type="dxa"/>
            <w:vAlign w:val="center"/>
          </w:tcPr>
          <w:p w14:paraId="7D1C7B29" w14:textId="77777777" w:rsidR="00314DBD" w:rsidRPr="00BB3B54" w:rsidRDefault="00314DBD" w:rsidP="00314DBD">
            <w:pPr>
              <w:tabs>
                <w:tab w:val="right" w:pos="932"/>
                <w:tab w:val="left" w:pos="1168"/>
              </w:tabs>
              <w:jc w:val="right"/>
              <w:rPr>
                <w:rFonts w:ascii="Calibri" w:hAnsi="Calibri" w:cs="Calibri"/>
                <w:color w:val="000000"/>
                <w:sz w:val="20"/>
                <w:szCs w:val="20"/>
                <w:lang w:val="it-IT" w:eastAsia="en-GB"/>
              </w:rPr>
            </w:pPr>
            <w:r w:rsidRPr="00BB3B54">
              <w:rPr>
                <w:rFonts w:ascii="Calibri" w:hAnsi="Calibri" w:cs="Calibri"/>
                <w:color w:val="000000"/>
                <w:sz w:val="20"/>
                <w:szCs w:val="20"/>
                <w:lang w:val="it-IT" w:eastAsia="en-GB"/>
              </w:rPr>
              <w:t>MSY (1,000 t) (80% CI)</w:t>
            </w:r>
          </w:p>
          <w:p w14:paraId="48ADC64F" w14:textId="77777777" w:rsidR="00314DBD" w:rsidRPr="00BB3B54" w:rsidRDefault="00314DBD" w:rsidP="00314DBD">
            <w:pPr>
              <w:tabs>
                <w:tab w:val="right" w:pos="932"/>
                <w:tab w:val="left" w:pos="1168"/>
              </w:tabs>
              <w:jc w:val="right"/>
              <w:rPr>
                <w:rFonts w:ascii="Calibri" w:hAnsi="Calibri" w:cs="Calibri"/>
                <w:color w:val="000000"/>
                <w:sz w:val="20"/>
                <w:szCs w:val="20"/>
                <w:lang w:val="it-IT" w:eastAsia="en-GB"/>
              </w:rPr>
            </w:pPr>
            <w:r w:rsidRPr="00BB3B54">
              <w:rPr>
                <w:rFonts w:ascii="Calibri" w:hAnsi="Calibri" w:cs="Calibri"/>
                <w:color w:val="000000"/>
                <w:sz w:val="20"/>
                <w:szCs w:val="20"/>
                <w:lang w:val="it-IT" w:eastAsia="en-GB"/>
              </w:rPr>
              <w:t>F</w:t>
            </w:r>
            <w:r w:rsidRPr="00BB3B54">
              <w:rPr>
                <w:rFonts w:ascii="Calibri" w:hAnsi="Calibri" w:cs="Calibri"/>
                <w:color w:val="000000"/>
                <w:sz w:val="20"/>
                <w:szCs w:val="20"/>
                <w:vertAlign w:val="subscript"/>
                <w:lang w:val="it-IT" w:eastAsia="en-GB"/>
              </w:rPr>
              <w:t>MSY</w:t>
            </w:r>
            <w:r w:rsidRPr="00BB3B54">
              <w:rPr>
                <w:rFonts w:ascii="Calibri" w:hAnsi="Calibri" w:cs="Calibri"/>
                <w:color w:val="000000"/>
                <w:sz w:val="20"/>
                <w:szCs w:val="20"/>
                <w:lang w:val="it-IT" w:eastAsia="en-GB"/>
              </w:rPr>
              <w:t xml:space="preserve"> (80% CI)</w:t>
            </w:r>
          </w:p>
          <w:p w14:paraId="4D9DACA0" w14:textId="77777777" w:rsidR="00314DBD" w:rsidRPr="00BB3B54" w:rsidRDefault="00314DBD" w:rsidP="00314DBD">
            <w:pPr>
              <w:tabs>
                <w:tab w:val="right" w:pos="932"/>
                <w:tab w:val="left" w:pos="1168"/>
              </w:tabs>
              <w:jc w:val="right"/>
              <w:rPr>
                <w:rFonts w:ascii="Calibri" w:hAnsi="Calibri" w:cs="Calibri"/>
                <w:color w:val="000000"/>
                <w:sz w:val="20"/>
                <w:szCs w:val="20"/>
                <w:lang w:val="it-IT" w:eastAsia="en-GB"/>
              </w:rPr>
            </w:pPr>
            <w:r w:rsidRPr="00BB3B54">
              <w:rPr>
                <w:rFonts w:ascii="Calibri" w:hAnsi="Calibri" w:cs="Calibri"/>
                <w:color w:val="000000"/>
                <w:sz w:val="20"/>
                <w:szCs w:val="20"/>
                <w:lang w:val="it-IT" w:eastAsia="en-GB"/>
              </w:rPr>
              <w:t>SB</w:t>
            </w:r>
            <w:r w:rsidRPr="00BB3B54">
              <w:rPr>
                <w:rFonts w:ascii="Calibri" w:hAnsi="Calibri" w:cs="Calibri"/>
                <w:color w:val="000000"/>
                <w:sz w:val="20"/>
                <w:szCs w:val="20"/>
                <w:vertAlign w:val="subscript"/>
                <w:lang w:val="it-IT" w:eastAsia="en-GB"/>
              </w:rPr>
              <w:t>MSY</w:t>
            </w:r>
            <w:r w:rsidRPr="00BB3B54">
              <w:rPr>
                <w:rFonts w:ascii="Calibri" w:hAnsi="Calibri" w:cs="Calibri"/>
                <w:color w:val="000000"/>
                <w:sz w:val="20"/>
                <w:szCs w:val="20"/>
                <w:lang w:val="it-IT" w:eastAsia="en-GB"/>
              </w:rPr>
              <w:t xml:space="preserve"> (1,000 t) (80% CI)</w:t>
            </w:r>
          </w:p>
          <w:p w14:paraId="34F44D7E" w14:textId="77777777" w:rsidR="00314DBD" w:rsidRPr="00BB3B54" w:rsidRDefault="00314DBD" w:rsidP="00314DBD">
            <w:pPr>
              <w:tabs>
                <w:tab w:val="right" w:pos="932"/>
                <w:tab w:val="left" w:pos="1168"/>
              </w:tabs>
              <w:jc w:val="right"/>
              <w:rPr>
                <w:rFonts w:ascii="Calibri" w:hAnsi="Calibri" w:cs="Calibri"/>
                <w:color w:val="000000"/>
                <w:sz w:val="20"/>
                <w:szCs w:val="20"/>
                <w:lang w:val="it-IT" w:eastAsia="en-GB"/>
              </w:rPr>
            </w:pPr>
            <w:r w:rsidRPr="00BB3B54">
              <w:rPr>
                <w:rFonts w:ascii="Calibri" w:hAnsi="Calibri" w:cs="Calibri"/>
                <w:color w:val="000000"/>
                <w:sz w:val="20"/>
                <w:szCs w:val="20"/>
                <w:lang w:val="it-IT" w:eastAsia="en-GB"/>
              </w:rPr>
              <w:t>F</w:t>
            </w:r>
            <w:r w:rsidRPr="00BB3B54">
              <w:rPr>
                <w:rFonts w:ascii="Calibri" w:hAnsi="Calibri" w:cs="Calibri"/>
                <w:color w:val="000000"/>
                <w:sz w:val="20"/>
                <w:szCs w:val="20"/>
                <w:vertAlign w:val="subscript"/>
                <w:lang w:val="it-IT" w:eastAsia="en-GB"/>
              </w:rPr>
              <w:t>2021/</w:t>
            </w:r>
            <w:r w:rsidRPr="00BB3B54">
              <w:rPr>
                <w:rFonts w:ascii="Calibri" w:hAnsi="Calibri" w:cs="Calibri"/>
                <w:color w:val="000000"/>
                <w:sz w:val="20"/>
                <w:szCs w:val="20"/>
                <w:lang w:val="it-IT" w:eastAsia="en-GB"/>
              </w:rPr>
              <w:t>F</w:t>
            </w:r>
            <w:r w:rsidRPr="00BB3B54">
              <w:rPr>
                <w:rFonts w:ascii="Calibri" w:hAnsi="Calibri" w:cs="Calibri"/>
                <w:color w:val="000000"/>
                <w:sz w:val="20"/>
                <w:szCs w:val="20"/>
                <w:vertAlign w:val="subscript"/>
                <w:lang w:val="it-IT" w:eastAsia="en-GB"/>
              </w:rPr>
              <w:t xml:space="preserve">MSY </w:t>
            </w:r>
            <w:r w:rsidRPr="00BB3B54">
              <w:rPr>
                <w:rFonts w:ascii="Calibri" w:hAnsi="Calibri" w:cs="Calibri"/>
                <w:color w:val="000000"/>
                <w:sz w:val="20"/>
                <w:szCs w:val="20"/>
                <w:lang w:val="it-IT" w:eastAsia="en-GB"/>
              </w:rPr>
              <w:t>(80% CI)</w:t>
            </w:r>
          </w:p>
          <w:p w14:paraId="1B4DACAC" w14:textId="77777777" w:rsidR="00314DBD" w:rsidRPr="00BB3B54" w:rsidRDefault="00314DBD" w:rsidP="00314DBD">
            <w:pPr>
              <w:tabs>
                <w:tab w:val="right" w:pos="932"/>
                <w:tab w:val="left" w:pos="1168"/>
              </w:tabs>
              <w:jc w:val="right"/>
              <w:rPr>
                <w:rFonts w:ascii="Calibri" w:hAnsi="Calibri" w:cs="Calibri"/>
                <w:color w:val="000000"/>
                <w:sz w:val="20"/>
                <w:szCs w:val="20"/>
                <w:lang w:val="it-IT" w:eastAsia="en-GB"/>
              </w:rPr>
            </w:pPr>
            <w:r w:rsidRPr="00BB3B54">
              <w:rPr>
                <w:rFonts w:ascii="Calibri" w:hAnsi="Calibri" w:cs="Calibri"/>
                <w:color w:val="000000"/>
                <w:sz w:val="20"/>
                <w:szCs w:val="20"/>
                <w:lang w:val="it-IT" w:eastAsia="en-GB"/>
              </w:rPr>
              <w:t>SB</w:t>
            </w:r>
            <w:r w:rsidRPr="00BB3B54">
              <w:rPr>
                <w:rFonts w:ascii="Calibri" w:hAnsi="Calibri" w:cs="Calibri"/>
                <w:color w:val="000000"/>
                <w:sz w:val="20"/>
                <w:szCs w:val="20"/>
                <w:vertAlign w:val="subscript"/>
                <w:lang w:val="it-IT" w:eastAsia="en-GB"/>
              </w:rPr>
              <w:t>2021/</w:t>
            </w:r>
            <w:r w:rsidRPr="00BB3B54">
              <w:rPr>
                <w:rFonts w:ascii="Calibri" w:hAnsi="Calibri" w:cs="Calibri"/>
                <w:color w:val="000000"/>
                <w:sz w:val="20"/>
                <w:szCs w:val="20"/>
                <w:lang w:val="it-IT" w:eastAsia="en-GB"/>
              </w:rPr>
              <w:t>SB</w:t>
            </w:r>
            <w:r w:rsidRPr="00BB3B54">
              <w:rPr>
                <w:rFonts w:ascii="Calibri" w:hAnsi="Calibri" w:cs="Calibri"/>
                <w:color w:val="000000"/>
                <w:sz w:val="20"/>
                <w:szCs w:val="20"/>
                <w:vertAlign w:val="subscript"/>
                <w:lang w:val="it-IT" w:eastAsia="en-GB"/>
              </w:rPr>
              <w:t xml:space="preserve">MSY </w:t>
            </w:r>
            <w:r w:rsidRPr="00BB3B54">
              <w:rPr>
                <w:rFonts w:ascii="Calibri" w:hAnsi="Calibri" w:cs="Calibri"/>
                <w:color w:val="000000"/>
                <w:sz w:val="20"/>
                <w:szCs w:val="20"/>
                <w:lang w:val="it-IT" w:eastAsia="en-GB"/>
              </w:rPr>
              <w:t>(80% CI)</w:t>
            </w:r>
          </w:p>
          <w:p w14:paraId="00BE4A3E" w14:textId="0DE60A6B" w:rsidR="00314DBD" w:rsidRPr="00BB3B54" w:rsidRDefault="00314DBD" w:rsidP="00314DBD">
            <w:pPr>
              <w:tabs>
                <w:tab w:val="right" w:pos="932"/>
                <w:tab w:val="left" w:pos="1168"/>
              </w:tabs>
              <w:spacing w:after="60"/>
              <w:jc w:val="right"/>
              <w:rPr>
                <w:rFonts w:ascii="Calibri" w:hAnsi="Calibri" w:cs="Calibri"/>
                <w:color w:val="000000"/>
                <w:sz w:val="20"/>
                <w:szCs w:val="20"/>
                <w:lang w:val="it-IT" w:eastAsia="en-GB"/>
              </w:rPr>
            </w:pPr>
            <w:r w:rsidRPr="00BB3B54">
              <w:rPr>
                <w:rFonts w:ascii="Calibri" w:hAnsi="Calibri" w:cs="Calibri"/>
                <w:color w:val="000000"/>
                <w:sz w:val="20"/>
                <w:szCs w:val="20"/>
                <w:lang w:val="it-IT" w:eastAsia="en-GB"/>
              </w:rPr>
              <w:t>SB</w:t>
            </w:r>
            <w:r w:rsidRPr="00BB3B54">
              <w:rPr>
                <w:rFonts w:ascii="Calibri" w:hAnsi="Calibri" w:cs="Calibri"/>
                <w:color w:val="000000"/>
                <w:sz w:val="20"/>
                <w:szCs w:val="20"/>
                <w:vertAlign w:val="subscript"/>
                <w:lang w:val="it-IT" w:eastAsia="en-GB"/>
              </w:rPr>
              <w:t>2021</w:t>
            </w:r>
            <w:r w:rsidRPr="00BB3B54">
              <w:rPr>
                <w:rFonts w:ascii="Calibri" w:hAnsi="Calibri" w:cs="Calibri"/>
                <w:color w:val="000000"/>
                <w:sz w:val="20"/>
                <w:szCs w:val="20"/>
                <w:lang w:val="it-IT" w:eastAsia="en-GB"/>
              </w:rPr>
              <w:t>/SB</w:t>
            </w:r>
            <w:r w:rsidRPr="00BB3B54">
              <w:rPr>
                <w:rFonts w:ascii="Calibri" w:hAnsi="Calibri" w:cs="Calibri"/>
                <w:color w:val="000000"/>
                <w:sz w:val="20"/>
                <w:szCs w:val="20"/>
                <w:vertAlign w:val="subscript"/>
                <w:lang w:val="it-IT" w:eastAsia="en-GB"/>
              </w:rPr>
              <w:t xml:space="preserve">1950 </w:t>
            </w:r>
            <w:r w:rsidRPr="00BB3B54">
              <w:rPr>
                <w:rFonts w:ascii="Calibri" w:hAnsi="Calibri" w:cs="Calibri"/>
                <w:color w:val="000000"/>
                <w:sz w:val="20"/>
                <w:szCs w:val="20"/>
                <w:lang w:val="it-IT" w:eastAsia="en-GB"/>
              </w:rPr>
              <w:t>(80% CI)</w:t>
            </w:r>
          </w:p>
        </w:tc>
        <w:tc>
          <w:tcPr>
            <w:tcW w:w="2492" w:type="dxa"/>
            <w:vAlign w:val="center"/>
          </w:tcPr>
          <w:p w14:paraId="6F9A352C" w14:textId="77777777" w:rsidR="00314DBD" w:rsidRPr="00BB3B54" w:rsidRDefault="00314DBD" w:rsidP="00314DBD">
            <w:pPr>
              <w:keepNext/>
              <w:keepLines/>
              <w:widowControl w:val="0"/>
              <w:autoSpaceDE w:val="0"/>
              <w:autoSpaceDN w:val="0"/>
              <w:adjustRightInd w:val="0"/>
              <w:snapToGrid w:val="0"/>
              <w:rPr>
                <w:rFonts w:ascii="Calibri" w:hAnsi="Calibri" w:cs="Calibri"/>
                <w:sz w:val="20"/>
                <w:szCs w:val="20"/>
                <w:lang w:eastAsia="en-GB"/>
              </w:rPr>
            </w:pPr>
            <w:r w:rsidRPr="00BB3B54">
              <w:rPr>
                <w:rFonts w:ascii="Calibri" w:hAnsi="Calibri" w:cs="Calibri"/>
                <w:kern w:val="2"/>
                <w:sz w:val="20"/>
                <w:szCs w:val="20"/>
                <w:lang w:eastAsia="ja-JP"/>
              </w:rPr>
              <w:t>30 (26</w:t>
            </w:r>
            <w:r w:rsidRPr="00BB3B54">
              <w:rPr>
                <w:rFonts w:ascii="Calibri" w:hAnsi="Calibri" w:cs="Calibri"/>
                <w:sz w:val="20"/>
                <w:szCs w:val="20"/>
                <w:lang w:eastAsia="en-GB"/>
              </w:rPr>
              <w:t>–33</w:t>
            </w:r>
            <w:r w:rsidRPr="00BB3B54">
              <w:rPr>
                <w:rFonts w:ascii="Calibri" w:hAnsi="Calibri" w:cs="Calibri"/>
                <w:kern w:val="2"/>
                <w:sz w:val="20"/>
                <w:szCs w:val="20"/>
                <w:lang w:eastAsia="ja-JP"/>
              </w:rPr>
              <w:t>)</w:t>
            </w:r>
          </w:p>
          <w:p w14:paraId="09F6C0C4" w14:textId="77777777" w:rsidR="00314DBD" w:rsidRPr="00BB3B54" w:rsidRDefault="00314DBD" w:rsidP="00314DBD">
            <w:pPr>
              <w:rPr>
                <w:rFonts w:ascii="Calibri" w:hAnsi="Calibri" w:cs="Calibri"/>
                <w:sz w:val="20"/>
                <w:szCs w:val="20"/>
                <w:lang w:eastAsia="en-GB"/>
              </w:rPr>
            </w:pPr>
            <w:r w:rsidRPr="00BB3B54">
              <w:rPr>
                <w:rFonts w:ascii="Calibri" w:hAnsi="Calibri" w:cs="Calibri"/>
                <w:sz w:val="20"/>
                <w:szCs w:val="20"/>
                <w:lang w:eastAsia="en-GB"/>
              </w:rPr>
              <w:t>0.16 (0.12–0.20)</w:t>
            </w:r>
          </w:p>
          <w:p w14:paraId="5A4DC258" w14:textId="77777777" w:rsidR="00314DBD" w:rsidRPr="00BB3B54" w:rsidRDefault="00314DBD" w:rsidP="00314DBD">
            <w:pPr>
              <w:rPr>
                <w:rFonts w:ascii="Calibri" w:hAnsi="Calibri" w:cs="Calibri"/>
                <w:sz w:val="20"/>
                <w:szCs w:val="20"/>
                <w:lang w:eastAsia="en-GB"/>
              </w:rPr>
            </w:pPr>
            <w:r w:rsidRPr="00BB3B54">
              <w:rPr>
                <w:rFonts w:ascii="Calibri" w:hAnsi="Calibri" w:cs="Calibri"/>
                <w:sz w:val="20"/>
                <w:szCs w:val="20"/>
                <w:lang w:eastAsia="en-GB"/>
              </w:rPr>
              <w:t>55 (40–70)</w:t>
            </w:r>
          </w:p>
          <w:p w14:paraId="74258B13" w14:textId="77777777" w:rsidR="00314DBD" w:rsidRPr="00BB3B54" w:rsidRDefault="00314DBD" w:rsidP="00314DBD">
            <w:pPr>
              <w:rPr>
                <w:rFonts w:ascii="Calibri" w:hAnsi="Calibri" w:cs="Calibri"/>
                <w:sz w:val="20"/>
                <w:szCs w:val="20"/>
                <w:lang w:eastAsia="en-GB"/>
              </w:rPr>
            </w:pPr>
            <w:r w:rsidRPr="00BB3B54">
              <w:rPr>
                <w:rFonts w:ascii="Calibri" w:hAnsi="Calibri" w:cs="Calibri"/>
                <w:sz w:val="20"/>
                <w:szCs w:val="20"/>
                <w:lang w:eastAsia="en-GB"/>
              </w:rPr>
              <w:t>0.60 (0.43–0.77)</w:t>
            </w:r>
          </w:p>
          <w:p w14:paraId="5F554153" w14:textId="77777777" w:rsidR="00314DBD" w:rsidRPr="00BB3B54" w:rsidRDefault="00314DBD" w:rsidP="00314DBD">
            <w:pPr>
              <w:rPr>
                <w:rFonts w:ascii="Calibri" w:hAnsi="Calibri" w:cs="Calibri"/>
                <w:sz w:val="20"/>
                <w:szCs w:val="20"/>
                <w:lang w:eastAsia="en-GB"/>
              </w:rPr>
            </w:pPr>
            <w:r w:rsidRPr="00BB3B54">
              <w:rPr>
                <w:rFonts w:ascii="Calibri" w:hAnsi="Calibri" w:cs="Calibri"/>
                <w:sz w:val="20"/>
                <w:szCs w:val="20"/>
                <w:lang w:eastAsia="en-GB"/>
              </w:rPr>
              <w:t>1.39 (1.01–1.77)</w:t>
            </w:r>
          </w:p>
          <w:p w14:paraId="08F886FB" w14:textId="64B7FCDE" w:rsidR="00314DBD" w:rsidRPr="00BB3B54" w:rsidRDefault="00314DBD" w:rsidP="00314DBD">
            <w:pPr>
              <w:spacing w:after="60"/>
              <w:rPr>
                <w:rFonts w:ascii="Calibri" w:hAnsi="Calibri" w:cs="Calibri"/>
                <w:sz w:val="20"/>
                <w:szCs w:val="20"/>
                <w:lang w:eastAsia="en-GB"/>
              </w:rPr>
            </w:pPr>
            <w:r w:rsidRPr="00BB3B54">
              <w:rPr>
                <w:rFonts w:ascii="Calibri" w:hAnsi="Calibri" w:cs="Calibri"/>
                <w:sz w:val="20"/>
                <w:szCs w:val="20"/>
                <w:lang w:eastAsia="en-GB"/>
              </w:rPr>
              <w:t>0.35 (0.32–0.37)</w:t>
            </w:r>
          </w:p>
        </w:tc>
        <w:tc>
          <w:tcPr>
            <w:tcW w:w="1633" w:type="dxa"/>
            <w:vMerge/>
            <w:tcBorders>
              <w:bottom w:val="single" w:sz="4" w:space="0" w:color="auto"/>
            </w:tcBorders>
            <w:shd w:val="clear" w:color="auto" w:fill="92D050"/>
            <w:vAlign w:val="center"/>
          </w:tcPr>
          <w:p w14:paraId="415EEEB3" w14:textId="77777777" w:rsidR="00314DBD" w:rsidRPr="00BB3B54" w:rsidRDefault="00314DBD" w:rsidP="00314DBD">
            <w:pPr>
              <w:keepNext/>
              <w:keepLines/>
              <w:jc w:val="center"/>
              <w:outlineLvl w:val="0"/>
              <w:rPr>
                <w:rFonts w:ascii="Calibri" w:hAnsi="Calibri" w:cs="Calibri"/>
                <w:b/>
                <w:bCs/>
                <w:smallCaps/>
                <w:color w:val="FF0000"/>
                <w:kern w:val="32"/>
                <w:sz w:val="20"/>
                <w:szCs w:val="20"/>
              </w:rPr>
            </w:pPr>
          </w:p>
        </w:tc>
      </w:tr>
    </w:tbl>
    <w:p w14:paraId="57EE29DA" w14:textId="77777777" w:rsidR="005263C8" w:rsidRPr="00BB3B54" w:rsidRDefault="005263C8" w:rsidP="005263C8">
      <w:pPr>
        <w:ind w:left="720"/>
        <w:rPr>
          <w:rFonts w:ascii="Calibri" w:hAnsi="Calibri" w:cs="Calibri"/>
          <w:sz w:val="18"/>
          <w:szCs w:val="18"/>
        </w:rPr>
      </w:pPr>
      <w:r w:rsidRPr="00BB3B54">
        <w:rPr>
          <w:rFonts w:ascii="Calibri" w:hAnsi="Calibri" w:cs="Calibri"/>
          <w:sz w:val="20"/>
          <w:szCs w:val="20"/>
          <w:vertAlign w:val="superscript"/>
        </w:rPr>
        <w:t xml:space="preserve">1 </w:t>
      </w:r>
      <w:r w:rsidRPr="00BB3B54">
        <w:rPr>
          <w:rFonts w:ascii="Calibri" w:hAnsi="Calibri" w:cs="Calibri"/>
          <w:sz w:val="18"/>
          <w:szCs w:val="18"/>
        </w:rPr>
        <w:t>Boundaries for the Indian Ocean stock assessment are defined as the IOTC area of competence</w:t>
      </w:r>
    </w:p>
    <w:p w14:paraId="66C881B6" w14:textId="77777777" w:rsidR="005263C8" w:rsidRDefault="005263C8" w:rsidP="005263C8">
      <w:pPr>
        <w:ind w:left="720"/>
        <w:rPr>
          <w:rFonts w:ascii="Calibri" w:hAnsi="Calibri" w:cs="Calibri"/>
          <w:color w:val="000000"/>
          <w:sz w:val="18"/>
          <w:szCs w:val="18"/>
        </w:rPr>
      </w:pPr>
      <w:r w:rsidRPr="00BB3B54">
        <w:rPr>
          <w:rFonts w:ascii="Calibri" w:hAnsi="Calibri" w:cs="Calibri"/>
          <w:bCs/>
          <w:smallCaps/>
          <w:color w:val="000000"/>
          <w:kern w:val="32"/>
          <w:sz w:val="18"/>
          <w:szCs w:val="18"/>
          <w:vertAlign w:val="superscript"/>
        </w:rPr>
        <w:t xml:space="preserve">2 </w:t>
      </w:r>
      <w:r w:rsidRPr="00BB3B54">
        <w:rPr>
          <w:rFonts w:ascii="Calibri" w:hAnsi="Calibri" w:cs="Calibri"/>
          <w:color w:val="000000"/>
          <w:sz w:val="18"/>
          <w:szCs w:val="18"/>
        </w:rPr>
        <w:t>Proportion of 202</w:t>
      </w:r>
      <w:r>
        <w:rPr>
          <w:rFonts w:ascii="Calibri" w:hAnsi="Calibri" w:cs="Calibri"/>
          <w:color w:val="000000"/>
          <w:sz w:val="18"/>
          <w:szCs w:val="18"/>
        </w:rPr>
        <w:t>2</w:t>
      </w:r>
      <w:r w:rsidRPr="00BB3B54">
        <w:rPr>
          <w:rFonts w:ascii="Calibri" w:hAnsi="Calibri" w:cs="Calibri"/>
          <w:color w:val="000000"/>
          <w:sz w:val="18"/>
          <w:szCs w:val="18"/>
        </w:rPr>
        <w:t xml:space="preserve"> catch estimated or partially estimated by IOTC Secretariat: </w:t>
      </w:r>
      <w:r>
        <w:rPr>
          <w:rFonts w:ascii="Calibri" w:hAnsi="Calibri" w:cs="Calibri"/>
          <w:color w:val="000000"/>
          <w:sz w:val="18"/>
          <w:szCs w:val="18"/>
        </w:rPr>
        <w:t>19.3</w:t>
      </w:r>
      <w:r w:rsidRPr="00BB3B54">
        <w:rPr>
          <w:rFonts w:ascii="Calibri" w:hAnsi="Calibri" w:cs="Calibri"/>
          <w:color w:val="000000"/>
          <w:sz w:val="18"/>
          <w:szCs w:val="18"/>
        </w:rPr>
        <w:t>%</w:t>
      </w:r>
    </w:p>
    <w:p w14:paraId="35250413" w14:textId="77777777" w:rsidR="005263C8" w:rsidRPr="00BB3B54" w:rsidRDefault="005263C8" w:rsidP="005263C8">
      <w:pPr>
        <w:ind w:left="720"/>
        <w:rPr>
          <w:rFonts w:ascii="Calibri" w:hAnsi="Calibri" w:cs="Calibri"/>
          <w:bCs/>
          <w:smallCaps/>
          <w:color w:val="000000"/>
          <w:kern w:val="32"/>
          <w:sz w:val="18"/>
          <w:szCs w:val="18"/>
          <w:vertAlign w:val="superscript"/>
        </w:rPr>
      </w:pPr>
      <w:r w:rsidRPr="00171C5F">
        <w:rPr>
          <w:rFonts w:ascii="Calibri" w:eastAsia="Calibri" w:hAnsi="Calibri" w:cs="Calibri"/>
          <w:sz w:val="18"/>
          <w:szCs w:val="18"/>
          <w:vertAlign w:val="superscript"/>
        </w:rPr>
        <w:t>3</w:t>
      </w:r>
      <w:r w:rsidRPr="00171C5F">
        <w:rPr>
          <w:rFonts w:ascii="Calibri" w:eastAsia="Calibri" w:hAnsi="Calibri" w:cs="Calibri"/>
          <w:sz w:val="18"/>
          <w:szCs w:val="18"/>
        </w:rPr>
        <w:t>2021 i</w:t>
      </w:r>
      <w:r>
        <w:rPr>
          <w:rFonts w:ascii="Calibri" w:eastAsia="Calibri" w:hAnsi="Calibri" w:cs="Calibri"/>
          <w:sz w:val="18"/>
          <w:szCs w:val="18"/>
        </w:rPr>
        <w:t>s</w:t>
      </w:r>
      <w:r w:rsidRPr="00C250FC">
        <w:rPr>
          <w:rFonts w:ascii="Calibri" w:eastAsia="Calibri" w:hAnsi="Calibri" w:cs="Calibri"/>
          <w:sz w:val="18"/>
          <w:szCs w:val="18"/>
        </w:rPr>
        <w:t xml:space="preserve"> the final year </w:t>
      </w:r>
      <w:r>
        <w:rPr>
          <w:rFonts w:ascii="Calibri" w:eastAsia="Calibri" w:hAnsi="Calibri" w:cs="Calibri"/>
          <w:sz w:val="18"/>
          <w:szCs w:val="18"/>
        </w:rPr>
        <w:t xml:space="preserve">that </w:t>
      </w:r>
      <w:r w:rsidRPr="00C250FC">
        <w:rPr>
          <w:rFonts w:ascii="Calibri" w:eastAsia="Calibri" w:hAnsi="Calibri" w:cs="Calibri"/>
          <w:sz w:val="18"/>
          <w:szCs w:val="18"/>
        </w:rPr>
        <w:t>data</w:t>
      </w:r>
      <w:r>
        <w:rPr>
          <w:rFonts w:ascii="Calibri" w:eastAsia="Calibri" w:hAnsi="Calibri" w:cs="Calibri"/>
          <w:sz w:val="18"/>
          <w:szCs w:val="18"/>
        </w:rPr>
        <w:t xml:space="preserve"> were</w:t>
      </w:r>
      <w:r w:rsidRPr="00C250FC">
        <w:rPr>
          <w:rFonts w:ascii="Calibri" w:eastAsia="Calibri" w:hAnsi="Calibri" w:cs="Calibri"/>
          <w:sz w:val="18"/>
          <w:szCs w:val="18"/>
        </w:rPr>
        <w:t xml:space="preserve"> available for </w:t>
      </w:r>
      <w:r>
        <w:rPr>
          <w:rFonts w:ascii="Calibri" w:eastAsia="Calibri" w:hAnsi="Calibri" w:cs="Calibri"/>
          <w:sz w:val="18"/>
          <w:szCs w:val="18"/>
        </w:rPr>
        <w:t xml:space="preserve">this </w:t>
      </w:r>
      <w:r w:rsidRPr="00C250FC">
        <w:rPr>
          <w:rFonts w:ascii="Calibri" w:eastAsia="Calibri" w:hAnsi="Calibri" w:cs="Calibri"/>
          <w:sz w:val="18"/>
          <w:szCs w:val="18"/>
        </w:rPr>
        <w:t>assessment</w:t>
      </w:r>
    </w:p>
    <w:p w14:paraId="681A2863" w14:textId="77777777" w:rsidR="005263C8" w:rsidRPr="00BB3B54" w:rsidRDefault="005263C8" w:rsidP="005263C8">
      <w:pPr>
        <w:ind w:left="567"/>
        <w:rPr>
          <w:rFonts w:ascii="Calibri" w:hAnsi="Calibri" w:cs="Calibri"/>
          <w:sz w:val="18"/>
          <w:szCs w:val="18"/>
        </w:rPr>
      </w:pPr>
    </w:p>
    <w:tbl>
      <w:tblPr>
        <w:tblStyle w:val="TableGrid3152101"/>
        <w:tblW w:w="0" w:type="auto"/>
        <w:jc w:val="center"/>
        <w:shd w:val="clear" w:color="auto" w:fill="FFFFFF"/>
        <w:tblLook w:val="04A0" w:firstRow="1" w:lastRow="0" w:firstColumn="1" w:lastColumn="0" w:noHBand="0" w:noVBand="1"/>
      </w:tblPr>
      <w:tblGrid>
        <w:gridCol w:w="3685"/>
        <w:gridCol w:w="2727"/>
        <w:gridCol w:w="2938"/>
      </w:tblGrid>
      <w:tr w:rsidR="005263C8" w:rsidRPr="00BB3B54" w14:paraId="3BD6E415"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4E8C55D9" w14:textId="77777777" w:rsidR="005263C8" w:rsidRPr="00BB3B54" w:rsidRDefault="005263C8" w:rsidP="00444A1C">
            <w:pPr>
              <w:keepNext/>
              <w:keepLines/>
              <w:spacing w:after="20"/>
              <w:jc w:val="center"/>
              <w:rPr>
                <w:rFonts w:ascii="Calibri" w:hAnsi="Calibri" w:cs="Calibri"/>
                <w:b/>
                <w:color w:val="000000"/>
                <w:sz w:val="18"/>
                <w:szCs w:val="18"/>
              </w:rPr>
            </w:pPr>
            <w:r w:rsidRPr="00BB3B54">
              <w:rPr>
                <w:rFonts w:ascii="Calibri" w:hAnsi="Calibri" w:cs="Calibri"/>
                <w:b/>
                <w:color w:val="000000"/>
                <w:sz w:val="18"/>
                <w:szCs w:val="18"/>
              </w:rPr>
              <w:t>Colour key</w:t>
            </w:r>
          </w:p>
        </w:tc>
        <w:tc>
          <w:tcPr>
            <w:tcW w:w="2727" w:type="dxa"/>
            <w:tcBorders>
              <w:top w:val="single" w:sz="4" w:space="0" w:color="auto"/>
              <w:left w:val="single" w:sz="4" w:space="0" w:color="auto"/>
              <w:bottom w:val="single" w:sz="4" w:space="0" w:color="auto"/>
              <w:right w:val="single" w:sz="4" w:space="0" w:color="auto"/>
            </w:tcBorders>
            <w:shd w:val="clear" w:color="auto" w:fill="FFFFFF"/>
            <w:vAlign w:val="center"/>
          </w:tcPr>
          <w:p w14:paraId="78C657A5" w14:textId="77777777" w:rsidR="005263C8" w:rsidRPr="00BB3B54" w:rsidRDefault="005263C8" w:rsidP="00444A1C">
            <w:pPr>
              <w:keepNext/>
              <w:keepLines/>
              <w:spacing w:after="20"/>
              <w:jc w:val="center"/>
              <w:rPr>
                <w:rFonts w:ascii="Calibri" w:hAnsi="Calibri" w:cs="Calibri"/>
                <w:color w:val="000000"/>
                <w:sz w:val="18"/>
                <w:szCs w:val="18"/>
              </w:rPr>
            </w:pPr>
            <w:r w:rsidRPr="00BB3B54">
              <w:rPr>
                <w:rFonts w:ascii="Calibri" w:hAnsi="Calibri" w:cs="Calibri"/>
                <w:color w:val="000000"/>
                <w:sz w:val="18"/>
                <w:szCs w:val="18"/>
              </w:rPr>
              <w:t>Stock overfished (</w:t>
            </w:r>
            <w:r w:rsidRPr="00BB3B54">
              <w:rPr>
                <w:rFonts w:ascii="Calibri" w:hAnsi="Calibri" w:cs="Calibri"/>
                <w:color w:val="000000"/>
                <w:sz w:val="16"/>
                <w:szCs w:val="18"/>
              </w:rPr>
              <w:t>SB</w:t>
            </w:r>
            <w:r w:rsidRPr="00BB3B54">
              <w:rPr>
                <w:rFonts w:ascii="Calibri" w:hAnsi="Calibri" w:cs="Calibri"/>
                <w:color w:val="000000"/>
                <w:sz w:val="16"/>
                <w:szCs w:val="18"/>
                <w:vertAlign w:val="subscript"/>
              </w:rPr>
              <w:t>year</w:t>
            </w:r>
            <w:r w:rsidRPr="00BB3B54">
              <w:rPr>
                <w:rFonts w:ascii="Calibri" w:hAnsi="Calibri" w:cs="Calibri"/>
                <w:color w:val="000000"/>
                <w:sz w:val="16"/>
                <w:szCs w:val="18"/>
              </w:rPr>
              <w:t>/SB</w:t>
            </w:r>
            <w:r w:rsidRPr="00BB3B54">
              <w:rPr>
                <w:rFonts w:ascii="Calibri" w:hAnsi="Calibri" w:cs="Calibri"/>
                <w:color w:val="000000"/>
                <w:sz w:val="16"/>
                <w:szCs w:val="18"/>
                <w:vertAlign w:val="subscript"/>
              </w:rPr>
              <w:t>MSY</w:t>
            </w:r>
            <w:r w:rsidRPr="00BB3B54">
              <w:rPr>
                <w:rFonts w:ascii="Calibri" w:hAnsi="Calibri" w:cs="Calibri"/>
                <w:color w:val="000000"/>
                <w:sz w:val="16"/>
                <w:szCs w:val="18"/>
              </w:rPr>
              <w:t>&lt; 1</w:t>
            </w:r>
            <w:r w:rsidRPr="00BB3B54">
              <w:rPr>
                <w:rFonts w:ascii="Calibri" w:hAnsi="Calibri" w:cs="Calibri"/>
                <w:color w:val="000000"/>
                <w:sz w:val="18"/>
                <w:szCs w:val="18"/>
              </w:rPr>
              <w:t>)</w:t>
            </w:r>
          </w:p>
        </w:tc>
        <w:tc>
          <w:tcPr>
            <w:tcW w:w="2938" w:type="dxa"/>
            <w:tcBorders>
              <w:top w:val="single" w:sz="4" w:space="0" w:color="auto"/>
              <w:left w:val="single" w:sz="4" w:space="0" w:color="auto"/>
              <w:bottom w:val="single" w:sz="4" w:space="0" w:color="auto"/>
              <w:right w:val="single" w:sz="4" w:space="0" w:color="auto"/>
            </w:tcBorders>
            <w:shd w:val="clear" w:color="auto" w:fill="FFFFFF"/>
            <w:vAlign w:val="center"/>
          </w:tcPr>
          <w:p w14:paraId="6C1D51C5" w14:textId="77777777" w:rsidR="005263C8" w:rsidRPr="00BB3B54" w:rsidRDefault="005263C8" w:rsidP="00444A1C">
            <w:pPr>
              <w:keepNext/>
              <w:keepLines/>
              <w:spacing w:after="20"/>
              <w:jc w:val="center"/>
              <w:rPr>
                <w:rFonts w:ascii="Calibri" w:hAnsi="Calibri" w:cs="Calibri"/>
                <w:color w:val="000000"/>
                <w:sz w:val="18"/>
                <w:szCs w:val="18"/>
              </w:rPr>
            </w:pPr>
            <w:r w:rsidRPr="00BB3B54">
              <w:rPr>
                <w:rFonts w:ascii="Calibri" w:hAnsi="Calibri" w:cs="Calibri"/>
                <w:color w:val="000000"/>
                <w:sz w:val="18"/>
                <w:szCs w:val="18"/>
              </w:rPr>
              <w:t>Stock not overfished (</w:t>
            </w:r>
            <w:r w:rsidRPr="00BB3B54">
              <w:rPr>
                <w:rFonts w:ascii="Calibri" w:hAnsi="Calibri" w:cs="Calibri"/>
                <w:color w:val="000000"/>
                <w:sz w:val="16"/>
                <w:szCs w:val="18"/>
              </w:rPr>
              <w:t>SB</w:t>
            </w:r>
            <w:r w:rsidRPr="00BB3B54">
              <w:rPr>
                <w:rFonts w:ascii="Calibri" w:hAnsi="Calibri" w:cs="Calibri"/>
                <w:color w:val="000000"/>
                <w:sz w:val="16"/>
                <w:szCs w:val="18"/>
                <w:vertAlign w:val="subscript"/>
              </w:rPr>
              <w:t>year</w:t>
            </w:r>
            <w:r w:rsidRPr="00BB3B54">
              <w:rPr>
                <w:rFonts w:ascii="Calibri" w:hAnsi="Calibri" w:cs="Calibri"/>
                <w:color w:val="000000"/>
                <w:sz w:val="16"/>
                <w:szCs w:val="18"/>
              </w:rPr>
              <w:t>/SB</w:t>
            </w:r>
            <w:r w:rsidRPr="00BB3B54">
              <w:rPr>
                <w:rFonts w:ascii="Calibri" w:hAnsi="Calibri" w:cs="Calibri"/>
                <w:color w:val="000000"/>
                <w:sz w:val="16"/>
                <w:szCs w:val="18"/>
                <w:vertAlign w:val="subscript"/>
              </w:rPr>
              <w:t>MSY</w:t>
            </w:r>
            <w:r w:rsidRPr="00BB3B54">
              <w:rPr>
                <w:rFonts w:ascii="Calibri" w:hAnsi="Calibri" w:cs="Calibri"/>
                <w:color w:val="000000"/>
                <w:sz w:val="16"/>
                <w:szCs w:val="18"/>
              </w:rPr>
              <w:t>≥ 1</w:t>
            </w:r>
            <w:r w:rsidRPr="00BB3B54">
              <w:rPr>
                <w:rFonts w:ascii="Calibri" w:hAnsi="Calibri" w:cs="Calibri"/>
                <w:color w:val="000000"/>
                <w:sz w:val="18"/>
                <w:szCs w:val="18"/>
              </w:rPr>
              <w:t>)</w:t>
            </w:r>
          </w:p>
        </w:tc>
      </w:tr>
      <w:tr w:rsidR="005263C8" w:rsidRPr="00BB3B54" w14:paraId="19C5306A"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3DF8DAA9" w14:textId="77777777" w:rsidR="005263C8" w:rsidRPr="00BB3B54" w:rsidRDefault="005263C8" w:rsidP="00444A1C">
            <w:pPr>
              <w:keepNext/>
              <w:keepLines/>
              <w:spacing w:after="20"/>
              <w:rPr>
                <w:rFonts w:ascii="Calibri" w:hAnsi="Calibri" w:cs="Calibri"/>
                <w:color w:val="000000"/>
                <w:sz w:val="18"/>
                <w:szCs w:val="18"/>
              </w:rPr>
            </w:pPr>
            <w:r w:rsidRPr="00BB3B54">
              <w:rPr>
                <w:rFonts w:ascii="Calibri" w:hAnsi="Calibri" w:cs="Calibri"/>
                <w:color w:val="000000"/>
                <w:sz w:val="18"/>
                <w:szCs w:val="18"/>
              </w:rPr>
              <w:t>Stock subject to overfishing (F</w:t>
            </w:r>
            <w:r w:rsidRPr="00BB3B54">
              <w:rPr>
                <w:rFonts w:ascii="Calibri" w:hAnsi="Calibri" w:cs="Calibri"/>
                <w:color w:val="000000"/>
                <w:sz w:val="18"/>
                <w:szCs w:val="18"/>
                <w:vertAlign w:val="subscript"/>
              </w:rPr>
              <w:t>year</w:t>
            </w:r>
            <w:r w:rsidRPr="00BB3B54">
              <w:rPr>
                <w:rFonts w:ascii="Calibri" w:hAnsi="Calibri" w:cs="Calibri"/>
                <w:color w:val="000000"/>
                <w:sz w:val="18"/>
                <w:szCs w:val="18"/>
              </w:rPr>
              <w:t>/F</w:t>
            </w:r>
            <w:r w:rsidRPr="00BB3B54">
              <w:rPr>
                <w:rFonts w:ascii="Calibri" w:hAnsi="Calibri" w:cs="Calibri"/>
                <w:color w:val="000000"/>
                <w:sz w:val="18"/>
                <w:szCs w:val="18"/>
                <w:vertAlign w:val="subscript"/>
              </w:rPr>
              <w:t>MSY</w:t>
            </w:r>
            <w:r w:rsidRPr="00BB3B54">
              <w:rPr>
                <w:rFonts w:ascii="Calibri" w:hAnsi="Calibri" w:cs="Calibri"/>
                <w:color w:val="000000"/>
                <w:sz w:val="18"/>
                <w:szCs w:val="18"/>
              </w:rPr>
              <w:t>&gt; 1)</w:t>
            </w:r>
          </w:p>
        </w:tc>
        <w:tc>
          <w:tcPr>
            <w:tcW w:w="2727" w:type="dxa"/>
            <w:tcBorders>
              <w:top w:val="single" w:sz="4" w:space="0" w:color="auto"/>
              <w:left w:val="single" w:sz="4" w:space="0" w:color="auto"/>
              <w:bottom w:val="single" w:sz="4" w:space="0" w:color="auto"/>
              <w:right w:val="single" w:sz="4" w:space="0" w:color="auto"/>
            </w:tcBorders>
            <w:shd w:val="clear" w:color="auto" w:fill="FF0000"/>
            <w:vAlign w:val="center"/>
          </w:tcPr>
          <w:p w14:paraId="0EE967DB" w14:textId="77777777" w:rsidR="005263C8" w:rsidRPr="00BB3B54" w:rsidRDefault="005263C8" w:rsidP="00444A1C">
            <w:pPr>
              <w:keepNext/>
              <w:keepLines/>
              <w:jc w:val="center"/>
              <w:rPr>
                <w:rFonts w:ascii="Calibri" w:hAnsi="Calibri" w:cs="Calibri"/>
                <w:color w:val="000000"/>
                <w:sz w:val="18"/>
                <w:szCs w:val="18"/>
              </w:rPr>
            </w:pPr>
            <w:r w:rsidRPr="00BB3B54">
              <w:rPr>
                <w:rFonts w:ascii="Calibri" w:hAnsi="Calibri" w:cs="Calibri"/>
                <w:color w:val="000000"/>
                <w:sz w:val="18"/>
                <w:szCs w:val="18"/>
              </w:rPr>
              <w:t>0.</w:t>
            </w:r>
            <w:r>
              <w:rPr>
                <w:rFonts w:ascii="Calibri" w:hAnsi="Calibri" w:cs="Calibri"/>
                <w:color w:val="000000"/>
                <w:sz w:val="18"/>
                <w:szCs w:val="18"/>
              </w:rPr>
              <w:t>2%</w:t>
            </w:r>
          </w:p>
        </w:tc>
        <w:tc>
          <w:tcPr>
            <w:tcW w:w="2938" w:type="dxa"/>
            <w:tcBorders>
              <w:top w:val="single" w:sz="4" w:space="0" w:color="auto"/>
              <w:left w:val="single" w:sz="4" w:space="0" w:color="auto"/>
              <w:bottom w:val="single" w:sz="4" w:space="0" w:color="auto"/>
              <w:right w:val="single" w:sz="4" w:space="0" w:color="auto"/>
            </w:tcBorders>
            <w:shd w:val="clear" w:color="auto" w:fill="FFC000"/>
            <w:vAlign w:val="center"/>
          </w:tcPr>
          <w:p w14:paraId="2B41E399" w14:textId="77777777" w:rsidR="005263C8" w:rsidRPr="00BB3B54" w:rsidRDefault="005263C8" w:rsidP="00444A1C">
            <w:pPr>
              <w:keepNext/>
              <w:keepLines/>
              <w:jc w:val="center"/>
              <w:rPr>
                <w:rFonts w:ascii="Calibri" w:hAnsi="Calibri" w:cs="Calibri"/>
                <w:color w:val="000000"/>
                <w:sz w:val="18"/>
                <w:szCs w:val="18"/>
              </w:rPr>
            </w:pPr>
            <w:r w:rsidRPr="00BB3B54">
              <w:rPr>
                <w:rFonts w:ascii="Calibri" w:hAnsi="Calibri" w:cs="Calibri"/>
                <w:color w:val="000000"/>
                <w:sz w:val="18"/>
                <w:szCs w:val="18"/>
              </w:rPr>
              <w:t>0</w:t>
            </w:r>
          </w:p>
        </w:tc>
      </w:tr>
      <w:tr w:rsidR="005263C8" w:rsidRPr="00BB3B54" w14:paraId="527C66DE"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3CDEFF17" w14:textId="77777777" w:rsidR="005263C8" w:rsidRPr="00BB3B54" w:rsidRDefault="005263C8" w:rsidP="00444A1C">
            <w:pPr>
              <w:keepNext/>
              <w:keepLines/>
              <w:spacing w:after="20"/>
              <w:rPr>
                <w:rFonts w:ascii="Calibri" w:hAnsi="Calibri" w:cs="Calibri"/>
                <w:color w:val="000000"/>
                <w:sz w:val="18"/>
                <w:szCs w:val="18"/>
              </w:rPr>
            </w:pPr>
            <w:r w:rsidRPr="00BB3B54">
              <w:rPr>
                <w:rFonts w:ascii="Calibri" w:hAnsi="Calibri" w:cs="Calibri"/>
                <w:color w:val="000000"/>
                <w:sz w:val="18"/>
                <w:szCs w:val="18"/>
              </w:rPr>
              <w:t>Stock not subject to overfishing (F</w:t>
            </w:r>
            <w:r w:rsidRPr="00BB3B54">
              <w:rPr>
                <w:rFonts w:ascii="Calibri" w:hAnsi="Calibri" w:cs="Calibri"/>
                <w:color w:val="000000"/>
                <w:sz w:val="18"/>
                <w:szCs w:val="18"/>
                <w:vertAlign w:val="subscript"/>
              </w:rPr>
              <w:t>year</w:t>
            </w:r>
            <w:r w:rsidRPr="00BB3B54">
              <w:rPr>
                <w:rFonts w:ascii="Calibri" w:hAnsi="Calibri" w:cs="Calibri"/>
                <w:color w:val="000000"/>
                <w:sz w:val="18"/>
                <w:szCs w:val="18"/>
              </w:rPr>
              <w:t>/F</w:t>
            </w:r>
            <w:r w:rsidRPr="00BB3B54">
              <w:rPr>
                <w:rFonts w:ascii="Calibri" w:hAnsi="Calibri" w:cs="Calibri"/>
                <w:color w:val="000000"/>
                <w:sz w:val="18"/>
                <w:szCs w:val="18"/>
                <w:vertAlign w:val="subscript"/>
              </w:rPr>
              <w:t>MSY</w:t>
            </w:r>
            <w:r w:rsidRPr="00BB3B54">
              <w:rPr>
                <w:rFonts w:ascii="Calibri" w:hAnsi="Calibri" w:cs="Calibri"/>
                <w:color w:val="000000"/>
                <w:sz w:val="18"/>
                <w:szCs w:val="18"/>
              </w:rPr>
              <w:t>≤ 1)</w:t>
            </w:r>
          </w:p>
        </w:tc>
        <w:tc>
          <w:tcPr>
            <w:tcW w:w="2727" w:type="dxa"/>
            <w:tcBorders>
              <w:top w:val="single" w:sz="4" w:space="0" w:color="auto"/>
              <w:left w:val="single" w:sz="4" w:space="0" w:color="auto"/>
              <w:bottom w:val="single" w:sz="4" w:space="0" w:color="auto"/>
              <w:right w:val="single" w:sz="4" w:space="0" w:color="auto"/>
            </w:tcBorders>
            <w:shd w:val="clear" w:color="auto" w:fill="FFFF00"/>
            <w:vAlign w:val="center"/>
          </w:tcPr>
          <w:p w14:paraId="51ECF21E" w14:textId="77777777" w:rsidR="005263C8" w:rsidRPr="00BB3B54" w:rsidRDefault="005263C8" w:rsidP="00444A1C">
            <w:pPr>
              <w:keepNext/>
              <w:keepLines/>
              <w:jc w:val="center"/>
              <w:rPr>
                <w:rFonts w:ascii="Calibri" w:hAnsi="Calibri" w:cs="Calibri"/>
                <w:color w:val="000000"/>
                <w:sz w:val="18"/>
                <w:szCs w:val="18"/>
              </w:rPr>
            </w:pPr>
            <w:r w:rsidRPr="00BB3B54">
              <w:rPr>
                <w:rFonts w:ascii="Calibri" w:hAnsi="Calibri" w:cs="Calibri"/>
                <w:color w:val="000000"/>
                <w:sz w:val="18"/>
                <w:szCs w:val="18"/>
              </w:rPr>
              <w:t>3</w:t>
            </w:r>
            <w:r>
              <w:rPr>
                <w:rFonts w:ascii="Calibri" w:hAnsi="Calibri" w:cs="Calibri"/>
                <w:color w:val="000000"/>
                <w:sz w:val="18"/>
                <w:szCs w:val="18"/>
              </w:rPr>
              <w:t>%</w:t>
            </w:r>
          </w:p>
        </w:tc>
        <w:tc>
          <w:tcPr>
            <w:tcW w:w="2938" w:type="dxa"/>
            <w:tcBorders>
              <w:top w:val="single" w:sz="4" w:space="0" w:color="auto"/>
              <w:left w:val="single" w:sz="4" w:space="0" w:color="auto"/>
              <w:bottom w:val="single" w:sz="4" w:space="0" w:color="auto"/>
              <w:right w:val="single" w:sz="4" w:space="0" w:color="auto"/>
            </w:tcBorders>
            <w:shd w:val="clear" w:color="auto" w:fill="92D050"/>
            <w:vAlign w:val="center"/>
          </w:tcPr>
          <w:p w14:paraId="0A113DCC" w14:textId="77777777" w:rsidR="005263C8" w:rsidRPr="00BB3B54" w:rsidRDefault="005263C8" w:rsidP="00444A1C">
            <w:pPr>
              <w:keepNext/>
              <w:keepLines/>
              <w:jc w:val="center"/>
              <w:rPr>
                <w:rFonts w:ascii="Calibri" w:hAnsi="Calibri" w:cs="Calibri"/>
                <w:color w:val="000000"/>
                <w:sz w:val="18"/>
                <w:szCs w:val="18"/>
              </w:rPr>
            </w:pPr>
            <w:r w:rsidRPr="00BB3B54">
              <w:rPr>
                <w:rFonts w:ascii="Calibri" w:hAnsi="Calibri" w:cs="Calibri"/>
                <w:color w:val="000000"/>
                <w:sz w:val="18"/>
                <w:szCs w:val="18"/>
              </w:rPr>
              <w:t>97</w:t>
            </w:r>
            <w:r>
              <w:rPr>
                <w:rFonts w:ascii="Calibri" w:hAnsi="Calibri" w:cs="Calibri"/>
                <w:color w:val="000000"/>
                <w:sz w:val="18"/>
                <w:szCs w:val="18"/>
              </w:rPr>
              <w:t>%</w:t>
            </w:r>
          </w:p>
        </w:tc>
      </w:tr>
      <w:tr w:rsidR="005263C8" w:rsidRPr="00BB3B54" w14:paraId="02EE4FA6"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09832F7D" w14:textId="77777777" w:rsidR="005263C8" w:rsidRPr="00BB3B54" w:rsidRDefault="005263C8" w:rsidP="00444A1C">
            <w:pPr>
              <w:keepNext/>
              <w:keepLines/>
              <w:spacing w:after="20"/>
              <w:rPr>
                <w:rFonts w:ascii="Calibri" w:hAnsi="Calibri" w:cs="Calibri"/>
                <w:color w:val="000000"/>
                <w:sz w:val="18"/>
                <w:szCs w:val="18"/>
              </w:rPr>
            </w:pPr>
            <w:r w:rsidRPr="00BB3B54">
              <w:rPr>
                <w:rFonts w:ascii="Calibri" w:hAnsi="Calibri" w:cs="Calibri"/>
                <w:color w:val="000000"/>
                <w:sz w:val="18"/>
                <w:szCs w:val="18"/>
              </w:rPr>
              <w:t>Not assessed/Uncertain</w:t>
            </w:r>
            <w:r>
              <w:rPr>
                <w:rFonts w:ascii="Calibri" w:hAnsi="Calibri" w:cs="Calibri"/>
                <w:color w:val="000000"/>
                <w:sz w:val="18"/>
                <w:szCs w:val="18"/>
              </w:rPr>
              <w:t>/Unknown</w:t>
            </w:r>
          </w:p>
        </w:tc>
        <w:tc>
          <w:tcPr>
            <w:tcW w:w="566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08C183EA" w14:textId="77777777" w:rsidR="005263C8" w:rsidRPr="00BB3B54" w:rsidRDefault="005263C8" w:rsidP="00444A1C">
            <w:pPr>
              <w:keepNext/>
              <w:keepLines/>
              <w:jc w:val="center"/>
              <w:rPr>
                <w:rFonts w:ascii="Calibri" w:hAnsi="Calibri" w:cs="Calibri"/>
                <w:color w:val="000000"/>
                <w:sz w:val="18"/>
                <w:szCs w:val="18"/>
              </w:rPr>
            </w:pPr>
          </w:p>
        </w:tc>
      </w:tr>
    </w:tbl>
    <w:p w14:paraId="0B724A28" w14:textId="77777777" w:rsidR="005263C8" w:rsidRPr="00BB3B54" w:rsidRDefault="005263C8" w:rsidP="005263C8">
      <w:pPr>
        <w:spacing w:before="240" w:after="240"/>
        <w:rPr>
          <w:rFonts w:ascii="Calibri" w:hAnsi="Calibri" w:cs="Calibri"/>
          <w:b/>
          <w:smallCaps/>
        </w:rPr>
      </w:pPr>
      <w:r w:rsidRPr="00BB3B54">
        <w:rPr>
          <w:rFonts w:ascii="Calibri" w:hAnsi="Calibri" w:cs="Calibri"/>
          <w:b/>
          <w:smallCaps/>
        </w:rPr>
        <w:t>Indian Ocean stock – Management Advice</w:t>
      </w:r>
    </w:p>
    <w:p w14:paraId="3A939283" w14:textId="33E4CE90" w:rsidR="005263C8" w:rsidRPr="00BB3B54" w:rsidRDefault="005263C8" w:rsidP="005263C8">
      <w:pPr>
        <w:jc w:val="both"/>
        <w:rPr>
          <w:rFonts w:ascii="Calibri" w:hAnsi="Calibri" w:cs="Calibri"/>
          <w:iCs/>
          <w:szCs w:val="20"/>
        </w:rPr>
      </w:pPr>
      <w:r w:rsidRPr="00BB3B54">
        <w:rPr>
          <w:rFonts w:ascii="Calibri" w:hAnsi="Calibri" w:cs="Calibri"/>
          <w:b/>
          <w:bCs/>
          <w:i/>
          <w:szCs w:val="20"/>
        </w:rPr>
        <w:t>Stock status</w:t>
      </w:r>
      <w:r w:rsidRPr="00BB3B54">
        <w:rPr>
          <w:rFonts w:ascii="Calibri" w:hAnsi="Calibri" w:cs="Calibri"/>
          <w:iCs/>
          <w:szCs w:val="20"/>
        </w:rPr>
        <w:t xml:space="preserve">. </w:t>
      </w:r>
      <w:r w:rsidR="00C56D4D">
        <w:rPr>
          <w:rFonts w:ascii="Calibri" w:hAnsi="Calibri" w:cs="Calibri"/>
          <w:iCs/>
          <w:szCs w:val="20"/>
        </w:rPr>
        <w:t>N</w:t>
      </w:r>
      <w:r>
        <w:rPr>
          <w:rFonts w:ascii="Calibri" w:hAnsi="Calibri" w:cs="Calibri"/>
          <w:iCs/>
          <w:szCs w:val="20"/>
        </w:rPr>
        <w:t>o new stock assessment</w:t>
      </w:r>
      <w:r w:rsidR="00C56D4D">
        <w:rPr>
          <w:rFonts w:ascii="Calibri" w:hAnsi="Calibri" w:cs="Calibri"/>
          <w:iCs/>
          <w:szCs w:val="20"/>
        </w:rPr>
        <w:t xml:space="preserve"> was conducted for swordfish in 202</w:t>
      </w:r>
      <w:r w:rsidR="00280D8E">
        <w:rPr>
          <w:rFonts w:ascii="Calibri" w:hAnsi="Calibri" w:cs="Calibri"/>
          <w:iCs/>
          <w:szCs w:val="20"/>
        </w:rPr>
        <w:t>5</w:t>
      </w:r>
      <w:r w:rsidR="00C56D4D">
        <w:rPr>
          <w:rFonts w:ascii="Calibri" w:hAnsi="Calibri" w:cs="Calibri"/>
          <w:iCs/>
          <w:szCs w:val="20"/>
        </w:rPr>
        <w:t xml:space="preserve"> thus </w:t>
      </w:r>
      <w:r>
        <w:rPr>
          <w:rFonts w:ascii="Calibri" w:hAnsi="Calibri" w:cs="Calibri"/>
          <w:iCs/>
          <w:szCs w:val="20"/>
        </w:rPr>
        <w:t xml:space="preserve"> the stock status estimates are based on the assessment carried out in </w:t>
      </w:r>
      <w:r w:rsidRPr="00BB3B54">
        <w:rPr>
          <w:rFonts w:ascii="Calibri" w:hAnsi="Calibri" w:cs="Calibri"/>
          <w:iCs/>
          <w:szCs w:val="20"/>
        </w:rPr>
        <w:t>2023. Two models were applied to the swordfish stock (ASPIC and Stock Synthesis (SS3)), with the SS3 stock assessment selected to provide scientific advice (as done previously). An update of the JABBA model was also conducted during the WPB meeting. The reported SS3 stock status is based on a grid of 48 model configurations designed to capture the uncertainty relating to steepness of the stock recruitment relationship (0.7, 0.8, and 0.9), recruitment variability (two levels), CPUE series (2 options), growth (2 options) and weighting of length composition data (two options). A number of the options included in the final grid were selected from a range of additional sensitivity runs that were conducted to explore uncertainties. Median spawning biomass in 2021 was estimated to be 35% (80% CI: 32-37%) of the unfished levels (</w:t>
      </w:r>
      <w:r w:rsidRPr="00BB3B54">
        <w:rPr>
          <w:rFonts w:ascii="Calibri" w:hAnsi="Calibri" w:cs="Calibri"/>
          <w:b/>
          <w:bCs/>
          <w:iCs/>
          <w:szCs w:val="20"/>
        </w:rPr>
        <w:t>Table 1</w:t>
      </w:r>
      <w:r w:rsidRPr="00BB3B54">
        <w:rPr>
          <w:rFonts w:ascii="Calibri" w:hAnsi="Calibri" w:cs="Calibri"/>
          <w:iCs/>
          <w:szCs w:val="20"/>
        </w:rPr>
        <w:t xml:space="preserve">) and 1.39 times (80% CI: 1.01-1.77) the level required to support MSY. Median fishing mortality in 2021 was estimated to be 60% (80% CI 43%-77%) of the FMSY level, and catch in 2021 (23,237 t) was well below the estimated MSY level of 29,856 t (80% CI: 26,319-33,393t). Taking into account the characterized uncertainty, and on the weight-of-evidence available in 2023, the swordfish stock is determined to be </w:t>
      </w:r>
      <w:r w:rsidRPr="00542EAF">
        <w:rPr>
          <w:rFonts w:ascii="Calibri" w:hAnsi="Calibri" w:cs="Calibri"/>
          <w:b/>
          <w:bCs/>
          <w:i/>
          <w:szCs w:val="20"/>
        </w:rPr>
        <w:t>not overfished</w:t>
      </w:r>
      <w:r w:rsidRPr="00BB3B54">
        <w:rPr>
          <w:rFonts w:ascii="Calibri" w:hAnsi="Calibri" w:cs="Calibri"/>
          <w:iCs/>
          <w:szCs w:val="20"/>
        </w:rPr>
        <w:t xml:space="preserve"> and </w:t>
      </w:r>
      <w:r w:rsidRPr="00542EAF">
        <w:rPr>
          <w:rFonts w:ascii="Calibri" w:hAnsi="Calibri" w:cs="Calibri"/>
          <w:b/>
          <w:bCs/>
          <w:i/>
          <w:szCs w:val="20"/>
        </w:rPr>
        <w:t>not subject to overfishing</w:t>
      </w:r>
      <w:r w:rsidRPr="00BB3B54">
        <w:rPr>
          <w:rFonts w:ascii="Calibri" w:hAnsi="Calibri" w:cs="Calibri"/>
          <w:iCs/>
          <w:szCs w:val="20"/>
        </w:rPr>
        <w:t xml:space="preserve"> (</w:t>
      </w:r>
      <w:r w:rsidRPr="00BB3B54">
        <w:rPr>
          <w:rFonts w:ascii="Calibri" w:hAnsi="Calibri" w:cs="Calibri"/>
          <w:b/>
          <w:bCs/>
        </w:rPr>
        <w:t>Table 1</w:t>
      </w:r>
      <w:r w:rsidRPr="00BB3B54">
        <w:rPr>
          <w:rFonts w:ascii="Calibri" w:hAnsi="Calibri" w:cs="Calibri"/>
        </w:rPr>
        <w:t xml:space="preserve">, </w:t>
      </w:r>
      <w:r w:rsidRPr="00BB3B54">
        <w:rPr>
          <w:rFonts w:ascii="Calibri" w:hAnsi="Calibri" w:cs="Calibri"/>
          <w:b/>
          <w:bCs/>
        </w:rPr>
        <w:t>Fig. 3</w:t>
      </w:r>
      <w:r w:rsidRPr="00BB3B54">
        <w:rPr>
          <w:rFonts w:ascii="Calibri" w:hAnsi="Calibri" w:cs="Calibri"/>
          <w:iCs/>
          <w:szCs w:val="20"/>
        </w:rPr>
        <w:t>).</w:t>
      </w:r>
    </w:p>
    <w:p w14:paraId="4A687BFA" w14:textId="77777777" w:rsidR="005263C8" w:rsidRPr="00BB3B54" w:rsidRDefault="005263C8" w:rsidP="005263C8">
      <w:pPr>
        <w:jc w:val="both"/>
        <w:rPr>
          <w:rFonts w:ascii="Calibri" w:hAnsi="Calibri" w:cs="Calibri"/>
          <w:b/>
          <w:bCs/>
          <w:i/>
          <w:color w:val="FF0000"/>
          <w:szCs w:val="20"/>
        </w:rPr>
      </w:pPr>
    </w:p>
    <w:p w14:paraId="256912EB" w14:textId="77777777" w:rsidR="005263C8" w:rsidRPr="00BB3B54" w:rsidRDefault="005263C8" w:rsidP="005263C8">
      <w:pPr>
        <w:jc w:val="both"/>
        <w:rPr>
          <w:rFonts w:ascii="Calibri" w:hAnsi="Calibri" w:cs="Calibri"/>
          <w:b/>
          <w:bCs/>
          <w:i/>
          <w:color w:val="FF0000"/>
          <w:szCs w:val="20"/>
        </w:rPr>
      </w:pPr>
    </w:p>
    <w:p w14:paraId="4B0786D4" w14:textId="77777777" w:rsidR="005263C8" w:rsidRDefault="005263C8" w:rsidP="005263C8">
      <w:pPr>
        <w:jc w:val="both"/>
        <w:rPr>
          <w:rFonts w:ascii="Calibri" w:hAnsi="Calibri" w:cs="Calibri"/>
          <w:snapToGrid w:val="0"/>
          <w:color w:val="FF0000"/>
        </w:rPr>
      </w:pPr>
      <w:r w:rsidRPr="00BB3B54">
        <w:rPr>
          <w:rFonts w:ascii="Calibri" w:hAnsi="Calibri" w:cs="Calibri"/>
          <w:b/>
          <w:i/>
          <w:snapToGrid w:val="0"/>
        </w:rPr>
        <w:t xml:space="preserve">Outlook. </w:t>
      </w:r>
      <w:r w:rsidRPr="00BB3B54">
        <w:rPr>
          <w:rFonts w:ascii="Calibri" w:hAnsi="Calibri" w:cs="Calibri"/>
        </w:rPr>
        <w:t xml:space="preserve">The significant decrease in recent longline </w:t>
      </w:r>
      <w:r w:rsidRPr="00E356DB">
        <w:rPr>
          <w:rFonts w:ascii="Calibri" w:hAnsi="Calibri" w:cs="Calibri"/>
        </w:rPr>
        <w:t>catch and effort from 2019 to 2022 (a 33%</w:t>
      </w:r>
      <w:r w:rsidRPr="00BB3B54">
        <w:rPr>
          <w:rFonts w:ascii="Calibri" w:hAnsi="Calibri" w:cs="Calibri"/>
        </w:rPr>
        <w:t xml:space="preserve"> reduction from 3</w:t>
      </w:r>
      <w:r>
        <w:rPr>
          <w:rFonts w:ascii="Calibri" w:hAnsi="Calibri" w:cs="Calibri"/>
        </w:rPr>
        <w:t>5,256</w:t>
      </w:r>
      <w:r w:rsidRPr="00BB3B54">
        <w:rPr>
          <w:rFonts w:ascii="Calibri" w:hAnsi="Calibri" w:cs="Calibri"/>
        </w:rPr>
        <w:t xml:space="preserve">t to </w:t>
      </w:r>
      <w:r w:rsidRPr="00542EAF">
        <w:rPr>
          <w:rFonts w:ascii="Calibri" w:hAnsi="Calibri" w:cs="Calibri"/>
          <w:color w:val="000000"/>
          <w:kern w:val="2"/>
          <w:lang w:eastAsia="ja-JP"/>
        </w:rPr>
        <w:t>23,597</w:t>
      </w:r>
      <w:r w:rsidRPr="00BB3B54">
        <w:rPr>
          <w:rFonts w:ascii="Calibri" w:hAnsi="Calibri" w:cs="Calibri"/>
        </w:rPr>
        <w:t>t) substantially lowered the pressure on the Indian Ocean stock as a whole, and current fishing mortality is not expected to reduce the population to an overfished state over the next decade. (</w:t>
      </w:r>
      <w:r w:rsidRPr="00BB3B54">
        <w:rPr>
          <w:rFonts w:ascii="Calibri" w:hAnsi="Calibri" w:cs="Calibri"/>
          <w:b/>
          <w:bCs/>
        </w:rPr>
        <w:t>Table 1</w:t>
      </w:r>
      <w:r w:rsidRPr="00BB3B54">
        <w:rPr>
          <w:rFonts w:ascii="Calibri" w:hAnsi="Calibri" w:cs="Calibri"/>
        </w:rPr>
        <w:t xml:space="preserve">). The estimated recent recruitment (2010-2020) was above the long-term average although this appears to be mainly driven by the sharp increase in the Japanese longline CPUE in the northern region. The WPB expressed concern over whether that CPUE </w:t>
      </w:r>
      <w:r w:rsidRPr="00BB3B54">
        <w:rPr>
          <w:rFonts w:ascii="Calibri" w:hAnsi="Calibri" w:cs="Calibri"/>
        </w:rPr>
        <w:lastRenderedPageBreak/>
        <w:t xml:space="preserve">index </w:t>
      </w:r>
      <w:r>
        <w:rPr>
          <w:rFonts w:ascii="Calibri" w:hAnsi="Calibri" w:cs="Calibri"/>
        </w:rPr>
        <w:t xml:space="preserve">accurately </w:t>
      </w:r>
      <w:r w:rsidRPr="00BB3B54">
        <w:rPr>
          <w:rFonts w:ascii="Calibri" w:hAnsi="Calibri" w:cs="Calibri"/>
        </w:rPr>
        <w:t>represent</w:t>
      </w:r>
      <w:r>
        <w:rPr>
          <w:rFonts w:ascii="Calibri" w:hAnsi="Calibri" w:cs="Calibri"/>
        </w:rPr>
        <w:t>s</w:t>
      </w:r>
      <w:r w:rsidRPr="00BB3B54">
        <w:rPr>
          <w:rFonts w:ascii="Calibri" w:hAnsi="Calibri" w:cs="Calibri"/>
        </w:rPr>
        <w:t xml:space="preserve"> the change of abundance in that region which may require further investigation.  Further, the South-western region</w:t>
      </w:r>
      <w:r>
        <w:rPr>
          <w:rFonts w:ascii="Calibri" w:hAnsi="Calibri" w:cs="Calibri"/>
        </w:rPr>
        <w:t>, which is one of the sub-regions used in the model,</w:t>
      </w:r>
      <w:r w:rsidRPr="00BB3B54">
        <w:rPr>
          <w:rFonts w:ascii="Calibri" w:hAnsi="Calibri" w:cs="Calibri"/>
        </w:rPr>
        <w:t xml:space="preserve"> exhibit a declining biomass trend which indicate higher depletion in this region, compared to other regions</w:t>
      </w:r>
      <w:r w:rsidRPr="00BB3B54">
        <w:rPr>
          <w:rFonts w:ascii="Calibri" w:hAnsi="Calibri" w:cs="Calibri"/>
          <w:snapToGrid w:val="0"/>
          <w:color w:val="FF0000"/>
        </w:rPr>
        <w:t>.</w:t>
      </w:r>
    </w:p>
    <w:p w14:paraId="7ACC5B76" w14:textId="77777777" w:rsidR="005263C8" w:rsidRPr="00542EAF" w:rsidRDefault="005263C8" w:rsidP="005263C8">
      <w:pPr>
        <w:rPr>
          <w:rFonts w:ascii="Calibri" w:hAnsi="Calibri" w:cs="Calibri"/>
          <w:color w:val="000000"/>
          <w:kern w:val="2"/>
          <w:sz w:val="20"/>
          <w:szCs w:val="18"/>
          <w:lang w:eastAsia="ja-JP"/>
        </w:rPr>
      </w:pPr>
    </w:p>
    <w:p w14:paraId="0CDDC604" w14:textId="77777777" w:rsidR="005263C8" w:rsidRPr="00542EAF" w:rsidRDefault="005263C8" w:rsidP="005263C8">
      <w:pPr>
        <w:spacing w:after="120"/>
        <w:jc w:val="both"/>
        <w:rPr>
          <w:rFonts w:ascii="Calibri" w:hAnsi="Calibri" w:cs="Calibri"/>
          <w:color w:val="000000"/>
          <w:kern w:val="2"/>
          <w:sz w:val="20"/>
          <w:szCs w:val="18"/>
          <w:lang w:eastAsia="ja-JP"/>
        </w:rPr>
      </w:pPr>
      <w:r w:rsidRPr="00BB3B54">
        <w:rPr>
          <w:rFonts w:ascii="Calibri" w:hAnsi="Calibri" w:cs="Calibri"/>
          <w:b/>
          <w:i/>
          <w:snapToGrid w:val="0"/>
        </w:rPr>
        <w:t>Management advice</w:t>
      </w:r>
      <w:r w:rsidRPr="00BB3B54">
        <w:rPr>
          <w:rFonts w:ascii="Calibri" w:hAnsi="Calibri" w:cs="Calibri"/>
          <w:b/>
          <w:snapToGrid w:val="0"/>
        </w:rPr>
        <w:t xml:space="preserve">. </w:t>
      </w:r>
      <w:r w:rsidRPr="00BB3B54">
        <w:rPr>
          <w:rFonts w:ascii="Calibri" w:hAnsi="Calibri" w:cs="Calibri"/>
        </w:rPr>
        <w:t>The 2021 catches (23,237t</w:t>
      </w:r>
      <w:r w:rsidRPr="00BB3B54" w:rsidDel="00C6194D">
        <w:rPr>
          <w:rFonts w:ascii="Calibri" w:hAnsi="Calibri" w:cs="Calibri"/>
        </w:rPr>
        <w:t xml:space="preserve"> </w:t>
      </w:r>
      <w:r w:rsidRPr="00BB3B54">
        <w:rPr>
          <w:rFonts w:ascii="Calibri" w:hAnsi="Calibri" w:cs="Calibri"/>
        </w:rPr>
        <w:t>at the time of the assessment) were significantly lower than the estimated MSY level (29,856 t). Under those levels of catches, the spawning biomass was projected to likely increase, with a high probability of maintaining at or above the SB</w:t>
      </w:r>
      <w:r w:rsidRPr="00BB3B54">
        <w:rPr>
          <w:rFonts w:ascii="Calibri" w:hAnsi="Calibri" w:cs="Calibri"/>
          <w:vertAlign w:val="subscript"/>
        </w:rPr>
        <w:t xml:space="preserve">MSY </w:t>
      </w:r>
      <w:r w:rsidRPr="00BB3B54">
        <w:rPr>
          <w:rFonts w:ascii="Calibri" w:hAnsi="Calibri" w:cs="Calibri"/>
        </w:rPr>
        <w:t>for the longer term. There is a very low risk of exceeding MSY-based reference points by 2031 if catches are maintained at 2021 levels (&lt;1% risk that SB</w:t>
      </w:r>
      <w:r w:rsidRPr="00BB3B54">
        <w:rPr>
          <w:rFonts w:ascii="Calibri" w:hAnsi="Calibri" w:cs="Calibri"/>
          <w:vertAlign w:val="subscript"/>
        </w:rPr>
        <w:t>2031</w:t>
      </w:r>
      <w:r w:rsidRPr="00BB3B54">
        <w:rPr>
          <w:rFonts w:ascii="Calibri" w:hAnsi="Calibri" w:cs="Calibri"/>
        </w:rPr>
        <w:t>&lt; SB</w:t>
      </w:r>
      <w:r w:rsidRPr="00BB3B54">
        <w:rPr>
          <w:rFonts w:ascii="Calibri" w:hAnsi="Calibri" w:cs="Calibri"/>
          <w:vertAlign w:val="subscript"/>
        </w:rPr>
        <w:t>MSY</w:t>
      </w:r>
      <w:r w:rsidRPr="00BB3B54">
        <w:rPr>
          <w:rFonts w:ascii="Calibri" w:hAnsi="Calibri" w:cs="Calibri"/>
        </w:rPr>
        <w:t>, and &lt;1% risk that F</w:t>
      </w:r>
      <w:r w:rsidRPr="00BB3B54">
        <w:rPr>
          <w:rFonts w:ascii="Calibri" w:hAnsi="Calibri" w:cs="Calibri"/>
          <w:vertAlign w:val="subscript"/>
        </w:rPr>
        <w:t>2021</w:t>
      </w:r>
      <w:r w:rsidRPr="00BB3B54">
        <w:rPr>
          <w:rFonts w:ascii="Calibri" w:hAnsi="Calibri" w:cs="Calibri"/>
        </w:rPr>
        <w:t>&gt; F</w:t>
      </w:r>
      <w:r w:rsidRPr="00BB3B54">
        <w:rPr>
          <w:rFonts w:ascii="Calibri" w:hAnsi="Calibri" w:cs="Calibri"/>
          <w:vertAlign w:val="subscript"/>
        </w:rPr>
        <w:t>MSY</w:t>
      </w:r>
      <w:r w:rsidRPr="00BB3B54">
        <w:rPr>
          <w:rFonts w:ascii="Calibri" w:hAnsi="Calibri" w:cs="Calibri"/>
        </w:rPr>
        <w:t xml:space="preserve">). </w:t>
      </w:r>
      <w:r>
        <w:rPr>
          <w:rFonts w:ascii="Calibri" w:hAnsi="Calibri" w:cs="Calibri"/>
        </w:rPr>
        <w:t>T</w:t>
      </w:r>
      <w:r w:rsidRPr="00BB3B54">
        <w:rPr>
          <w:rFonts w:ascii="Calibri" w:hAnsi="Calibri" w:cs="Calibri"/>
        </w:rPr>
        <w:t>he projections indicate that an increase of 40% or more from 2021 catch levels will not likely result in the biomass dropping below the SB</w:t>
      </w:r>
      <w:r w:rsidRPr="00BB3B54">
        <w:rPr>
          <w:rFonts w:ascii="Calibri" w:hAnsi="Calibri" w:cs="Calibri"/>
          <w:vertAlign w:val="subscript"/>
        </w:rPr>
        <w:t>MSY</w:t>
      </w:r>
      <w:r w:rsidRPr="00BB3B54">
        <w:rPr>
          <w:rFonts w:ascii="Calibri" w:hAnsi="Calibri" w:cs="Calibri"/>
        </w:rPr>
        <w:t xml:space="preserve"> level for the longer term (with a 15% probability).</w:t>
      </w:r>
      <w:r>
        <w:rPr>
          <w:rFonts w:ascii="Calibri" w:hAnsi="Calibri" w:cs="Calibri"/>
        </w:rPr>
        <w:t xml:space="preserve"> Catches in 2022 (</w:t>
      </w:r>
      <w:r w:rsidRPr="00D11842">
        <w:rPr>
          <w:rFonts w:ascii="Calibri" w:hAnsi="Calibri" w:cs="Calibri"/>
          <w:color w:val="000000"/>
          <w:kern w:val="2"/>
          <w:sz w:val="20"/>
          <w:szCs w:val="18"/>
          <w:lang w:eastAsia="ja-JP"/>
        </w:rPr>
        <w:t>23,597</w:t>
      </w:r>
      <w:r>
        <w:rPr>
          <w:rFonts w:ascii="Calibri" w:hAnsi="Calibri" w:cs="Calibri"/>
          <w:color w:val="000000"/>
          <w:kern w:val="2"/>
          <w:sz w:val="20"/>
          <w:szCs w:val="18"/>
          <w:lang w:eastAsia="ja-JP"/>
        </w:rPr>
        <w:t xml:space="preserve">t) </w:t>
      </w:r>
      <w:r>
        <w:rPr>
          <w:rFonts w:ascii="Calibri" w:hAnsi="Calibri" w:cs="Calibri"/>
        </w:rPr>
        <w:t>were still lower than the estimated MSY.</w:t>
      </w:r>
      <w:r w:rsidRPr="00BB3B54">
        <w:rPr>
          <w:rFonts w:ascii="Calibri" w:hAnsi="Calibri" w:cs="Calibri"/>
        </w:rPr>
        <w:t xml:space="preserve"> Nevertheless, the Commission should consider monitoring the catches to ensure that the probability of exceeding the SB</w:t>
      </w:r>
      <w:r w:rsidRPr="00BB3B54">
        <w:rPr>
          <w:rFonts w:ascii="Calibri" w:hAnsi="Calibri" w:cs="Calibri"/>
          <w:vertAlign w:val="subscript"/>
        </w:rPr>
        <w:t>MSY</w:t>
      </w:r>
      <w:r w:rsidRPr="00BB3B54">
        <w:rPr>
          <w:rFonts w:ascii="Calibri" w:hAnsi="Calibri" w:cs="Calibri"/>
        </w:rPr>
        <w:t xml:space="preserve"> target reference points in the long term remains minimal. Taking into account the differential CPUE and biomass trends between regions, the WPB noted that there is recurring evidence for localised depletion in the </w:t>
      </w:r>
      <w:r>
        <w:rPr>
          <w:rFonts w:ascii="Calibri" w:hAnsi="Calibri" w:cs="Calibri"/>
        </w:rPr>
        <w:t>S</w:t>
      </w:r>
      <w:r w:rsidRPr="00BB3B54">
        <w:rPr>
          <w:rFonts w:ascii="Calibri" w:hAnsi="Calibri" w:cs="Calibri"/>
        </w:rPr>
        <w:t xml:space="preserve">outh </w:t>
      </w:r>
      <w:r>
        <w:rPr>
          <w:rFonts w:ascii="Calibri" w:hAnsi="Calibri" w:cs="Calibri"/>
        </w:rPr>
        <w:t>W</w:t>
      </w:r>
      <w:r w:rsidRPr="00BB3B54">
        <w:rPr>
          <w:rFonts w:ascii="Calibri" w:hAnsi="Calibri" w:cs="Calibri"/>
        </w:rPr>
        <w:t>estern region (which appears to be more depleted than other regions) and suggests this should be further monitored</w:t>
      </w:r>
      <w:r w:rsidRPr="00BB3B54">
        <w:rPr>
          <w:rFonts w:ascii="Calibri" w:hAnsi="Calibri" w:cs="Calibri"/>
          <w:snapToGrid w:val="0"/>
        </w:rPr>
        <w:t>.</w:t>
      </w:r>
    </w:p>
    <w:p w14:paraId="33023C94" w14:textId="77777777" w:rsidR="005263C8" w:rsidRPr="00BB3B54" w:rsidRDefault="005263C8" w:rsidP="005263C8">
      <w:pPr>
        <w:spacing w:before="120"/>
        <w:jc w:val="both"/>
        <w:rPr>
          <w:rFonts w:ascii="Calibri" w:hAnsi="Calibri" w:cs="Calibri"/>
        </w:rPr>
      </w:pPr>
      <w:r w:rsidRPr="00BB3B54">
        <w:rPr>
          <w:rFonts w:ascii="Calibri" w:hAnsi="Calibri" w:cs="Calibri"/>
          <w:snapToGrid w:val="0"/>
        </w:rPr>
        <w:t>The following key points should also be noted:</w:t>
      </w:r>
    </w:p>
    <w:p w14:paraId="77DACB49" w14:textId="77777777" w:rsidR="005263C8" w:rsidRPr="00BB3B54" w:rsidRDefault="005263C8" w:rsidP="005263C8">
      <w:pPr>
        <w:numPr>
          <w:ilvl w:val="0"/>
          <w:numId w:val="14"/>
        </w:numPr>
        <w:jc w:val="both"/>
        <w:rPr>
          <w:rFonts w:ascii="Calibri" w:hAnsi="Calibri" w:cs="Calibri"/>
        </w:rPr>
      </w:pPr>
      <w:r w:rsidRPr="00BB3B54">
        <w:rPr>
          <w:rFonts w:ascii="Calibri" w:hAnsi="Calibri" w:cs="Calibri"/>
          <w:b/>
          <w:szCs w:val="20"/>
        </w:rPr>
        <w:t>Maximum Sustainable Yield (MSY)</w:t>
      </w:r>
      <w:r w:rsidRPr="00BB3B54">
        <w:rPr>
          <w:rFonts w:ascii="Calibri" w:hAnsi="Calibri" w:cs="Calibri"/>
          <w:szCs w:val="20"/>
        </w:rPr>
        <w:t xml:space="preserve">: </w:t>
      </w:r>
      <w:r w:rsidRPr="00BB3B54">
        <w:rPr>
          <w:rFonts w:ascii="Calibri" w:hAnsi="Calibri" w:cs="Calibri"/>
        </w:rPr>
        <w:t>estimate for the Indian Ocean is 29,856 t.</w:t>
      </w:r>
    </w:p>
    <w:p w14:paraId="1FB5A157" w14:textId="77777777" w:rsidR="005263C8" w:rsidRPr="00BB3B54" w:rsidRDefault="005263C8" w:rsidP="005263C8">
      <w:pPr>
        <w:numPr>
          <w:ilvl w:val="0"/>
          <w:numId w:val="14"/>
        </w:numPr>
        <w:jc w:val="both"/>
        <w:rPr>
          <w:rFonts w:ascii="Calibri" w:hAnsi="Calibri" w:cs="Calibri"/>
          <w:snapToGrid w:val="0"/>
        </w:rPr>
      </w:pPr>
      <w:r w:rsidRPr="00BB3B54">
        <w:rPr>
          <w:rFonts w:ascii="Calibri" w:hAnsi="Calibri" w:cs="Calibri"/>
          <w:b/>
          <w:snapToGrid w:val="0"/>
        </w:rPr>
        <w:t>Provisional reference points</w:t>
      </w:r>
      <w:r w:rsidRPr="00BB3B54">
        <w:rPr>
          <w:rFonts w:ascii="Calibri" w:hAnsi="Calibri" w:cs="Calibri"/>
          <w:snapToGrid w:val="0"/>
        </w:rPr>
        <w:t xml:space="preserve">: noting that the Commission in 2015 agreed to </w:t>
      </w:r>
      <w:hyperlink r:id="rId72" w:history="1">
        <w:r w:rsidRPr="00BB3B54">
          <w:rPr>
            <w:rFonts w:ascii="Calibri" w:hAnsi="Calibri" w:cs="Calibri"/>
            <w:snapToGrid w:val="0"/>
            <w:color w:val="0000FF"/>
            <w:u w:val="single"/>
          </w:rPr>
          <w:t>Resolution 15/10</w:t>
        </w:r>
      </w:hyperlink>
      <w:r w:rsidRPr="00BB3B54">
        <w:rPr>
          <w:rFonts w:ascii="Calibri" w:hAnsi="Calibri" w:cs="Calibri"/>
          <w:snapToGrid w:val="0"/>
        </w:rPr>
        <w:t xml:space="preserve"> </w:t>
      </w:r>
      <w:r w:rsidRPr="00BB3B54">
        <w:rPr>
          <w:rFonts w:ascii="Calibri" w:hAnsi="Calibri" w:cs="Calibri"/>
          <w:i/>
          <w:snapToGrid w:val="0"/>
        </w:rPr>
        <w:t>on target and limit reference points and a decision framework</w:t>
      </w:r>
      <w:r w:rsidRPr="00BB3B54">
        <w:rPr>
          <w:rFonts w:ascii="Calibri" w:hAnsi="Calibri" w:cs="Calibri"/>
          <w:snapToGrid w:val="0"/>
        </w:rPr>
        <w:t>, the following should be noted:</w:t>
      </w:r>
    </w:p>
    <w:p w14:paraId="15FB36CA" w14:textId="77777777" w:rsidR="005263C8" w:rsidRPr="00BB3B54" w:rsidRDefault="005263C8" w:rsidP="005263C8">
      <w:pPr>
        <w:numPr>
          <w:ilvl w:val="1"/>
          <w:numId w:val="14"/>
        </w:numPr>
        <w:jc w:val="both"/>
        <w:rPr>
          <w:rFonts w:ascii="Calibri" w:hAnsi="Calibri" w:cs="Calibri"/>
          <w:snapToGrid w:val="0"/>
        </w:rPr>
      </w:pPr>
      <w:r w:rsidRPr="00BB3B54">
        <w:rPr>
          <w:rFonts w:ascii="Calibri" w:hAnsi="Calibri" w:cs="Calibri"/>
          <w:b/>
          <w:snapToGrid w:val="0"/>
        </w:rPr>
        <w:t>Fishing mortality</w:t>
      </w:r>
      <w:r w:rsidRPr="00BB3B54">
        <w:rPr>
          <w:rFonts w:ascii="Calibri" w:hAnsi="Calibri" w:cs="Calibri"/>
          <w:snapToGrid w:val="0"/>
        </w:rPr>
        <w:t>: current fishing mortality is considered to be below the provisional target reference point of F</w:t>
      </w:r>
      <w:r w:rsidRPr="00BB3B54">
        <w:rPr>
          <w:rFonts w:ascii="Calibri" w:hAnsi="Calibri" w:cs="Calibri"/>
          <w:snapToGrid w:val="0"/>
          <w:vertAlign w:val="subscript"/>
        </w:rPr>
        <w:t>MSY</w:t>
      </w:r>
      <w:r w:rsidRPr="00BB3B54">
        <w:rPr>
          <w:rFonts w:ascii="Calibri" w:hAnsi="Calibri" w:cs="Calibri"/>
          <w:snapToGrid w:val="0"/>
        </w:rPr>
        <w:t xml:space="preserve"> and below the provisional limit reference point of 1.4*F</w:t>
      </w:r>
      <w:r w:rsidRPr="00BB3B54">
        <w:rPr>
          <w:rFonts w:ascii="Calibri" w:hAnsi="Calibri" w:cs="Calibri"/>
          <w:snapToGrid w:val="0"/>
          <w:vertAlign w:val="subscript"/>
        </w:rPr>
        <w:t xml:space="preserve">MSY </w:t>
      </w:r>
      <w:r w:rsidRPr="00BB3B54">
        <w:rPr>
          <w:rFonts w:ascii="Calibri" w:hAnsi="Calibri" w:cs="Calibri"/>
          <w:snapToGrid w:val="0"/>
        </w:rPr>
        <w:t>(</w:t>
      </w:r>
      <w:r w:rsidRPr="00BB3B54">
        <w:rPr>
          <w:rFonts w:ascii="Calibri" w:hAnsi="Calibri" w:cs="Calibri"/>
          <w:b/>
          <w:snapToGrid w:val="0"/>
        </w:rPr>
        <w:t>Fig. 2</w:t>
      </w:r>
      <w:r w:rsidRPr="00BB3B54">
        <w:rPr>
          <w:rFonts w:ascii="Calibri" w:hAnsi="Calibri" w:cs="Calibri"/>
          <w:snapToGrid w:val="0"/>
        </w:rPr>
        <w:t>).</w:t>
      </w:r>
    </w:p>
    <w:p w14:paraId="61718EFD" w14:textId="77777777" w:rsidR="005263C8" w:rsidRPr="00BB3B54" w:rsidRDefault="005263C8" w:rsidP="005263C8">
      <w:pPr>
        <w:numPr>
          <w:ilvl w:val="1"/>
          <w:numId w:val="14"/>
        </w:numPr>
        <w:jc w:val="both"/>
        <w:rPr>
          <w:rFonts w:ascii="Calibri" w:hAnsi="Calibri" w:cs="Calibri"/>
          <w:snapToGrid w:val="0"/>
        </w:rPr>
      </w:pPr>
      <w:r w:rsidRPr="00BB3B54">
        <w:rPr>
          <w:rFonts w:ascii="Calibri" w:hAnsi="Calibri" w:cs="Calibri"/>
          <w:b/>
          <w:snapToGrid w:val="0"/>
        </w:rPr>
        <w:t>Biomass</w:t>
      </w:r>
      <w:r w:rsidRPr="00BB3B54">
        <w:rPr>
          <w:rFonts w:ascii="Calibri" w:hAnsi="Calibri" w:cs="Calibri"/>
          <w:snapToGrid w:val="0"/>
        </w:rPr>
        <w:t>: current spawning biomass is considered to be above the target reference point of SB</w:t>
      </w:r>
      <w:r w:rsidRPr="00BB3B54">
        <w:rPr>
          <w:rFonts w:ascii="Calibri" w:hAnsi="Calibri" w:cs="Calibri"/>
          <w:snapToGrid w:val="0"/>
          <w:vertAlign w:val="subscript"/>
        </w:rPr>
        <w:t>MSY</w:t>
      </w:r>
      <w:r w:rsidRPr="00BB3B54">
        <w:rPr>
          <w:rFonts w:ascii="Calibri" w:hAnsi="Calibri" w:cs="Calibri"/>
          <w:snapToGrid w:val="0"/>
        </w:rPr>
        <w:t>, and therefore above the limit reference point of 0.4*SB</w:t>
      </w:r>
      <w:r w:rsidRPr="00BB3B54">
        <w:rPr>
          <w:rFonts w:ascii="Calibri" w:hAnsi="Calibri" w:cs="Calibri"/>
          <w:snapToGrid w:val="0"/>
          <w:vertAlign w:val="subscript"/>
        </w:rPr>
        <w:t>MSY</w:t>
      </w:r>
      <w:r w:rsidRPr="00BB3B54">
        <w:rPr>
          <w:rFonts w:ascii="Calibri" w:hAnsi="Calibri" w:cs="Calibri"/>
          <w:snapToGrid w:val="0"/>
        </w:rPr>
        <w:t xml:space="preserve"> (</w:t>
      </w:r>
      <w:r w:rsidRPr="00BB3B54">
        <w:rPr>
          <w:rFonts w:ascii="Calibri" w:hAnsi="Calibri" w:cs="Calibri"/>
          <w:b/>
          <w:snapToGrid w:val="0"/>
        </w:rPr>
        <w:t>Fig. 2</w:t>
      </w:r>
      <w:r w:rsidRPr="00BB3B54">
        <w:rPr>
          <w:rFonts w:ascii="Calibri" w:hAnsi="Calibri" w:cs="Calibri"/>
          <w:snapToGrid w:val="0"/>
        </w:rPr>
        <w:t>).</w:t>
      </w:r>
    </w:p>
    <w:p w14:paraId="5C87752C" w14:textId="77777777" w:rsidR="005263C8" w:rsidRPr="00BB3B54" w:rsidRDefault="005263C8" w:rsidP="005263C8">
      <w:pPr>
        <w:numPr>
          <w:ilvl w:val="0"/>
          <w:numId w:val="14"/>
        </w:numPr>
        <w:ind w:right="432"/>
        <w:jc w:val="both"/>
        <w:rPr>
          <w:rFonts w:ascii="Calibri" w:hAnsi="Calibri" w:cs="Calibri"/>
          <w:snapToGrid w:val="0"/>
          <w:color w:val="000000"/>
        </w:rPr>
      </w:pPr>
      <w:r w:rsidRPr="00BB3B54">
        <w:rPr>
          <w:rFonts w:ascii="Calibri" w:hAnsi="Calibri" w:cs="Calibri"/>
          <w:b/>
          <w:bCs/>
        </w:rPr>
        <w:t>Main fisheries (mean annual catch 201</w:t>
      </w:r>
      <w:r>
        <w:rPr>
          <w:rFonts w:ascii="Calibri" w:hAnsi="Calibri" w:cs="Calibri"/>
          <w:b/>
          <w:bCs/>
        </w:rPr>
        <w:t>8</w:t>
      </w:r>
      <w:r w:rsidRPr="00BB3B54">
        <w:rPr>
          <w:rFonts w:ascii="Calibri" w:hAnsi="Calibri" w:cs="Calibri"/>
          <w:b/>
          <w:bCs/>
        </w:rPr>
        <w:t>-202</w:t>
      </w:r>
      <w:r>
        <w:rPr>
          <w:rFonts w:ascii="Calibri" w:hAnsi="Calibri" w:cs="Calibri"/>
          <w:b/>
          <w:bCs/>
        </w:rPr>
        <w:t>2</w:t>
      </w:r>
      <w:r w:rsidRPr="00BB3B54">
        <w:rPr>
          <w:rFonts w:ascii="Calibri" w:hAnsi="Calibri" w:cs="Calibri"/>
          <w:b/>
          <w:bCs/>
        </w:rPr>
        <w:t>)</w:t>
      </w:r>
      <w:r w:rsidRPr="00BB3B54">
        <w:rPr>
          <w:rFonts w:ascii="Calibri" w:hAnsi="Calibri" w:cs="Calibri"/>
        </w:rPr>
        <w:t>: swordfish are caught using longline (</w:t>
      </w:r>
      <w:r w:rsidRPr="00D11842">
        <w:rPr>
          <w:rFonts w:ascii="Calibri" w:hAnsi="Calibri" w:cs="Calibri"/>
        </w:rPr>
        <w:t>53.6</w:t>
      </w:r>
      <w:r w:rsidRPr="00BB3B54">
        <w:rPr>
          <w:rFonts w:ascii="Calibri" w:hAnsi="Calibri" w:cs="Calibri"/>
        </w:rPr>
        <w:t>%), followed by line (</w:t>
      </w:r>
      <w:r w:rsidRPr="00D11842">
        <w:rPr>
          <w:rFonts w:ascii="Calibri" w:hAnsi="Calibri" w:cs="Calibri"/>
        </w:rPr>
        <w:t>30.1</w:t>
      </w:r>
      <w:r w:rsidRPr="00BB3B54">
        <w:rPr>
          <w:rFonts w:ascii="Calibri" w:hAnsi="Calibri" w:cs="Calibri"/>
        </w:rPr>
        <w:t>%) and gillnet (</w:t>
      </w:r>
      <w:r w:rsidRPr="00D11842">
        <w:rPr>
          <w:rFonts w:ascii="Calibri" w:hAnsi="Calibri" w:cs="Calibri"/>
        </w:rPr>
        <w:t>15.8</w:t>
      </w:r>
      <w:r w:rsidRPr="00BB3B54">
        <w:rPr>
          <w:rFonts w:ascii="Calibri" w:hAnsi="Calibri" w:cs="Calibri"/>
        </w:rPr>
        <w:t xml:space="preserve">%). The remaining catches taken with other gears contributed to </w:t>
      </w:r>
      <w:r w:rsidRPr="00D11842">
        <w:rPr>
          <w:rFonts w:ascii="Calibri" w:hAnsi="Calibri" w:cs="Calibri"/>
        </w:rPr>
        <w:t>0.5</w:t>
      </w:r>
      <w:r w:rsidRPr="00BB3B54">
        <w:rPr>
          <w:rFonts w:ascii="Calibri" w:hAnsi="Calibri" w:cs="Calibri"/>
        </w:rPr>
        <w:t>% of the total catches in recent years (</w:t>
      </w:r>
      <w:r w:rsidRPr="00BB3B54">
        <w:rPr>
          <w:rFonts w:ascii="Calibri" w:hAnsi="Calibri" w:cs="Calibri"/>
          <w:b/>
          <w:bCs/>
        </w:rPr>
        <w:t>Fig. 1</w:t>
      </w:r>
      <w:r w:rsidRPr="00BB3B54">
        <w:rPr>
          <w:rFonts w:ascii="Calibri" w:hAnsi="Calibri" w:cs="Calibri"/>
        </w:rPr>
        <w:t>).</w:t>
      </w:r>
    </w:p>
    <w:p w14:paraId="53A6FD16" w14:textId="77777777" w:rsidR="005263C8" w:rsidRPr="00BB3B54" w:rsidRDefault="005263C8" w:rsidP="005263C8">
      <w:pPr>
        <w:numPr>
          <w:ilvl w:val="0"/>
          <w:numId w:val="14"/>
        </w:numPr>
        <w:ind w:right="432"/>
        <w:jc w:val="both"/>
        <w:rPr>
          <w:rFonts w:ascii="Calibri" w:hAnsi="Calibri" w:cs="Calibri"/>
          <w:szCs w:val="20"/>
        </w:rPr>
      </w:pPr>
      <w:r w:rsidRPr="00BB3B54">
        <w:rPr>
          <w:rFonts w:ascii="Calibri" w:hAnsi="Calibri" w:cs="Calibri"/>
          <w:b/>
          <w:bCs/>
        </w:rPr>
        <w:t>Main fleets (mean annual catch 201</w:t>
      </w:r>
      <w:r>
        <w:rPr>
          <w:rFonts w:ascii="Calibri" w:hAnsi="Calibri" w:cs="Calibri"/>
          <w:b/>
          <w:bCs/>
        </w:rPr>
        <w:t>8</w:t>
      </w:r>
      <w:r w:rsidRPr="00BB3B54">
        <w:rPr>
          <w:rFonts w:ascii="Calibri" w:hAnsi="Calibri" w:cs="Calibri"/>
          <w:b/>
          <w:bCs/>
        </w:rPr>
        <w:t>-202</w:t>
      </w:r>
      <w:r>
        <w:rPr>
          <w:rFonts w:ascii="Calibri" w:hAnsi="Calibri" w:cs="Calibri"/>
          <w:b/>
          <w:bCs/>
        </w:rPr>
        <w:t>2</w:t>
      </w:r>
      <w:r w:rsidRPr="00BB3B54">
        <w:rPr>
          <w:rFonts w:ascii="Calibri" w:hAnsi="Calibri" w:cs="Calibri"/>
          <w:b/>
          <w:bCs/>
        </w:rPr>
        <w:t>)</w:t>
      </w:r>
      <w:r w:rsidRPr="00BB3B54">
        <w:rPr>
          <w:rFonts w:ascii="Calibri" w:hAnsi="Calibri" w:cs="Calibri"/>
        </w:rPr>
        <w:t>: the majority of swordfish catches are attributed to vessels flagged to Sri Lanka (</w:t>
      </w:r>
      <w:r w:rsidRPr="00D11842">
        <w:rPr>
          <w:rFonts w:ascii="Calibri" w:hAnsi="Calibri" w:cs="Calibri"/>
        </w:rPr>
        <w:t>27.4</w:t>
      </w:r>
      <w:r w:rsidRPr="00BB3B54">
        <w:rPr>
          <w:rFonts w:ascii="Calibri" w:hAnsi="Calibri" w:cs="Calibri"/>
        </w:rPr>
        <w:t>%) followed by Taiwan,China (</w:t>
      </w:r>
      <w:r w:rsidRPr="00D11842">
        <w:rPr>
          <w:rFonts w:ascii="Calibri" w:hAnsi="Calibri" w:cs="Calibri"/>
        </w:rPr>
        <w:t>17</w:t>
      </w:r>
      <w:r w:rsidRPr="00BB3B54">
        <w:rPr>
          <w:rFonts w:ascii="Calibri" w:hAnsi="Calibri" w:cs="Calibri"/>
        </w:rPr>
        <w:t xml:space="preserve">%) and </w:t>
      </w:r>
      <w:r w:rsidRPr="00D11842">
        <w:rPr>
          <w:rFonts w:ascii="Calibri" w:hAnsi="Calibri" w:cs="Calibri"/>
        </w:rPr>
        <w:t>Yemen (6.2%)</w:t>
      </w:r>
      <w:r w:rsidRPr="00BB3B54">
        <w:rPr>
          <w:rFonts w:ascii="Calibri" w:hAnsi="Calibri" w:cs="Calibri"/>
        </w:rPr>
        <w:t xml:space="preserve">. The 25 other fleets catching swordfish contributed to </w:t>
      </w:r>
      <w:r w:rsidRPr="00D11842">
        <w:rPr>
          <w:rFonts w:ascii="Calibri" w:hAnsi="Calibri" w:cs="Calibri"/>
        </w:rPr>
        <w:t>49.5</w:t>
      </w:r>
      <w:r w:rsidRPr="00BB3B54">
        <w:rPr>
          <w:rFonts w:ascii="Calibri" w:hAnsi="Calibri" w:cs="Calibri"/>
        </w:rPr>
        <w:t>% of the total catch in recent years (</w:t>
      </w:r>
      <w:r w:rsidRPr="00BB3B54">
        <w:rPr>
          <w:rFonts w:ascii="Calibri" w:hAnsi="Calibri" w:cs="Calibri"/>
          <w:b/>
          <w:bCs/>
        </w:rPr>
        <w:t>Fig. 2</w:t>
      </w:r>
      <w:r w:rsidRPr="00BB3B54">
        <w:rPr>
          <w:rFonts w:ascii="Calibri" w:hAnsi="Calibri" w:cs="Calibri"/>
        </w:rPr>
        <w:t>)</w:t>
      </w:r>
      <w:r w:rsidRPr="00BB3B54">
        <w:rPr>
          <w:rFonts w:ascii="Calibri" w:hAnsi="Calibri" w:cs="Calibri"/>
          <w:szCs w:val="20"/>
        </w:rPr>
        <w:t>.</w:t>
      </w:r>
    </w:p>
    <w:p w14:paraId="4848289B" w14:textId="77777777" w:rsidR="005263C8" w:rsidRPr="00BB3B54" w:rsidRDefault="005263C8" w:rsidP="005263C8">
      <w:pPr>
        <w:spacing w:after="160" w:line="259" w:lineRule="auto"/>
        <w:rPr>
          <w:rFonts w:ascii="Calibri" w:hAnsi="Calibri" w:cs="Calibri"/>
          <w:b/>
          <w:szCs w:val="20"/>
          <w:highlight w:val="yellow"/>
        </w:rPr>
      </w:pPr>
      <w:r w:rsidRPr="00BB3B54">
        <w:rPr>
          <w:rFonts w:ascii="Calibri" w:hAnsi="Calibri" w:cs="Calibri"/>
          <w:b/>
          <w:szCs w:val="20"/>
          <w:highlight w:val="yellow"/>
        </w:rPr>
        <w:br w:type="page"/>
      </w:r>
    </w:p>
    <w:p w14:paraId="134AA691" w14:textId="77777777" w:rsidR="005263C8" w:rsidRPr="00BB3B54" w:rsidRDefault="005263C8" w:rsidP="005263C8">
      <w:pPr>
        <w:ind w:right="432"/>
        <w:jc w:val="center"/>
        <w:rPr>
          <w:rFonts w:ascii="Calibri" w:hAnsi="Calibri" w:cs="Calibri"/>
          <w:szCs w:val="20"/>
          <w:highlight w:val="yellow"/>
        </w:rPr>
      </w:pPr>
      <w:r>
        <w:rPr>
          <w:noProof/>
        </w:rPr>
        <w:lastRenderedPageBreak/>
        <w:drawing>
          <wp:inline distT="0" distB="0" distL="0" distR="0" wp14:anchorId="38E8C56B" wp14:editId="54EA78BB">
            <wp:extent cx="5943600" cy="249595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a:picLocks noChangeAspect="1" noChangeArrowheads="1"/>
                    </pic:cNvPicPr>
                  </pic:nvPicPr>
                  <pic:blipFill>
                    <a:blip r:embed="rId73" cstate="print"/>
                    <a:stretch>
                      <a:fillRect/>
                    </a:stretch>
                  </pic:blipFill>
                  <pic:spPr bwMode="auto">
                    <a:xfrm>
                      <a:off x="0" y="0"/>
                      <a:ext cx="5943600" cy="2495958"/>
                    </a:xfrm>
                    <a:prstGeom prst="rect">
                      <a:avLst/>
                    </a:prstGeom>
                    <a:noFill/>
                  </pic:spPr>
                </pic:pic>
              </a:graphicData>
            </a:graphic>
          </wp:inline>
        </w:drawing>
      </w:r>
    </w:p>
    <w:p w14:paraId="31E4BD80" w14:textId="77777777" w:rsidR="005263C8" w:rsidRPr="00BB3B54" w:rsidRDefault="005263C8" w:rsidP="005263C8">
      <w:pPr>
        <w:ind w:right="432"/>
        <w:jc w:val="center"/>
        <w:rPr>
          <w:rFonts w:ascii="Calibri" w:hAnsi="Calibri" w:cs="Calibri"/>
          <w:szCs w:val="20"/>
        </w:rPr>
      </w:pPr>
    </w:p>
    <w:p w14:paraId="2F46B383" w14:textId="77777777" w:rsidR="005263C8" w:rsidRPr="00BB3B54" w:rsidRDefault="005263C8" w:rsidP="005263C8">
      <w:pPr>
        <w:ind w:right="432"/>
        <w:jc w:val="center"/>
        <w:rPr>
          <w:rFonts w:ascii="Calibri" w:hAnsi="Calibri" w:cs="Calibri"/>
          <w:szCs w:val="20"/>
        </w:rPr>
      </w:pPr>
    </w:p>
    <w:p w14:paraId="46618487" w14:textId="77777777" w:rsidR="005263C8" w:rsidRPr="00BB3B54" w:rsidRDefault="005263C8" w:rsidP="005263C8">
      <w:pPr>
        <w:ind w:right="432"/>
        <w:jc w:val="both"/>
        <w:rPr>
          <w:rFonts w:ascii="Calibri" w:hAnsi="Calibri" w:cs="Calibri"/>
          <w:sz w:val="18"/>
          <w:szCs w:val="18"/>
        </w:rPr>
      </w:pPr>
      <w:r w:rsidRPr="00BB3B54">
        <w:rPr>
          <w:rFonts w:ascii="Calibri" w:hAnsi="Calibri" w:cs="Calibri"/>
          <w:b/>
          <w:sz w:val="18"/>
          <w:szCs w:val="18"/>
        </w:rPr>
        <w:t>Fig. 1.</w:t>
      </w:r>
      <w:r w:rsidRPr="00BB3B54">
        <w:rPr>
          <w:rFonts w:ascii="Calibri" w:hAnsi="Calibri" w:cs="Calibri"/>
          <w:sz w:val="18"/>
          <w:szCs w:val="18"/>
        </w:rPr>
        <w:t xml:space="preserve"> Annual time series of (a) cumulative nominal catches (metric tons; t) by fishery and (b) individual nominal catches (metric tons; t) by fishery group for swordfish during 1950–202</w:t>
      </w:r>
      <w:r>
        <w:rPr>
          <w:rFonts w:ascii="Calibri" w:hAnsi="Calibri" w:cs="Calibri"/>
          <w:sz w:val="18"/>
          <w:szCs w:val="18"/>
        </w:rPr>
        <w:t>2</w:t>
      </w:r>
      <w:r w:rsidRPr="00BB3B54">
        <w:rPr>
          <w:rFonts w:ascii="Calibri" w:hAnsi="Calibri" w:cs="Calibri"/>
          <w:sz w:val="18"/>
          <w:szCs w:val="18"/>
        </w:rPr>
        <w:t xml:space="preserve">. </w:t>
      </w:r>
      <w:r w:rsidRPr="00BB3B54">
        <w:rPr>
          <w:rFonts w:ascii="Calibri" w:hAnsi="Calibri" w:cs="Calibri"/>
          <w:sz w:val="18"/>
          <w:szCs w:val="18"/>
          <w:u w:val="single"/>
        </w:rPr>
        <w:t>Longline|Other</w:t>
      </w:r>
      <w:r w:rsidRPr="00BB3B54">
        <w:rPr>
          <w:rFonts w:ascii="Calibri" w:hAnsi="Calibri" w:cs="Calibri"/>
          <w:sz w:val="18"/>
          <w:szCs w:val="18"/>
        </w:rPr>
        <w:t xml:space="preserve">: swordfish and sharks-targeting longlines; </w:t>
      </w:r>
      <w:r w:rsidRPr="00BB3B54">
        <w:rPr>
          <w:rFonts w:ascii="Calibri" w:hAnsi="Calibri" w:cs="Calibri"/>
          <w:sz w:val="18"/>
          <w:szCs w:val="18"/>
          <w:u w:val="single"/>
        </w:rPr>
        <w:t>Other</w:t>
      </w:r>
      <w:r w:rsidRPr="00BB3B54">
        <w:rPr>
          <w:rFonts w:ascii="Calibri" w:hAnsi="Calibri" w:cs="Calibri"/>
          <w:sz w:val="18"/>
          <w:szCs w:val="18"/>
        </w:rPr>
        <w:t>: all remaining fishing gears</w:t>
      </w:r>
    </w:p>
    <w:p w14:paraId="26260403" w14:textId="77777777" w:rsidR="005263C8" w:rsidRPr="00BB3B54" w:rsidRDefault="005263C8" w:rsidP="005263C8">
      <w:pPr>
        <w:ind w:right="432"/>
        <w:jc w:val="both"/>
        <w:rPr>
          <w:rFonts w:ascii="Calibri" w:hAnsi="Calibri" w:cs="Calibri"/>
          <w:sz w:val="18"/>
          <w:szCs w:val="18"/>
        </w:rPr>
      </w:pPr>
    </w:p>
    <w:p w14:paraId="1B74C02F" w14:textId="77777777" w:rsidR="005263C8" w:rsidRPr="00BB3B54" w:rsidRDefault="005263C8" w:rsidP="005263C8">
      <w:pPr>
        <w:ind w:right="432"/>
        <w:jc w:val="both"/>
        <w:rPr>
          <w:rFonts w:ascii="Calibri" w:hAnsi="Calibri" w:cs="Calibri"/>
          <w:sz w:val="18"/>
          <w:szCs w:val="18"/>
        </w:rPr>
      </w:pPr>
      <w:r>
        <w:rPr>
          <w:noProof/>
        </w:rPr>
        <w:drawing>
          <wp:inline distT="0" distB="0" distL="0" distR="0" wp14:anchorId="42267620" wp14:editId="588E7B72">
            <wp:extent cx="5943600" cy="3327944"/>
            <wp:effectExtent l="0" t="0" r="0" b="6350"/>
            <wp:docPr id="2095532847" name="Picture 2095532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a:picLocks noChangeAspect="1" noChangeArrowheads="1"/>
                    </pic:cNvPicPr>
                  </pic:nvPicPr>
                  <pic:blipFill>
                    <a:blip r:embed="rId74" cstate="print"/>
                    <a:stretch>
                      <a:fillRect/>
                    </a:stretch>
                  </pic:blipFill>
                  <pic:spPr bwMode="auto">
                    <a:xfrm>
                      <a:off x="0" y="0"/>
                      <a:ext cx="5943600" cy="3327944"/>
                    </a:xfrm>
                    <a:prstGeom prst="rect">
                      <a:avLst/>
                    </a:prstGeom>
                    <a:noFill/>
                  </pic:spPr>
                </pic:pic>
              </a:graphicData>
            </a:graphic>
          </wp:inline>
        </w:drawing>
      </w:r>
    </w:p>
    <w:p w14:paraId="68FD7D6D" w14:textId="77777777" w:rsidR="005263C8" w:rsidRPr="00BB3B54" w:rsidRDefault="005263C8" w:rsidP="005263C8">
      <w:pPr>
        <w:ind w:right="432"/>
        <w:jc w:val="both"/>
        <w:rPr>
          <w:rFonts w:ascii="Calibri" w:hAnsi="Calibri" w:cs="Calibri"/>
          <w:sz w:val="18"/>
          <w:szCs w:val="18"/>
        </w:rPr>
      </w:pPr>
    </w:p>
    <w:p w14:paraId="5FC19AD5" w14:textId="77777777" w:rsidR="005263C8" w:rsidRPr="00BB3B54" w:rsidRDefault="005263C8" w:rsidP="005263C8">
      <w:pPr>
        <w:ind w:right="432"/>
        <w:jc w:val="both"/>
        <w:rPr>
          <w:rFonts w:ascii="Calibri" w:hAnsi="Calibri" w:cs="Calibri"/>
          <w:sz w:val="18"/>
          <w:szCs w:val="18"/>
        </w:rPr>
      </w:pPr>
    </w:p>
    <w:p w14:paraId="215DCE39" w14:textId="77777777" w:rsidR="005263C8" w:rsidRPr="00BB3B54" w:rsidRDefault="005263C8" w:rsidP="005263C8">
      <w:pPr>
        <w:ind w:right="432"/>
        <w:jc w:val="both"/>
        <w:rPr>
          <w:rFonts w:ascii="Calibri" w:hAnsi="Calibri" w:cs="Calibri"/>
          <w:sz w:val="18"/>
          <w:szCs w:val="18"/>
        </w:rPr>
      </w:pPr>
      <w:r w:rsidRPr="00BB3B54">
        <w:rPr>
          <w:rFonts w:ascii="Calibri" w:hAnsi="Calibri" w:cs="Calibri"/>
          <w:b/>
          <w:bCs/>
          <w:sz w:val="18"/>
          <w:szCs w:val="18"/>
        </w:rPr>
        <w:t>Fig. 2</w:t>
      </w:r>
      <w:r w:rsidRPr="00BB3B54">
        <w:rPr>
          <w:rFonts w:ascii="Calibri" w:hAnsi="Calibri" w:cs="Calibri"/>
          <w:sz w:val="18"/>
          <w:szCs w:val="18"/>
        </w:rPr>
        <w:t>. Mean annual catches (metric tons; t) of swordfish by fleet and fishery between 201</w:t>
      </w:r>
      <w:r>
        <w:rPr>
          <w:rFonts w:ascii="Calibri" w:hAnsi="Calibri" w:cs="Calibri"/>
          <w:sz w:val="18"/>
          <w:szCs w:val="18"/>
        </w:rPr>
        <w:t>8</w:t>
      </w:r>
      <w:r w:rsidRPr="00BB3B54">
        <w:rPr>
          <w:rFonts w:ascii="Calibri" w:hAnsi="Calibri" w:cs="Calibri"/>
          <w:sz w:val="18"/>
          <w:szCs w:val="18"/>
        </w:rPr>
        <w:t xml:space="preserve"> and 202</w:t>
      </w:r>
      <w:r>
        <w:rPr>
          <w:rFonts w:ascii="Calibri" w:hAnsi="Calibri" w:cs="Calibri"/>
          <w:sz w:val="18"/>
          <w:szCs w:val="18"/>
        </w:rPr>
        <w:t>2</w:t>
      </w:r>
      <w:r w:rsidRPr="00BB3B54">
        <w:rPr>
          <w:rFonts w:ascii="Calibri" w:hAnsi="Calibri" w:cs="Calibri"/>
          <w:sz w:val="18"/>
          <w:szCs w:val="18"/>
        </w:rPr>
        <w:t>, with indication of cumulative catches by fleet. Longline | Other: swordfish and sharks-targeted longlines; Other: all remaining fishing gears</w:t>
      </w:r>
    </w:p>
    <w:p w14:paraId="26BD2950" w14:textId="77777777" w:rsidR="005263C8" w:rsidRPr="00BB3B54" w:rsidRDefault="005263C8" w:rsidP="005263C8">
      <w:pPr>
        <w:ind w:right="432"/>
        <w:jc w:val="both"/>
        <w:rPr>
          <w:rFonts w:ascii="Calibri" w:hAnsi="Calibri" w:cs="Calibri"/>
          <w:sz w:val="18"/>
          <w:szCs w:val="18"/>
          <w:highlight w:val="yellow"/>
        </w:rPr>
      </w:pPr>
    </w:p>
    <w:p w14:paraId="41E6BC47" w14:textId="77777777" w:rsidR="005263C8" w:rsidRPr="00BB3B54" w:rsidRDefault="005263C8" w:rsidP="005263C8">
      <w:pPr>
        <w:ind w:right="432"/>
        <w:jc w:val="center"/>
        <w:rPr>
          <w:rFonts w:ascii="Calibri" w:hAnsi="Calibri" w:cs="Calibri"/>
          <w:sz w:val="18"/>
          <w:szCs w:val="18"/>
          <w:highlight w:val="yellow"/>
        </w:rPr>
      </w:pPr>
      <w:r w:rsidRPr="00CC629D">
        <w:rPr>
          <w:noProof/>
        </w:rPr>
        <w:lastRenderedPageBreak/>
        <w:t xml:space="preserve"> </w:t>
      </w:r>
      <w:r w:rsidRPr="00CC629D">
        <w:rPr>
          <w:rFonts w:ascii="Calibri" w:hAnsi="Calibri" w:cs="Calibri"/>
          <w:noProof/>
          <w:sz w:val="18"/>
          <w:szCs w:val="18"/>
        </w:rPr>
        <w:drawing>
          <wp:inline distT="0" distB="0" distL="0" distR="0" wp14:anchorId="6D22ABBD" wp14:editId="66235E01">
            <wp:extent cx="5474825" cy="5474825"/>
            <wp:effectExtent l="0" t="0" r="0" b="0"/>
            <wp:docPr id="18602741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274160" name=""/>
                    <pic:cNvPicPr/>
                  </pic:nvPicPr>
                  <pic:blipFill>
                    <a:blip r:embed="rId75"/>
                    <a:stretch>
                      <a:fillRect/>
                    </a:stretch>
                  </pic:blipFill>
                  <pic:spPr>
                    <a:xfrm>
                      <a:off x="0" y="0"/>
                      <a:ext cx="5479371" cy="5479371"/>
                    </a:xfrm>
                    <a:prstGeom prst="rect">
                      <a:avLst/>
                    </a:prstGeom>
                  </pic:spPr>
                </pic:pic>
              </a:graphicData>
            </a:graphic>
          </wp:inline>
        </w:drawing>
      </w:r>
    </w:p>
    <w:p w14:paraId="4BD1BDF1" w14:textId="77777777" w:rsidR="005263C8" w:rsidRPr="00BB3B54" w:rsidRDefault="005263C8" w:rsidP="005263C8">
      <w:pPr>
        <w:widowControl w:val="0"/>
        <w:jc w:val="center"/>
        <w:rPr>
          <w:rFonts w:ascii="Calibri" w:hAnsi="Calibri" w:cs="Calibri"/>
          <w:b/>
          <w:color w:val="FF0000"/>
          <w:lang w:eastAsia="ja-JP"/>
        </w:rPr>
      </w:pPr>
    </w:p>
    <w:p w14:paraId="4870B1B3" w14:textId="77777777" w:rsidR="005263C8" w:rsidRPr="00BB3B54" w:rsidRDefault="005263C8" w:rsidP="005263C8">
      <w:pPr>
        <w:widowControl w:val="0"/>
        <w:jc w:val="center"/>
        <w:rPr>
          <w:rFonts w:ascii="Calibri" w:hAnsi="Calibri" w:cs="Calibri"/>
          <w:b/>
          <w:lang w:eastAsia="ja-JP"/>
        </w:rPr>
      </w:pPr>
    </w:p>
    <w:p w14:paraId="265DF021" w14:textId="77777777" w:rsidR="005263C8" w:rsidRPr="00BB3B54" w:rsidRDefault="005263C8" w:rsidP="005263C8">
      <w:pPr>
        <w:widowControl w:val="0"/>
        <w:jc w:val="both"/>
        <w:rPr>
          <w:rFonts w:ascii="Calibri" w:hAnsi="Calibri" w:cs="Calibri"/>
          <w:sz w:val="20"/>
          <w:szCs w:val="20"/>
          <w:lang w:eastAsia="ja-JP"/>
        </w:rPr>
      </w:pPr>
      <w:r w:rsidRPr="00BB3B54">
        <w:rPr>
          <w:rFonts w:ascii="Calibri" w:hAnsi="Calibri" w:cs="Calibri"/>
          <w:b/>
          <w:sz w:val="18"/>
          <w:szCs w:val="18"/>
          <w:lang w:eastAsia="ja-JP"/>
        </w:rPr>
        <w:t>Fig. 3.</w:t>
      </w:r>
      <w:r w:rsidRPr="00BB3B54">
        <w:rPr>
          <w:rFonts w:ascii="Calibri" w:hAnsi="Calibri" w:cs="Calibri"/>
          <w:sz w:val="18"/>
          <w:szCs w:val="18"/>
          <w:lang w:eastAsia="ja-JP"/>
        </w:rPr>
        <w:t xml:space="preserve"> Swordfish: 2021 stock status, relative to SB</w:t>
      </w:r>
      <w:r w:rsidRPr="00BB3B54">
        <w:rPr>
          <w:rFonts w:ascii="Calibri" w:hAnsi="Calibri" w:cs="Calibri"/>
          <w:sz w:val="18"/>
          <w:szCs w:val="18"/>
          <w:vertAlign w:val="subscript"/>
          <w:lang w:eastAsia="ja-JP"/>
        </w:rPr>
        <w:t>MSY</w:t>
      </w:r>
      <w:r w:rsidRPr="00BB3B54">
        <w:rPr>
          <w:rFonts w:ascii="Calibri" w:hAnsi="Calibri" w:cs="Calibri"/>
          <w:sz w:val="18"/>
          <w:szCs w:val="18"/>
          <w:lang w:eastAsia="ja-JP"/>
        </w:rPr>
        <w:t xml:space="preserve"> (x-axis) and F</w:t>
      </w:r>
      <w:r w:rsidRPr="00BB3B54">
        <w:rPr>
          <w:rFonts w:ascii="Calibri" w:hAnsi="Calibri" w:cs="Calibri"/>
          <w:sz w:val="18"/>
          <w:szCs w:val="18"/>
          <w:vertAlign w:val="subscript"/>
          <w:lang w:eastAsia="ja-JP"/>
        </w:rPr>
        <w:t>MSY</w:t>
      </w:r>
      <w:r w:rsidRPr="00BB3B54">
        <w:rPr>
          <w:rFonts w:ascii="Calibri" w:hAnsi="Calibri" w:cs="Calibri"/>
          <w:sz w:val="18"/>
          <w:szCs w:val="18"/>
          <w:lang w:eastAsia="ja-JP"/>
        </w:rPr>
        <w:t xml:space="preserve"> (y-axis) reference points for the final model grid.  Grey dots represent uncertainty from individual models with 50%, 80% and 95% contours lines. The arrowed line represents the time series of stock trajectory from the reference model. The dashed lines represent limit reference points for Indian Ocean swordfish (SB</w:t>
      </w:r>
      <w:r w:rsidRPr="00BB3B54">
        <w:rPr>
          <w:rFonts w:ascii="Calibri" w:hAnsi="Calibri" w:cs="Calibri"/>
          <w:sz w:val="18"/>
          <w:szCs w:val="18"/>
          <w:vertAlign w:val="subscript"/>
          <w:lang w:eastAsia="ja-JP"/>
        </w:rPr>
        <w:t>lim</w:t>
      </w:r>
      <w:r w:rsidRPr="00BB3B54">
        <w:rPr>
          <w:rFonts w:ascii="Calibri" w:hAnsi="Calibri" w:cs="Calibri"/>
          <w:sz w:val="18"/>
          <w:szCs w:val="18"/>
          <w:lang w:eastAsia="ja-JP"/>
        </w:rPr>
        <w:t xml:space="preserve"> = 0.4 SB</w:t>
      </w:r>
      <w:r w:rsidRPr="00BB3B54">
        <w:rPr>
          <w:rFonts w:ascii="Calibri" w:hAnsi="Calibri" w:cs="Calibri"/>
          <w:sz w:val="18"/>
          <w:szCs w:val="18"/>
          <w:vertAlign w:val="subscript"/>
          <w:lang w:eastAsia="ja-JP"/>
        </w:rPr>
        <w:t>MSY</w:t>
      </w:r>
      <w:r w:rsidRPr="00BB3B54">
        <w:rPr>
          <w:rFonts w:ascii="Calibri" w:hAnsi="Calibri" w:cs="Calibri"/>
          <w:sz w:val="18"/>
          <w:szCs w:val="18"/>
          <w:lang w:eastAsia="ja-JP"/>
        </w:rPr>
        <w:t xml:space="preserve"> and F</w:t>
      </w:r>
      <w:r w:rsidRPr="00BB3B54">
        <w:rPr>
          <w:rFonts w:ascii="Calibri" w:hAnsi="Calibri" w:cs="Calibri"/>
          <w:sz w:val="18"/>
          <w:szCs w:val="18"/>
          <w:vertAlign w:val="subscript"/>
          <w:lang w:eastAsia="ja-JP"/>
        </w:rPr>
        <w:t>lim</w:t>
      </w:r>
      <w:r w:rsidRPr="00BB3B54">
        <w:rPr>
          <w:rFonts w:ascii="Calibri" w:hAnsi="Calibri" w:cs="Calibri"/>
          <w:sz w:val="18"/>
          <w:szCs w:val="18"/>
          <w:lang w:eastAsia="ja-JP"/>
        </w:rPr>
        <w:t xml:space="preserve"> = 1.4*FMSY)</w:t>
      </w:r>
    </w:p>
    <w:p w14:paraId="7CD1DC21" w14:textId="77777777" w:rsidR="005263C8" w:rsidRDefault="005263C8" w:rsidP="005263C8">
      <w:pPr>
        <w:rPr>
          <w:rFonts w:ascii="Calibri" w:hAnsi="Calibri" w:cs="Calibri"/>
          <w:b/>
          <w:sz w:val="18"/>
          <w:szCs w:val="18"/>
        </w:rPr>
      </w:pPr>
    </w:p>
    <w:p w14:paraId="19F6DC65" w14:textId="77777777" w:rsidR="005263C8" w:rsidRPr="008F6E53" w:rsidRDefault="005263C8" w:rsidP="005263C8">
      <w:pPr>
        <w:keepNext/>
        <w:keepLines/>
        <w:spacing w:before="360" w:after="120"/>
        <w:jc w:val="both"/>
        <w:rPr>
          <w:rFonts w:ascii="Calibri" w:hAnsi="Calibri" w:cs="Calibri"/>
          <w:sz w:val="18"/>
          <w:szCs w:val="18"/>
          <w:lang w:eastAsia="en-GB"/>
        </w:rPr>
      </w:pPr>
      <w:r w:rsidRPr="008F6E53">
        <w:rPr>
          <w:rFonts w:ascii="Calibri" w:hAnsi="Calibri" w:cs="Calibri"/>
          <w:b/>
          <w:sz w:val="18"/>
          <w:szCs w:val="18"/>
        </w:rPr>
        <w:t xml:space="preserve">Table 2. </w:t>
      </w:r>
      <w:r w:rsidRPr="008F6E53">
        <w:rPr>
          <w:rFonts w:ascii="Calibri" w:hAnsi="Calibri" w:cs="Calibri"/>
          <w:sz w:val="18"/>
          <w:szCs w:val="18"/>
        </w:rPr>
        <w:t xml:space="preserve">Swordfish: SS3 Indian Ocean assessment Kobe II Strategy Matrix. </w:t>
      </w:r>
      <w:r w:rsidRPr="008F6E53">
        <w:rPr>
          <w:rFonts w:ascii="Calibri" w:hAnsi="Calibri" w:cs="Calibri"/>
          <w:sz w:val="18"/>
          <w:szCs w:val="18"/>
          <w:lang w:eastAsia="en-GB"/>
        </w:rPr>
        <w:t>Probability (</w:t>
      </w:r>
      <w:r w:rsidRPr="008F6E53">
        <w:rPr>
          <w:rFonts w:ascii="Calibri" w:hAnsi="Calibri" w:cs="Calibri"/>
          <w:kern w:val="24"/>
          <w:sz w:val="18"/>
          <w:szCs w:val="18"/>
          <w:lang w:eastAsia="en-AU"/>
        </w:rPr>
        <w:t xml:space="preserve">percentage) </w:t>
      </w:r>
      <w:r w:rsidRPr="008F6E53">
        <w:rPr>
          <w:rFonts w:ascii="Calibri" w:hAnsi="Calibri" w:cs="Calibri"/>
          <w:sz w:val="18"/>
          <w:szCs w:val="18"/>
          <w:lang w:eastAsia="en-GB"/>
        </w:rPr>
        <w:t>of violating the MSY-based target reference points for nine constant catch projections relative to the 2021 catch level (23 237 t)*,  0%, ± 20%,  ± 40%) projected for 3 and 10 years.</w:t>
      </w:r>
    </w:p>
    <w:tbl>
      <w:tblPr>
        <w:tblW w:w="10742" w:type="dxa"/>
        <w:jc w:val="center"/>
        <w:tblCellMar>
          <w:left w:w="0" w:type="dxa"/>
          <w:right w:w="0" w:type="dxa"/>
        </w:tblCellMar>
        <w:tblLook w:val="0600" w:firstRow="0" w:lastRow="0" w:firstColumn="0" w:lastColumn="0" w:noHBand="1" w:noVBand="1"/>
      </w:tblPr>
      <w:tblGrid>
        <w:gridCol w:w="1731"/>
        <w:gridCol w:w="871"/>
        <w:gridCol w:w="1093"/>
        <w:gridCol w:w="796"/>
        <w:gridCol w:w="877"/>
        <w:gridCol w:w="1225"/>
        <w:gridCol w:w="877"/>
        <w:gridCol w:w="1177"/>
        <w:gridCol w:w="1218"/>
        <w:gridCol w:w="877"/>
      </w:tblGrid>
      <w:tr w:rsidR="005263C8" w:rsidRPr="008F6E53" w14:paraId="011D8B0E" w14:textId="77777777" w:rsidTr="00444A1C">
        <w:trPr>
          <w:trHeight w:val="808"/>
          <w:jc w:val="center"/>
        </w:trPr>
        <w:tc>
          <w:tcPr>
            <w:tcW w:w="1731" w:type="dxa"/>
            <w:tcBorders>
              <w:top w:val="single" w:sz="4" w:space="0" w:color="auto"/>
              <w:left w:val="nil"/>
              <w:bottom w:val="single" w:sz="4" w:space="0" w:color="auto"/>
              <w:right w:val="nil"/>
            </w:tcBorders>
            <w:tcMar>
              <w:top w:w="15" w:type="dxa"/>
              <w:left w:w="108" w:type="dxa"/>
              <w:bottom w:w="0" w:type="dxa"/>
              <w:right w:w="108" w:type="dxa"/>
            </w:tcMar>
            <w:vAlign w:val="center"/>
            <w:hideMark/>
          </w:tcPr>
          <w:p w14:paraId="2E71D2A7" w14:textId="77777777" w:rsidR="005263C8" w:rsidRPr="008F6E53" w:rsidRDefault="005263C8" w:rsidP="00444A1C">
            <w:pPr>
              <w:keepNext/>
              <w:spacing w:line="256" w:lineRule="auto"/>
              <w:jc w:val="center"/>
              <w:rPr>
                <w:rFonts w:ascii="Calibri" w:hAnsi="Calibri" w:cs="Calibri"/>
                <w:b/>
                <w:sz w:val="16"/>
                <w:szCs w:val="16"/>
                <w:lang w:eastAsia="en-AU"/>
              </w:rPr>
            </w:pPr>
            <w:r w:rsidRPr="008F6E53">
              <w:rPr>
                <w:rFonts w:ascii="Calibri" w:hAnsi="Calibri" w:cs="Calibri"/>
                <w:b/>
                <w:sz w:val="16"/>
                <w:szCs w:val="16"/>
                <w:lang w:eastAsia="en-AU"/>
              </w:rPr>
              <w:t>Reference point and projection timeframe</w:t>
            </w:r>
          </w:p>
        </w:tc>
        <w:tc>
          <w:tcPr>
            <w:tcW w:w="9011" w:type="dxa"/>
            <w:gridSpan w:val="9"/>
            <w:tcBorders>
              <w:top w:val="single" w:sz="4" w:space="0" w:color="auto"/>
              <w:left w:val="nil"/>
              <w:bottom w:val="single" w:sz="4" w:space="0" w:color="auto"/>
              <w:right w:val="nil"/>
            </w:tcBorders>
            <w:vAlign w:val="center"/>
            <w:hideMark/>
          </w:tcPr>
          <w:p w14:paraId="5FAB20D7" w14:textId="77777777" w:rsidR="005263C8" w:rsidRPr="008F6E53" w:rsidRDefault="005263C8" w:rsidP="00444A1C">
            <w:pPr>
              <w:keepNext/>
              <w:spacing w:line="256" w:lineRule="auto"/>
              <w:jc w:val="center"/>
              <w:rPr>
                <w:rFonts w:ascii="Calibri" w:hAnsi="Calibri" w:cs="Calibri"/>
                <w:b/>
                <w:sz w:val="18"/>
                <w:szCs w:val="18"/>
                <w:lang w:eastAsia="en-AU"/>
              </w:rPr>
            </w:pPr>
            <w:r w:rsidRPr="008F6E53">
              <w:rPr>
                <w:rFonts w:ascii="Calibri" w:hAnsi="Calibri" w:cs="Calibri"/>
                <w:b/>
                <w:sz w:val="18"/>
                <w:szCs w:val="18"/>
                <w:lang w:eastAsia="en-AU"/>
              </w:rPr>
              <w:t xml:space="preserve">Alternative catch projections (relative to the 2019 catch of 3,001 t) </w:t>
            </w:r>
          </w:p>
          <w:p w14:paraId="4317BF95" w14:textId="77777777" w:rsidR="005263C8" w:rsidRPr="008F6E53" w:rsidRDefault="005263C8" w:rsidP="00444A1C">
            <w:pPr>
              <w:keepNext/>
              <w:spacing w:line="256" w:lineRule="auto"/>
              <w:jc w:val="center"/>
              <w:rPr>
                <w:rFonts w:ascii="Calibri" w:hAnsi="Calibri" w:cs="Calibri"/>
                <w:b/>
                <w:sz w:val="18"/>
                <w:szCs w:val="18"/>
                <w:lang w:eastAsia="en-AU"/>
              </w:rPr>
            </w:pPr>
            <w:r w:rsidRPr="008F6E53">
              <w:rPr>
                <w:rFonts w:ascii="Calibri" w:hAnsi="Calibri" w:cs="Calibri"/>
                <w:b/>
                <w:sz w:val="18"/>
                <w:szCs w:val="18"/>
                <w:lang w:eastAsia="en-AU"/>
              </w:rPr>
              <w:t>and probability (%) of violating MSY-based target reference points (Btarg = B</w:t>
            </w:r>
            <w:r w:rsidRPr="008F6E53">
              <w:rPr>
                <w:rFonts w:ascii="Calibri" w:hAnsi="Calibri" w:cs="Calibri"/>
                <w:b/>
                <w:sz w:val="18"/>
                <w:szCs w:val="18"/>
                <w:vertAlign w:val="subscript"/>
                <w:lang w:eastAsia="en-AU"/>
              </w:rPr>
              <w:t>MSY</w:t>
            </w:r>
            <w:r w:rsidRPr="008F6E53">
              <w:rPr>
                <w:rFonts w:ascii="Calibri" w:hAnsi="Calibri" w:cs="Calibri"/>
                <w:b/>
                <w:sz w:val="18"/>
                <w:szCs w:val="18"/>
                <w:lang w:eastAsia="en-AU"/>
              </w:rPr>
              <w:t>; Ftarg = F</w:t>
            </w:r>
            <w:r w:rsidRPr="008F6E53">
              <w:rPr>
                <w:rFonts w:ascii="Calibri" w:hAnsi="Calibri" w:cs="Calibri"/>
                <w:b/>
                <w:sz w:val="18"/>
                <w:szCs w:val="18"/>
                <w:vertAlign w:val="subscript"/>
                <w:lang w:eastAsia="en-AU"/>
              </w:rPr>
              <w:t>MSY</w:t>
            </w:r>
            <w:r w:rsidRPr="008F6E53">
              <w:rPr>
                <w:rFonts w:ascii="Calibri" w:hAnsi="Calibri" w:cs="Calibri"/>
                <w:b/>
                <w:sz w:val="18"/>
                <w:szCs w:val="18"/>
                <w:lang w:eastAsia="en-AU"/>
              </w:rPr>
              <w:t>)</w:t>
            </w:r>
          </w:p>
        </w:tc>
      </w:tr>
      <w:tr w:rsidR="005263C8" w:rsidRPr="008F6E53" w14:paraId="16994B11" w14:textId="77777777" w:rsidTr="00444A1C">
        <w:trPr>
          <w:trHeight w:val="690"/>
          <w:jc w:val="center"/>
        </w:trPr>
        <w:tc>
          <w:tcPr>
            <w:tcW w:w="1731" w:type="dxa"/>
            <w:tcBorders>
              <w:top w:val="single" w:sz="4" w:space="0" w:color="auto"/>
              <w:left w:val="nil"/>
              <w:bottom w:val="nil"/>
              <w:right w:val="nil"/>
            </w:tcBorders>
            <w:tcMar>
              <w:top w:w="15" w:type="dxa"/>
              <w:left w:w="108" w:type="dxa"/>
              <w:bottom w:w="0" w:type="dxa"/>
              <w:right w:w="108" w:type="dxa"/>
            </w:tcMar>
            <w:vAlign w:val="center"/>
            <w:hideMark/>
          </w:tcPr>
          <w:p w14:paraId="656C35FB" w14:textId="77777777" w:rsidR="005263C8" w:rsidRPr="008F6E53" w:rsidRDefault="005263C8" w:rsidP="00444A1C">
            <w:pPr>
              <w:keepNext/>
              <w:rPr>
                <w:rFonts w:ascii="Calibri" w:hAnsi="Calibri" w:cs="Calibri"/>
                <w:b/>
                <w:sz w:val="18"/>
                <w:szCs w:val="18"/>
                <w:lang w:eastAsia="en-AU"/>
              </w:rPr>
            </w:pPr>
          </w:p>
        </w:tc>
        <w:tc>
          <w:tcPr>
            <w:tcW w:w="871" w:type="dxa"/>
            <w:tcBorders>
              <w:top w:val="single" w:sz="4" w:space="0" w:color="auto"/>
              <w:left w:val="nil"/>
              <w:bottom w:val="single" w:sz="4" w:space="0" w:color="auto"/>
              <w:right w:val="nil"/>
            </w:tcBorders>
            <w:tcMar>
              <w:top w:w="15" w:type="dxa"/>
              <w:left w:w="108" w:type="dxa"/>
              <w:bottom w:w="0" w:type="dxa"/>
              <w:right w:w="108" w:type="dxa"/>
            </w:tcMar>
            <w:vAlign w:val="center"/>
            <w:hideMark/>
          </w:tcPr>
          <w:p w14:paraId="035FCA3C" w14:textId="77777777" w:rsidR="005263C8" w:rsidRPr="008F6E53" w:rsidRDefault="005263C8" w:rsidP="00444A1C">
            <w:pPr>
              <w:keepNext/>
              <w:spacing w:line="256" w:lineRule="auto"/>
              <w:jc w:val="center"/>
              <w:rPr>
                <w:rFonts w:ascii="Calibri" w:hAnsi="Calibri" w:cs="Calibri"/>
                <w:b/>
                <w:bCs/>
                <w:kern w:val="24"/>
                <w:sz w:val="16"/>
                <w:szCs w:val="20"/>
                <w:lang w:eastAsia="en-AU"/>
              </w:rPr>
            </w:pPr>
            <w:r w:rsidRPr="008F6E53">
              <w:rPr>
                <w:rFonts w:ascii="Calibri" w:hAnsi="Calibri" w:cs="Calibri"/>
                <w:b/>
                <w:bCs/>
                <w:kern w:val="24"/>
                <w:sz w:val="16"/>
                <w:szCs w:val="20"/>
                <w:lang w:eastAsia="en-AU"/>
              </w:rPr>
              <w:t>60%</w:t>
            </w:r>
          </w:p>
          <w:p w14:paraId="0CDE1BE5" w14:textId="77777777" w:rsidR="005263C8" w:rsidRPr="008F6E53" w:rsidRDefault="005263C8" w:rsidP="00444A1C">
            <w:pPr>
              <w:keepNext/>
              <w:spacing w:line="256" w:lineRule="auto"/>
              <w:jc w:val="center"/>
              <w:rPr>
                <w:rFonts w:ascii="Calibri" w:hAnsi="Calibri" w:cs="Calibri"/>
                <w:sz w:val="16"/>
                <w:szCs w:val="20"/>
                <w:lang w:eastAsia="en-AU"/>
              </w:rPr>
            </w:pPr>
            <w:r w:rsidRPr="008F6E53">
              <w:rPr>
                <w:rFonts w:ascii="Calibri" w:hAnsi="Calibri" w:cs="Calibri"/>
                <w:bCs/>
                <w:kern w:val="24"/>
                <w:sz w:val="16"/>
                <w:szCs w:val="20"/>
                <w:lang w:eastAsia="en-AU"/>
              </w:rPr>
              <w:t>(13 942 t)</w:t>
            </w:r>
          </w:p>
        </w:tc>
        <w:tc>
          <w:tcPr>
            <w:tcW w:w="1093" w:type="dxa"/>
            <w:tcBorders>
              <w:top w:val="single" w:sz="4" w:space="0" w:color="auto"/>
              <w:left w:val="nil"/>
              <w:bottom w:val="single" w:sz="4" w:space="0" w:color="auto"/>
              <w:right w:val="nil"/>
            </w:tcBorders>
            <w:tcMar>
              <w:top w:w="15" w:type="dxa"/>
              <w:left w:w="108" w:type="dxa"/>
              <w:bottom w:w="0" w:type="dxa"/>
              <w:right w:w="108" w:type="dxa"/>
            </w:tcMar>
            <w:vAlign w:val="center"/>
          </w:tcPr>
          <w:p w14:paraId="3FE0C73B" w14:textId="77777777" w:rsidR="005263C8" w:rsidRPr="008F6E53" w:rsidRDefault="005263C8" w:rsidP="00444A1C">
            <w:pPr>
              <w:keepNext/>
              <w:spacing w:line="256" w:lineRule="auto"/>
              <w:jc w:val="center"/>
              <w:rPr>
                <w:rFonts w:ascii="Calibri" w:hAnsi="Calibri" w:cs="Calibri"/>
                <w:sz w:val="16"/>
                <w:szCs w:val="20"/>
                <w:lang w:eastAsia="en-AU"/>
              </w:rPr>
            </w:pPr>
          </w:p>
        </w:tc>
        <w:tc>
          <w:tcPr>
            <w:tcW w:w="796" w:type="dxa"/>
            <w:tcBorders>
              <w:top w:val="single" w:sz="4" w:space="0" w:color="auto"/>
              <w:left w:val="nil"/>
              <w:bottom w:val="single" w:sz="4" w:space="0" w:color="auto"/>
              <w:right w:val="nil"/>
            </w:tcBorders>
            <w:vAlign w:val="center"/>
            <w:hideMark/>
          </w:tcPr>
          <w:p w14:paraId="2D47EE43" w14:textId="77777777" w:rsidR="005263C8" w:rsidRPr="008F6E53" w:rsidRDefault="005263C8" w:rsidP="00444A1C">
            <w:pPr>
              <w:keepNext/>
              <w:spacing w:line="256" w:lineRule="auto"/>
              <w:jc w:val="center"/>
              <w:rPr>
                <w:rFonts w:ascii="Calibri" w:hAnsi="Calibri" w:cs="Calibri"/>
                <w:b/>
                <w:bCs/>
                <w:kern w:val="24"/>
                <w:sz w:val="16"/>
                <w:szCs w:val="20"/>
                <w:lang w:eastAsia="en-AU"/>
              </w:rPr>
            </w:pPr>
            <w:r w:rsidRPr="008F6E53">
              <w:rPr>
                <w:rFonts w:ascii="Calibri" w:hAnsi="Calibri" w:cs="Calibri"/>
                <w:b/>
                <w:bCs/>
                <w:kern w:val="24"/>
                <w:sz w:val="16"/>
                <w:szCs w:val="20"/>
                <w:lang w:eastAsia="en-AU"/>
              </w:rPr>
              <w:t>80%</w:t>
            </w:r>
          </w:p>
          <w:p w14:paraId="3B8C5349" w14:textId="77777777" w:rsidR="005263C8" w:rsidRPr="008F6E53" w:rsidRDefault="005263C8" w:rsidP="00444A1C">
            <w:pPr>
              <w:keepNext/>
              <w:spacing w:line="256" w:lineRule="auto"/>
              <w:jc w:val="center"/>
              <w:rPr>
                <w:rFonts w:ascii="Calibri" w:hAnsi="Calibri" w:cs="Calibri"/>
                <w:bCs/>
                <w:kern w:val="24"/>
                <w:sz w:val="16"/>
                <w:szCs w:val="20"/>
                <w:lang w:eastAsia="en-AU"/>
              </w:rPr>
            </w:pPr>
            <w:r w:rsidRPr="008F6E53">
              <w:rPr>
                <w:rFonts w:ascii="Calibri" w:hAnsi="Calibri" w:cs="Calibri"/>
                <w:bCs/>
                <w:kern w:val="24"/>
                <w:sz w:val="16"/>
                <w:szCs w:val="20"/>
                <w:lang w:eastAsia="en-AU"/>
              </w:rPr>
              <w:t>(18 590 t)</w:t>
            </w:r>
          </w:p>
        </w:tc>
        <w:tc>
          <w:tcPr>
            <w:tcW w:w="877" w:type="dxa"/>
            <w:tcBorders>
              <w:top w:val="single" w:sz="4" w:space="0" w:color="auto"/>
              <w:left w:val="nil"/>
              <w:bottom w:val="single" w:sz="4" w:space="0" w:color="auto"/>
              <w:right w:val="nil"/>
            </w:tcBorders>
            <w:vAlign w:val="center"/>
          </w:tcPr>
          <w:p w14:paraId="1163F449" w14:textId="77777777" w:rsidR="005263C8" w:rsidRPr="008F6E53" w:rsidRDefault="005263C8" w:rsidP="00444A1C">
            <w:pPr>
              <w:keepNext/>
              <w:spacing w:line="256" w:lineRule="auto"/>
              <w:jc w:val="center"/>
              <w:rPr>
                <w:rFonts w:ascii="Calibri" w:hAnsi="Calibri" w:cs="Calibri"/>
                <w:bCs/>
                <w:kern w:val="24"/>
                <w:sz w:val="16"/>
                <w:szCs w:val="20"/>
                <w:lang w:eastAsia="en-AU"/>
              </w:rPr>
            </w:pPr>
          </w:p>
        </w:tc>
        <w:tc>
          <w:tcPr>
            <w:tcW w:w="1225" w:type="dxa"/>
            <w:tcBorders>
              <w:top w:val="single" w:sz="4" w:space="0" w:color="auto"/>
              <w:left w:val="nil"/>
              <w:bottom w:val="single" w:sz="4" w:space="0" w:color="auto"/>
              <w:right w:val="nil"/>
            </w:tcBorders>
            <w:tcMar>
              <w:top w:w="15" w:type="dxa"/>
              <w:left w:w="108" w:type="dxa"/>
              <w:bottom w:w="0" w:type="dxa"/>
              <w:right w:w="108" w:type="dxa"/>
            </w:tcMar>
            <w:vAlign w:val="center"/>
            <w:hideMark/>
          </w:tcPr>
          <w:p w14:paraId="429F430D" w14:textId="77777777" w:rsidR="005263C8" w:rsidRPr="008F6E53" w:rsidRDefault="005263C8" w:rsidP="00444A1C">
            <w:pPr>
              <w:keepNext/>
              <w:spacing w:line="256" w:lineRule="auto"/>
              <w:jc w:val="center"/>
              <w:rPr>
                <w:rFonts w:ascii="Calibri" w:hAnsi="Calibri" w:cs="Calibri"/>
                <w:b/>
                <w:bCs/>
                <w:kern w:val="24"/>
                <w:sz w:val="16"/>
                <w:szCs w:val="20"/>
                <w:lang w:eastAsia="en-AU"/>
              </w:rPr>
            </w:pPr>
            <w:r w:rsidRPr="008F6E53">
              <w:rPr>
                <w:rFonts w:ascii="Calibri" w:hAnsi="Calibri" w:cs="Calibri"/>
                <w:b/>
                <w:bCs/>
                <w:kern w:val="24"/>
                <w:sz w:val="16"/>
                <w:szCs w:val="20"/>
                <w:lang w:eastAsia="en-AU"/>
              </w:rPr>
              <w:t>100%</w:t>
            </w:r>
          </w:p>
          <w:p w14:paraId="72DC1BD7" w14:textId="77777777" w:rsidR="005263C8" w:rsidRPr="008F6E53" w:rsidRDefault="005263C8" w:rsidP="00444A1C">
            <w:pPr>
              <w:keepNext/>
              <w:spacing w:line="256" w:lineRule="auto"/>
              <w:jc w:val="center"/>
              <w:rPr>
                <w:rFonts w:ascii="Calibri" w:hAnsi="Calibri" w:cs="Calibri"/>
                <w:sz w:val="16"/>
                <w:szCs w:val="20"/>
                <w:lang w:eastAsia="en-AU"/>
              </w:rPr>
            </w:pPr>
            <w:r w:rsidRPr="008F6E53">
              <w:rPr>
                <w:rFonts w:ascii="Calibri" w:hAnsi="Calibri" w:cs="Calibri"/>
                <w:bCs/>
                <w:kern w:val="24"/>
                <w:sz w:val="16"/>
                <w:szCs w:val="20"/>
                <w:lang w:eastAsia="en-AU"/>
              </w:rPr>
              <w:t>(</w:t>
            </w:r>
            <w:r w:rsidRPr="008F6E53">
              <w:rPr>
                <w:rFonts w:ascii="Calibri" w:hAnsi="Calibri" w:cs="Calibri"/>
                <w:sz w:val="18"/>
                <w:szCs w:val="18"/>
                <w:lang w:eastAsia="en-GB"/>
              </w:rPr>
              <w:t xml:space="preserve">23 237 </w:t>
            </w:r>
            <w:r w:rsidRPr="008F6E53">
              <w:rPr>
                <w:rFonts w:ascii="Calibri" w:hAnsi="Calibri" w:cs="Calibri"/>
                <w:bCs/>
                <w:kern w:val="24"/>
                <w:sz w:val="16"/>
                <w:szCs w:val="20"/>
                <w:lang w:eastAsia="en-AU"/>
              </w:rPr>
              <w:t>t)</w:t>
            </w:r>
          </w:p>
        </w:tc>
        <w:tc>
          <w:tcPr>
            <w:tcW w:w="877" w:type="dxa"/>
            <w:tcBorders>
              <w:top w:val="single" w:sz="4" w:space="0" w:color="auto"/>
              <w:left w:val="nil"/>
              <w:bottom w:val="single" w:sz="4" w:space="0" w:color="auto"/>
              <w:right w:val="nil"/>
            </w:tcBorders>
            <w:vAlign w:val="center"/>
          </w:tcPr>
          <w:p w14:paraId="01250A4F" w14:textId="77777777" w:rsidR="005263C8" w:rsidRPr="008F6E53" w:rsidRDefault="005263C8" w:rsidP="00444A1C">
            <w:pPr>
              <w:keepNext/>
              <w:spacing w:line="256" w:lineRule="auto"/>
              <w:jc w:val="center"/>
              <w:rPr>
                <w:rFonts w:ascii="Calibri" w:hAnsi="Calibri" w:cs="Calibri"/>
                <w:bCs/>
                <w:kern w:val="24"/>
                <w:sz w:val="16"/>
                <w:szCs w:val="20"/>
                <w:lang w:eastAsia="en-AU"/>
              </w:rPr>
            </w:pPr>
          </w:p>
        </w:tc>
        <w:tc>
          <w:tcPr>
            <w:tcW w:w="1177" w:type="dxa"/>
            <w:tcBorders>
              <w:top w:val="single" w:sz="4" w:space="0" w:color="auto"/>
              <w:left w:val="nil"/>
              <w:bottom w:val="single" w:sz="4" w:space="0" w:color="auto"/>
              <w:right w:val="nil"/>
            </w:tcBorders>
            <w:tcMar>
              <w:top w:w="15" w:type="dxa"/>
              <w:left w:w="108" w:type="dxa"/>
              <w:bottom w:w="0" w:type="dxa"/>
              <w:right w:w="108" w:type="dxa"/>
            </w:tcMar>
            <w:vAlign w:val="center"/>
            <w:hideMark/>
          </w:tcPr>
          <w:p w14:paraId="05092E47" w14:textId="77777777" w:rsidR="005263C8" w:rsidRPr="008F6E53" w:rsidRDefault="005263C8" w:rsidP="00444A1C">
            <w:pPr>
              <w:keepNext/>
              <w:spacing w:line="256" w:lineRule="auto"/>
              <w:jc w:val="center"/>
              <w:rPr>
                <w:rFonts w:ascii="Calibri" w:hAnsi="Calibri" w:cs="Calibri"/>
                <w:b/>
                <w:bCs/>
                <w:kern w:val="24"/>
                <w:sz w:val="16"/>
                <w:szCs w:val="20"/>
                <w:lang w:eastAsia="en-AU"/>
              </w:rPr>
            </w:pPr>
            <w:r w:rsidRPr="008F6E53">
              <w:rPr>
                <w:rFonts w:ascii="Calibri" w:hAnsi="Calibri" w:cs="Calibri"/>
                <w:b/>
                <w:bCs/>
                <w:kern w:val="24"/>
                <w:sz w:val="16"/>
                <w:szCs w:val="20"/>
                <w:lang w:eastAsia="en-AU"/>
              </w:rPr>
              <w:t>120%</w:t>
            </w:r>
          </w:p>
          <w:p w14:paraId="4C410866" w14:textId="77777777" w:rsidR="005263C8" w:rsidRPr="008F6E53" w:rsidRDefault="005263C8" w:rsidP="00444A1C">
            <w:pPr>
              <w:keepNext/>
              <w:spacing w:line="256" w:lineRule="auto"/>
              <w:jc w:val="center"/>
              <w:rPr>
                <w:rFonts w:ascii="Calibri" w:hAnsi="Calibri" w:cs="Calibri"/>
                <w:sz w:val="16"/>
                <w:szCs w:val="20"/>
                <w:lang w:eastAsia="en-AU"/>
              </w:rPr>
            </w:pPr>
            <w:r w:rsidRPr="008F6E53">
              <w:rPr>
                <w:rFonts w:ascii="Calibri" w:hAnsi="Calibri" w:cs="Calibri"/>
                <w:bCs/>
                <w:kern w:val="24"/>
                <w:sz w:val="16"/>
                <w:szCs w:val="20"/>
                <w:lang w:eastAsia="en-AU"/>
              </w:rPr>
              <w:t>(27 884 t)</w:t>
            </w:r>
          </w:p>
        </w:tc>
        <w:tc>
          <w:tcPr>
            <w:tcW w:w="1218" w:type="dxa"/>
            <w:tcBorders>
              <w:top w:val="single" w:sz="4" w:space="0" w:color="auto"/>
              <w:left w:val="nil"/>
              <w:bottom w:val="single" w:sz="4" w:space="0" w:color="auto"/>
              <w:right w:val="nil"/>
            </w:tcBorders>
            <w:tcMar>
              <w:top w:w="15" w:type="dxa"/>
              <w:left w:w="108" w:type="dxa"/>
              <w:bottom w:w="0" w:type="dxa"/>
              <w:right w:w="108" w:type="dxa"/>
            </w:tcMar>
            <w:vAlign w:val="center"/>
          </w:tcPr>
          <w:p w14:paraId="75EC15A3" w14:textId="77777777" w:rsidR="005263C8" w:rsidRPr="008F6E53" w:rsidRDefault="005263C8" w:rsidP="00444A1C">
            <w:pPr>
              <w:keepNext/>
              <w:spacing w:line="256" w:lineRule="auto"/>
              <w:jc w:val="center"/>
              <w:rPr>
                <w:rFonts w:ascii="Calibri" w:hAnsi="Calibri" w:cs="Calibri"/>
                <w:sz w:val="16"/>
                <w:szCs w:val="20"/>
                <w:lang w:eastAsia="en-AU"/>
              </w:rPr>
            </w:pPr>
          </w:p>
        </w:tc>
        <w:tc>
          <w:tcPr>
            <w:tcW w:w="877" w:type="dxa"/>
            <w:tcBorders>
              <w:top w:val="single" w:sz="4" w:space="0" w:color="auto"/>
              <w:left w:val="nil"/>
              <w:bottom w:val="single" w:sz="4" w:space="0" w:color="auto"/>
              <w:right w:val="nil"/>
            </w:tcBorders>
            <w:vAlign w:val="center"/>
            <w:hideMark/>
          </w:tcPr>
          <w:p w14:paraId="7D071455" w14:textId="77777777" w:rsidR="005263C8" w:rsidRPr="008F6E53" w:rsidRDefault="005263C8" w:rsidP="00444A1C">
            <w:pPr>
              <w:keepNext/>
              <w:spacing w:line="256" w:lineRule="auto"/>
              <w:jc w:val="center"/>
              <w:rPr>
                <w:rFonts w:ascii="Calibri" w:hAnsi="Calibri" w:cs="Calibri"/>
                <w:b/>
                <w:bCs/>
                <w:kern w:val="24"/>
                <w:sz w:val="16"/>
                <w:szCs w:val="20"/>
                <w:lang w:eastAsia="en-AU"/>
              </w:rPr>
            </w:pPr>
            <w:r w:rsidRPr="008F6E53">
              <w:rPr>
                <w:rFonts w:ascii="Calibri" w:hAnsi="Calibri" w:cs="Calibri"/>
                <w:b/>
                <w:bCs/>
                <w:kern w:val="24"/>
                <w:sz w:val="16"/>
                <w:szCs w:val="20"/>
                <w:lang w:eastAsia="en-AU"/>
              </w:rPr>
              <w:t>140%</w:t>
            </w:r>
          </w:p>
          <w:p w14:paraId="13A4067B" w14:textId="77777777" w:rsidR="005263C8" w:rsidRPr="008F6E53" w:rsidRDefault="005263C8" w:rsidP="00444A1C">
            <w:pPr>
              <w:keepNext/>
              <w:spacing w:line="256" w:lineRule="auto"/>
              <w:jc w:val="center"/>
              <w:rPr>
                <w:rFonts w:ascii="Calibri" w:hAnsi="Calibri" w:cs="Calibri"/>
                <w:bCs/>
                <w:kern w:val="24"/>
                <w:sz w:val="16"/>
                <w:szCs w:val="20"/>
                <w:lang w:eastAsia="en-AU"/>
              </w:rPr>
            </w:pPr>
            <w:r w:rsidRPr="008F6E53">
              <w:rPr>
                <w:rFonts w:ascii="Calibri" w:hAnsi="Calibri" w:cs="Calibri"/>
                <w:bCs/>
                <w:kern w:val="24"/>
                <w:sz w:val="16"/>
                <w:szCs w:val="20"/>
                <w:lang w:eastAsia="en-AU"/>
              </w:rPr>
              <w:t>(32 532 t)</w:t>
            </w:r>
          </w:p>
        </w:tc>
      </w:tr>
      <w:tr w:rsidR="005263C8" w:rsidRPr="008F6E53" w14:paraId="0807D098" w14:textId="77777777" w:rsidTr="00444A1C">
        <w:trPr>
          <w:trHeight w:val="283"/>
          <w:jc w:val="center"/>
        </w:trPr>
        <w:tc>
          <w:tcPr>
            <w:tcW w:w="1731" w:type="dxa"/>
            <w:tcMar>
              <w:top w:w="15" w:type="dxa"/>
              <w:left w:w="108" w:type="dxa"/>
              <w:bottom w:w="0" w:type="dxa"/>
              <w:right w:w="108" w:type="dxa"/>
            </w:tcMar>
            <w:vAlign w:val="center"/>
            <w:hideMark/>
          </w:tcPr>
          <w:p w14:paraId="11E18F5D" w14:textId="77777777" w:rsidR="005263C8" w:rsidRPr="008F6E53" w:rsidRDefault="005263C8" w:rsidP="00444A1C">
            <w:pPr>
              <w:spacing w:line="256" w:lineRule="auto"/>
              <w:jc w:val="center"/>
              <w:rPr>
                <w:rFonts w:ascii="Calibri" w:hAnsi="Calibri" w:cs="Calibri"/>
                <w:sz w:val="20"/>
                <w:szCs w:val="20"/>
                <w:lang w:eastAsia="en-AU"/>
              </w:rPr>
            </w:pPr>
            <w:r w:rsidRPr="008F6E53">
              <w:rPr>
                <w:rFonts w:ascii="Calibri" w:eastAsia="PMingLiU" w:hAnsi="Calibri" w:cs="Calibri"/>
                <w:bCs/>
                <w:sz w:val="20"/>
                <w:szCs w:val="20"/>
              </w:rPr>
              <w:t>B</w:t>
            </w:r>
            <w:r w:rsidRPr="008F6E53">
              <w:rPr>
                <w:rFonts w:ascii="Calibri" w:eastAsia="PMingLiU" w:hAnsi="Calibri" w:cs="Calibri"/>
                <w:bCs/>
                <w:sz w:val="20"/>
                <w:szCs w:val="20"/>
                <w:vertAlign w:val="subscript"/>
              </w:rPr>
              <w:t>2024</w:t>
            </w:r>
            <w:r w:rsidRPr="008F6E53">
              <w:rPr>
                <w:rFonts w:ascii="Calibri" w:hAnsi="Calibri" w:cs="Calibri"/>
                <w:kern w:val="24"/>
                <w:sz w:val="20"/>
                <w:szCs w:val="20"/>
                <w:lang w:eastAsia="en-AU"/>
              </w:rPr>
              <w:t xml:space="preserve"> &lt; </w:t>
            </w:r>
            <w:r w:rsidRPr="008F6E53">
              <w:rPr>
                <w:rFonts w:ascii="Calibri" w:eastAsia="PMingLiU" w:hAnsi="Calibri" w:cs="Calibri"/>
                <w:bCs/>
                <w:sz w:val="20"/>
                <w:szCs w:val="20"/>
              </w:rPr>
              <w:t>B</w:t>
            </w:r>
            <w:r w:rsidRPr="008F6E53">
              <w:rPr>
                <w:rFonts w:ascii="Calibri" w:eastAsia="PMingLiU" w:hAnsi="Calibri" w:cs="Calibri"/>
                <w:bCs/>
                <w:sz w:val="20"/>
                <w:szCs w:val="20"/>
                <w:vertAlign w:val="subscript"/>
              </w:rPr>
              <w:t>MSY</w:t>
            </w:r>
          </w:p>
        </w:tc>
        <w:tc>
          <w:tcPr>
            <w:tcW w:w="871" w:type="dxa"/>
            <w:tcBorders>
              <w:top w:val="single" w:sz="4" w:space="0" w:color="auto"/>
              <w:left w:val="nil"/>
              <w:bottom w:val="nil"/>
              <w:right w:val="nil"/>
            </w:tcBorders>
            <w:tcMar>
              <w:top w:w="15" w:type="dxa"/>
              <w:left w:w="15" w:type="dxa"/>
              <w:bottom w:w="0" w:type="dxa"/>
              <w:right w:w="15" w:type="dxa"/>
            </w:tcMar>
            <w:vAlign w:val="bottom"/>
            <w:hideMark/>
          </w:tcPr>
          <w:p w14:paraId="1545A181"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0</w:t>
            </w:r>
          </w:p>
        </w:tc>
        <w:tc>
          <w:tcPr>
            <w:tcW w:w="1093" w:type="dxa"/>
            <w:tcBorders>
              <w:top w:val="single" w:sz="4" w:space="0" w:color="auto"/>
              <w:left w:val="nil"/>
              <w:bottom w:val="nil"/>
              <w:right w:val="nil"/>
            </w:tcBorders>
            <w:tcMar>
              <w:top w:w="15" w:type="dxa"/>
              <w:left w:w="15" w:type="dxa"/>
              <w:bottom w:w="0" w:type="dxa"/>
              <w:right w:w="15" w:type="dxa"/>
            </w:tcMar>
            <w:vAlign w:val="bottom"/>
          </w:tcPr>
          <w:p w14:paraId="2B51869D" w14:textId="77777777" w:rsidR="005263C8" w:rsidRPr="008F6E53" w:rsidRDefault="005263C8" w:rsidP="00444A1C">
            <w:pPr>
              <w:spacing w:line="256" w:lineRule="auto"/>
              <w:jc w:val="center"/>
              <w:textAlignment w:val="bottom"/>
              <w:rPr>
                <w:rFonts w:ascii="Calibri" w:hAnsi="Calibri" w:cs="Calibri"/>
                <w:sz w:val="20"/>
                <w:szCs w:val="20"/>
                <w:lang w:eastAsia="en-AU"/>
              </w:rPr>
            </w:pPr>
          </w:p>
        </w:tc>
        <w:tc>
          <w:tcPr>
            <w:tcW w:w="796" w:type="dxa"/>
            <w:tcBorders>
              <w:top w:val="single" w:sz="4" w:space="0" w:color="auto"/>
              <w:left w:val="nil"/>
              <w:bottom w:val="nil"/>
              <w:right w:val="nil"/>
            </w:tcBorders>
            <w:vAlign w:val="bottom"/>
            <w:hideMark/>
          </w:tcPr>
          <w:p w14:paraId="71A60A13" w14:textId="77777777" w:rsidR="005263C8" w:rsidRPr="008F6E53" w:rsidRDefault="005263C8" w:rsidP="00444A1C">
            <w:pPr>
              <w:spacing w:line="256" w:lineRule="auto"/>
              <w:jc w:val="center"/>
              <w:textAlignment w:val="bottom"/>
              <w:rPr>
                <w:rFonts w:ascii="Calibri" w:hAnsi="Calibri" w:cs="Calibri"/>
                <w:sz w:val="20"/>
                <w:szCs w:val="20"/>
                <w:lang w:eastAsia="ja-JP"/>
              </w:rPr>
            </w:pPr>
            <w:r w:rsidRPr="008F6E53">
              <w:rPr>
                <w:rFonts w:ascii="Calibri" w:hAnsi="Calibri" w:cs="Calibri"/>
                <w:sz w:val="20"/>
                <w:szCs w:val="20"/>
              </w:rPr>
              <w:t>0</w:t>
            </w:r>
          </w:p>
        </w:tc>
        <w:tc>
          <w:tcPr>
            <w:tcW w:w="877" w:type="dxa"/>
            <w:tcBorders>
              <w:top w:val="single" w:sz="4" w:space="0" w:color="auto"/>
              <w:left w:val="nil"/>
              <w:bottom w:val="nil"/>
              <w:right w:val="nil"/>
            </w:tcBorders>
            <w:vAlign w:val="bottom"/>
          </w:tcPr>
          <w:p w14:paraId="09DD8154" w14:textId="77777777" w:rsidR="005263C8" w:rsidRPr="008F6E53" w:rsidRDefault="005263C8" w:rsidP="00444A1C">
            <w:pPr>
              <w:spacing w:line="256" w:lineRule="auto"/>
              <w:jc w:val="center"/>
              <w:textAlignment w:val="bottom"/>
              <w:rPr>
                <w:rFonts w:ascii="Calibri" w:hAnsi="Calibri" w:cs="Calibri"/>
                <w:sz w:val="20"/>
                <w:szCs w:val="20"/>
                <w:lang w:eastAsia="ja-JP"/>
              </w:rPr>
            </w:pPr>
          </w:p>
        </w:tc>
        <w:tc>
          <w:tcPr>
            <w:tcW w:w="1225" w:type="dxa"/>
            <w:tcBorders>
              <w:top w:val="single" w:sz="4" w:space="0" w:color="auto"/>
              <w:left w:val="nil"/>
              <w:bottom w:val="nil"/>
              <w:right w:val="nil"/>
            </w:tcBorders>
            <w:tcMar>
              <w:top w:w="15" w:type="dxa"/>
              <w:left w:w="15" w:type="dxa"/>
              <w:bottom w:w="0" w:type="dxa"/>
              <w:right w:w="15" w:type="dxa"/>
            </w:tcMar>
            <w:vAlign w:val="bottom"/>
            <w:hideMark/>
          </w:tcPr>
          <w:p w14:paraId="11B721E6"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1</w:t>
            </w:r>
          </w:p>
        </w:tc>
        <w:tc>
          <w:tcPr>
            <w:tcW w:w="877" w:type="dxa"/>
            <w:tcBorders>
              <w:top w:val="single" w:sz="4" w:space="0" w:color="auto"/>
              <w:left w:val="nil"/>
              <w:bottom w:val="nil"/>
              <w:right w:val="nil"/>
            </w:tcBorders>
            <w:vAlign w:val="bottom"/>
          </w:tcPr>
          <w:p w14:paraId="399C38BD" w14:textId="77777777" w:rsidR="005263C8" w:rsidRPr="008F6E53" w:rsidRDefault="005263C8" w:rsidP="00444A1C">
            <w:pPr>
              <w:spacing w:line="256" w:lineRule="auto"/>
              <w:jc w:val="center"/>
              <w:textAlignment w:val="bottom"/>
              <w:rPr>
                <w:rFonts w:ascii="Calibri" w:hAnsi="Calibri" w:cs="Calibri"/>
                <w:sz w:val="20"/>
                <w:szCs w:val="20"/>
                <w:lang w:eastAsia="ja-JP"/>
              </w:rPr>
            </w:pPr>
          </w:p>
        </w:tc>
        <w:tc>
          <w:tcPr>
            <w:tcW w:w="1177" w:type="dxa"/>
            <w:tcBorders>
              <w:top w:val="single" w:sz="4" w:space="0" w:color="auto"/>
              <w:left w:val="nil"/>
              <w:bottom w:val="nil"/>
              <w:right w:val="nil"/>
            </w:tcBorders>
            <w:tcMar>
              <w:top w:w="15" w:type="dxa"/>
              <w:left w:w="15" w:type="dxa"/>
              <w:bottom w:w="0" w:type="dxa"/>
              <w:right w:w="15" w:type="dxa"/>
            </w:tcMar>
            <w:vAlign w:val="bottom"/>
            <w:hideMark/>
          </w:tcPr>
          <w:p w14:paraId="39398FBD"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1</w:t>
            </w:r>
          </w:p>
        </w:tc>
        <w:tc>
          <w:tcPr>
            <w:tcW w:w="1218" w:type="dxa"/>
            <w:tcBorders>
              <w:top w:val="single" w:sz="4" w:space="0" w:color="auto"/>
              <w:left w:val="nil"/>
              <w:bottom w:val="nil"/>
              <w:right w:val="nil"/>
            </w:tcBorders>
            <w:tcMar>
              <w:top w:w="15" w:type="dxa"/>
              <w:left w:w="15" w:type="dxa"/>
              <w:bottom w:w="0" w:type="dxa"/>
              <w:right w:w="15" w:type="dxa"/>
            </w:tcMar>
            <w:vAlign w:val="bottom"/>
          </w:tcPr>
          <w:p w14:paraId="704C20C5" w14:textId="77777777" w:rsidR="005263C8" w:rsidRPr="008F6E53" w:rsidRDefault="005263C8" w:rsidP="00444A1C">
            <w:pPr>
              <w:spacing w:line="256" w:lineRule="auto"/>
              <w:jc w:val="center"/>
              <w:textAlignment w:val="bottom"/>
              <w:rPr>
                <w:rFonts w:ascii="Calibri" w:hAnsi="Calibri" w:cs="Calibri"/>
                <w:sz w:val="20"/>
                <w:szCs w:val="20"/>
                <w:lang w:eastAsia="en-AU"/>
              </w:rPr>
            </w:pPr>
          </w:p>
        </w:tc>
        <w:tc>
          <w:tcPr>
            <w:tcW w:w="877" w:type="dxa"/>
            <w:tcBorders>
              <w:top w:val="single" w:sz="4" w:space="0" w:color="auto"/>
              <w:left w:val="nil"/>
              <w:bottom w:val="nil"/>
              <w:right w:val="nil"/>
            </w:tcBorders>
            <w:vAlign w:val="bottom"/>
            <w:hideMark/>
          </w:tcPr>
          <w:p w14:paraId="339220F9"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2</w:t>
            </w:r>
          </w:p>
        </w:tc>
      </w:tr>
      <w:tr w:rsidR="005263C8" w:rsidRPr="008F6E53" w14:paraId="249A6324" w14:textId="77777777" w:rsidTr="00444A1C">
        <w:trPr>
          <w:trHeight w:val="283"/>
          <w:jc w:val="center"/>
        </w:trPr>
        <w:tc>
          <w:tcPr>
            <w:tcW w:w="1731" w:type="dxa"/>
            <w:tcMar>
              <w:top w:w="15" w:type="dxa"/>
              <w:left w:w="108" w:type="dxa"/>
              <w:bottom w:w="0" w:type="dxa"/>
              <w:right w:w="108" w:type="dxa"/>
            </w:tcMar>
            <w:vAlign w:val="center"/>
            <w:hideMark/>
          </w:tcPr>
          <w:p w14:paraId="2EDA0C6B" w14:textId="77777777" w:rsidR="005263C8" w:rsidRPr="008F6E53" w:rsidRDefault="005263C8" w:rsidP="00444A1C">
            <w:pPr>
              <w:spacing w:line="256" w:lineRule="auto"/>
              <w:jc w:val="center"/>
              <w:rPr>
                <w:rFonts w:ascii="Calibri" w:hAnsi="Calibri" w:cs="Calibri"/>
                <w:sz w:val="20"/>
                <w:szCs w:val="20"/>
                <w:lang w:eastAsia="en-AU"/>
              </w:rPr>
            </w:pPr>
            <w:r w:rsidRPr="008F6E53">
              <w:rPr>
                <w:rFonts w:ascii="Calibri" w:eastAsia="PMingLiU" w:hAnsi="Calibri" w:cs="Calibri"/>
                <w:bCs/>
                <w:sz w:val="20"/>
                <w:szCs w:val="20"/>
              </w:rPr>
              <w:t>F</w:t>
            </w:r>
            <w:r w:rsidRPr="008F6E53">
              <w:rPr>
                <w:rFonts w:ascii="Calibri" w:eastAsia="PMingLiU" w:hAnsi="Calibri" w:cs="Calibri"/>
                <w:bCs/>
                <w:sz w:val="20"/>
                <w:szCs w:val="20"/>
                <w:vertAlign w:val="subscript"/>
              </w:rPr>
              <w:t>2024</w:t>
            </w:r>
            <w:r w:rsidRPr="008F6E53">
              <w:rPr>
                <w:rFonts w:ascii="Calibri" w:hAnsi="Calibri" w:cs="Calibri"/>
                <w:kern w:val="24"/>
                <w:sz w:val="20"/>
                <w:szCs w:val="20"/>
                <w:lang w:eastAsia="en-AU"/>
              </w:rPr>
              <w:t xml:space="preserve"> &gt; F</w:t>
            </w:r>
            <w:r w:rsidRPr="008F6E53">
              <w:rPr>
                <w:rFonts w:ascii="Calibri" w:eastAsia="PMingLiU" w:hAnsi="Calibri" w:cs="Calibri"/>
                <w:bCs/>
                <w:sz w:val="20"/>
                <w:szCs w:val="20"/>
                <w:vertAlign w:val="subscript"/>
              </w:rPr>
              <w:t>MSY</w:t>
            </w:r>
          </w:p>
        </w:tc>
        <w:tc>
          <w:tcPr>
            <w:tcW w:w="871" w:type="dxa"/>
            <w:tcMar>
              <w:top w:w="15" w:type="dxa"/>
              <w:left w:w="15" w:type="dxa"/>
              <w:bottom w:w="0" w:type="dxa"/>
              <w:right w:w="15" w:type="dxa"/>
            </w:tcMar>
            <w:vAlign w:val="bottom"/>
            <w:hideMark/>
          </w:tcPr>
          <w:p w14:paraId="7E1B3D5C"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lang w:eastAsia="en-AU"/>
              </w:rPr>
              <w:t>0</w:t>
            </w:r>
          </w:p>
        </w:tc>
        <w:tc>
          <w:tcPr>
            <w:tcW w:w="1093" w:type="dxa"/>
            <w:tcMar>
              <w:top w:w="15" w:type="dxa"/>
              <w:left w:w="15" w:type="dxa"/>
              <w:bottom w:w="0" w:type="dxa"/>
              <w:right w:w="15" w:type="dxa"/>
            </w:tcMar>
            <w:vAlign w:val="bottom"/>
          </w:tcPr>
          <w:p w14:paraId="760DE01D" w14:textId="77777777" w:rsidR="005263C8" w:rsidRPr="008F6E53" w:rsidRDefault="005263C8" w:rsidP="00444A1C">
            <w:pPr>
              <w:spacing w:line="256" w:lineRule="auto"/>
              <w:jc w:val="center"/>
              <w:textAlignment w:val="bottom"/>
              <w:rPr>
                <w:rFonts w:ascii="Calibri" w:hAnsi="Calibri" w:cs="Calibri"/>
                <w:sz w:val="20"/>
                <w:szCs w:val="20"/>
                <w:lang w:eastAsia="en-AU"/>
              </w:rPr>
            </w:pPr>
          </w:p>
        </w:tc>
        <w:tc>
          <w:tcPr>
            <w:tcW w:w="796" w:type="dxa"/>
            <w:vAlign w:val="bottom"/>
            <w:hideMark/>
          </w:tcPr>
          <w:p w14:paraId="0D5BB5BE" w14:textId="77777777" w:rsidR="005263C8" w:rsidRPr="008F6E53" w:rsidRDefault="005263C8" w:rsidP="00444A1C">
            <w:pPr>
              <w:spacing w:line="256" w:lineRule="auto"/>
              <w:jc w:val="center"/>
              <w:textAlignment w:val="bottom"/>
              <w:rPr>
                <w:rFonts w:ascii="Calibri" w:hAnsi="Calibri" w:cs="Calibri"/>
                <w:sz w:val="20"/>
                <w:szCs w:val="20"/>
                <w:lang w:eastAsia="ja-JP"/>
              </w:rPr>
            </w:pPr>
            <w:r w:rsidRPr="008F6E53">
              <w:rPr>
                <w:rFonts w:ascii="Calibri" w:hAnsi="Calibri" w:cs="Calibri"/>
                <w:sz w:val="20"/>
                <w:szCs w:val="20"/>
              </w:rPr>
              <w:t>0</w:t>
            </w:r>
          </w:p>
        </w:tc>
        <w:tc>
          <w:tcPr>
            <w:tcW w:w="877" w:type="dxa"/>
            <w:vAlign w:val="bottom"/>
          </w:tcPr>
          <w:p w14:paraId="12580195" w14:textId="77777777" w:rsidR="005263C8" w:rsidRPr="008F6E53" w:rsidRDefault="005263C8" w:rsidP="00444A1C">
            <w:pPr>
              <w:spacing w:line="256" w:lineRule="auto"/>
              <w:jc w:val="center"/>
              <w:textAlignment w:val="bottom"/>
              <w:rPr>
                <w:rFonts w:ascii="Calibri" w:hAnsi="Calibri" w:cs="Calibri"/>
                <w:sz w:val="20"/>
                <w:szCs w:val="20"/>
                <w:lang w:eastAsia="ja-JP"/>
              </w:rPr>
            </w:pPr>
          </w:p>
        </w:tc>
        <w:tc>
          <w:tcPr>
            <w:tcW w:w="1225" w:type="dxa"/>
            <w:tcMar>
              <w:top w:w="15" w:type="dxa"/>
              <w:left w:w="15" w:type="dxa"/>
              <w:bottom w:w="0" w:type="dxa"/>
              <w:right w:w="15" w:type="dxa"/>
            </w:tcMar>
            <w:vAlign w:val="bottom"/>
            <w:hideMark/>
          </w:tcPr>
          <w:p w14:paraId="55417683"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0</w:t>
            </w:r>
          </w:p>
        </w:tc>
        <w:tc>
          <w:tcPr>
            <w:tcW w:w="877" w:type="dxa"/>
            <w:vAlign w:val="bottom"/>
          </w:tcPr>
          <w:p w14:paraId="4B6C6112" w14:textId="77777777" w:rsidR="005263C8" w:rsidRPr="008F6E53" w:rsidRDefault="005263C8" w:rsidP="00444A1C">
            <w:pPr>
              <w:spacing w:line="256" w:lineRule="auto"/>
              <w:jc w:val="center"/>
              <w:textAlignment w:val="bottom"/>
              <w:rPr>
                <w:rFonts w:ascii="Calibri" w:hAnsi="Calibri" w:cs="Calibri"/>
                <w:sz w:val="20"/>
                <w:szCs w:val="20"/>
                <w:lang w:eastAsia="ja-JP"/>
              </w:rPr>
            </w:pPr>
          </w:p>
        </w:tc>
        <w:tc>
          <w:tcPr>
            <w:tcW w:w="1177" w:type="dxa"/>
            <w:tcMar>
              <w:top w:w="15" w:type="dxa"/>
              <w:left w:w="15" w:type="dxa"/>
              <w:bottom w:w="0" w:type="dxa"/>
              <w:right w:w="15" w:type="dxa"/>
            </w:tcMar>
            <w:vAlign w:val="bottom"/>
            <w:hideMark/>
          </w:tcPr>
          <w:p w14:paraId="17D4D572"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5</w:t>
            </w:r>
          </w:p>
        </w:tc>
        <w:tc>
          <w:tcPr>
            <w:tcW w:w="1218" w:type="dxa"/>
            <w:tcMar>
              <w:top w:w="15" w:type="dxa"/>
              <w:left w:w="15" w:type="dxa"/>
              <w:bottom w:w="0" w:type="dxa"/>
              <w:right w:w="15" w:type="dxa"/>
            </w:tcMar>
            <w:vAlign w:val="bottom"/>
          </w:tcPr>
          <w:p w14:paraId="5B0D2B16" w14:textId="77777777" w:rsidR="005263C8" w:rsidRPr="008F6E53" w:rsidRDefault="005263C8" w:rsidP="00444A1C">
            <w:pPr>
              <w:spacing w:line="256" w:lineRule="auto"/>
              <w:jc w:val="center"/>
              <w:textAlignment w:val="bottom"/>
              <w:rPr>
                <w:rFonts w:ascii="Calibri" w:hAnsi="Calibri" w:cs="Calibri"/>
                <w:sz w:val="20"/>
                <w:szCs w:val="20"/>
                <w:lang w:eastAsia="en-AU"/>
              </w:rPr>
            </w:pPr>
          </w:p>
        </w:tc>
        <w:tc>
          <w:tcPr>
            <w:tcW w:w="877" w:type="dxa"/>
            <w:vAlign w:val="bottom"/>
            <w:hideMark/>
          </w:tcPr>
          <w:p w14:paraId="233ADF6F"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24</w:t>
            </w:r>
          </w:p>
        </w:tc>
      </w:tr>
      <w:tr w:rsidR="005263C8" w:rsidRPr="008F6E53" w14:paraId="1B671D2C" w14:textId="77777777" w:rsidTr="00444A1C">
        <w:trPr>
          <w:trHeight w:val="138"/>
          <w:jc w:val="center"/>
        </w:trPr>
        <w:tc>
          <w:tcPr>
            <w:tcW w:w="1731" w:type="dxa"/>
            <w:tcMar>
              <w:top w:w="15" w:type="dxa"/>
              <w:left w:w="108" w:type="dxa"/>
              <w:bottom w:w="0" w:type="dxa"/>
              <w:right w:w="108" w:type="dxa"/>
            </w:tcMar>
            <w:vAlign w:val="center"/>
            <w:hideMark/>
          </w:tcPr>
          <w:p w14:paraId="51DA304C" w14:textId="77777777" w:rsidR="005263C8" w:rsidRPr="008F6E53" w:rsidRDefault="005263C8" w:rsidP="00444A1C">
            <w:pPr>
              <w:rPr>
                <w:rFonts w:ascii="Calibri" w:hAnsi="Calibri" w:cs="Calibri"/>
                <w:sz w:val="20"/>
                <w:szCs w:val="20"/>
                <w:lang w:eastAsia="en-AU"/>
              </w:rPr>
            </w:pPr>
          </w:p>
        </w:tc>
        <w:tc>
          <w:tcPr>
            <w:tcW w:w="871" w:type="dxa"/>
            <w:tcMar>
              <w:top w:w="15" w:type="dxa"/>
              <w:left w:w="15" w:type="dxa"/>
              <w:bottom w:w="0" w:type="dxa"/>
              <w:right w:w="15" w:type="dxa"/>
            </w:tcMar>
            <w:vAlign w:val="center"/>
          </w:tcPr>
          <w:p w14:paraId="3A7BB3BE" w14:textId="77777777" w:rsidR="005263C8" w:rsidRPr="008F6E53" w:rsidRDefault="005263C8" w:rsidP="00444A1C">
            <w:pPr>
              <w:spacing w:line="256" w:lineRule="auto"/>
              <w:jc w:val="center"/>
              <w:rPr>
                <w:rFonts w:ascii="Calibri" w:hAnsi="Calibri" w:cs="Calibri"/>
                <w:sz w:val="20"/>
                <w:szCs w:val="20"/>
                <w:lang w:eastAsia="en-AU"/>
              </w:rPr>
            </w:pPr>
          </w:p>
        </w:tc>
        <w:tc>
          <w:tcPr>
            <w:tcW w:w="1093" w:type="dxa"/>
            <w:tcMar>
              <w:top w:w="15" w:type="dxa"/>
              <w:left w:w="15" w:type="dxa"/>
              <w:bottom w:w="0" w:type="dxa"/>
              <w:right w:w="15" w:type="dxa"/>
            </w:tcMar>
            <w:vAlign w:val="center"/>
          </w:tcPr>
          <w:p w14:paraId="36AB5B96" w14:textId="77777777" w:rsidR="005263C8" w:rsidRPr="008F6E53" w:rsidRDefault="005263C8" w:rsidP="00444A1C">
            <w:pPr>
              <w:spacing w:line="256" w:lineRule="auto"/>
              <w:jc w:val="center"/>
              <w:rPr>
                <w:rFonts w:ascii="Calibri" w:hAnsi="Calibri" w:cs="Calibri"/>
                <w:sz w:val="20"/>
                <w:szCs w:val="20"/>
                <w:lang w:eastAsia="en-AU"/>
              </w:rPr>
            </w:pPr>
          </w:p>
        </w:tc>
        <w:tc>
          <w:tcPr>
            <w:tcW w:w="796" w:type="dxa"/>
            <w:vAlign w:val="center"/>
          </w:tcPr>
          <w:p w14:paraId="66E561FB" w14:textId="77777777" w:rsidR="005263C8" w:rsidRPr="008F6E53" w:rsidRDefault="005263C8" w:rsidP="00444A1C">
            <w:pPr>
              <w:spacing w:line="256" w:lineRule="auto"/>
              <w:jc w:val="center"/>
              <w:rPr>
                <w:rFonts w:ascii="Calibri" w:hAnsi="Calibri" w:cs="Calibri"/>
                <w:sz w:val="20"/>
                <w:szCs w:val="20"/>
                <w:lang w:eastAsia="en-AU"/>
              </w:rPr>
            </w:pPr>
          </w:p>
        </w:tc>
        <w:tc>
          <w:tcPr>
            <w:tcW w:w="877" w:type="dxa"/>
            <w:vAlign w:val="center"/>
          </w:tcPr>
          <w:p w14:paraId="08ECC7E2" w14:textId="77777777" w:rsidR="005263C8" w:rsidRPr="008F6E53" w:rsidRDefault="005263C8" w:rsidP="00444A1C">
            <w:pPr>
              <w:spacing w:line="256" w:lineRule="auto"/>
              <w:jc w:val="center"/>
              <w:rPr>
                <w:rFonts w:ascii="Calibri" w:hAnsi="Calibri" w:cs="Calibri"/>
                <w:sz w:val="20"/>
                <w:szCs w:val="20"/>
                <w:lang w:eastAsia="en-AU"/>
              </w:rPr>
            </w:pPr>
          </w:p>
        </w:tc>
        <w:tc>
          <w:tcPr>
            <w:tcW w:w="1225" w:type="dxa"/>
            <w:tcMar>
              <w:top w:w="15" w:type="dxa"/>
              <w:left w:w="15" w:type="dxa"/>
              <w:bottom w:w="0" w:type="dxa"/>
              <w:right w:w="15" w:type="dxa"/>
            </w:tcMar>
            <w:vAlign w:val="center"/>
          </w:tcPr>
          <w:p w14:paraId="7EBCD994" w14:textId="77777777" w:rsidR="005263C8" w:rsidRPr="008F6E53" w:rsidRDefault="005263C8" w:rsidP="00444A1C">
            <w:pPr>
              <w:spacing w:line="256" w:lineRule="auto"/>
              <w:jc w:val="center"/>
              <w:rPr>
                <w:rFonts w:ascii="Calibri" w:hAnsi="Calibri" w:cs="Calibri"/>
                <w:sz w:val="20"/>
                <w:szCs w:val="20"/>
                <w:lang w:eastAsia="en-AU"/>
              </w:rPr>
            </w:pPr>
          </w:p>
        </w:tc>
        <w:tc>
          <w:tcPr>
            <w:tcW w:w="877" w:type="dxa"/>
            <w:vAlign w:val="center"/>
          </w:tcPr>
          <w:p w14:paraId="2DF3F09D" w14:textId="77777777" w:rsidR="005263C8" w:rsidRPr="008F6E53" w:rsidRDefault="005263C8" w:rsidP="00444A1C">
            <w:pPr>
              <w:spacing w:line="256" w:lineRule="auto"/>
              <w:jc w:val="center"/>
              <w:rPr>
                <w:rFonts w:ascii="Calibri" w:hAnsi="Calibri" w:cs="Calibri"/>
                <w:sz w:val="20"/>
                <w:szCs w:val="20"/>
                <w:lang w:eastAsia="en-AU"/>
              </w:rPr>
            </w:pPr>
          </w:p>
        </w:tc>
        <w:tc>
          <w:tcPr>
            <w:tcW w:w="1177" w:type="dxa"/>
            <w:tcMar>
              <w:top w:w="15" w:type="dxa"/>
              <w:left w:w="15" w:type="dxa"/>
              <w:bottom w:w="0" w:type="dxa"/>
              <w:right w:w="15" w:type="dxa"/>
            </w:tcMar>
            <w:vAlign w:val="center"/>
          </w:tcPr>
          <w:p w14:paraId="0262759B" w14:textId="77777777" w:rsidR="005263C8" w:rsidRPr="008F6E53" w:rsidRDefault="005263C8" w:rsidP="00444A1C">
            <w:pPr>
              <w:spacing w:line="256" w:lineRule="auto"/>
              <w:jc w:val="center"/>
              <w:rPr>
                <w:rFonts w:ascii="Calibri" w:hAnsi="Calibri" w:cs="Calibri"/>
                <w:sz w:val="20"/>
                <w:szCs w:val="20"/>
                <w:lang w:eastAsia="en-AU"/>
              </w:rPr>
            </w:pPr>
          </w:p>
        </w:tc>
        <w:tc>
          <w:tcPr>
            <w:tcW w:w="1218" w:type="dxa"/>
            <w:tcMar>
              <w:top w:w="15" w:type="dxa"/>
              <w:left w:w="15" w:type="dxa"/>
              <w:bottom w:w="0" w:type="dxa"/>
              <w:right w:w="15" w:type="dxa"/>
            </w:tcMar>
            <w:vAlign w:val="center"/>
          </w:tcPr>
          <w:p w14:paraId="16466220" w14:textId="77777777" w:rsidR="005263C8" w:rsidRPr="008F6E53" w:rsidRDefault="005263C8" w:rsidP="00444A1C">
            <w:pPr>
              <w:spacing w:line="256" w:lineRule="auto"/>
              <w:jc w:val="center"/>
              <w:rPr>
                <w:rFonts w:ascii="Calibri" w:hAnsi="Calibri" w:cs="Calibri"/>
                <w:sz w:val="20"/>
                <w:szCs w:val="20"/>
                <w:lang w:eastAsia="en-AU"/>
              </w:rPr>
            </w:pPr>
          </w:p>
        </w:tc>
        <w:tc>
          <w:tcPr>
            <w:tcW w:w="877" w:type="dxa"/>
            <w:vAlign w:val="center"/>
          </w:tcPr>
          <w:p w14:paraId="252F1C8D" w14:textId="77777777" w:rsidR="005263C8" w:rsidRPr="008F6E53" w:rsidRDefault="005263C8" w:rsidP="00444A1C">
            <w:pPr>
              <w:spacing w:line="256" w:lineRule="auto"/>
              <w:jc w:val="center"/>
              <w:rPr>
                <w:rFonts w:ascii="Calibri" w:hAnsi="Calibri" w:cs="Calibri"/>
                <w:sz w:val="20"/>
                <w:szCs w:val="20"/>
                <w:lang w:eastAsia="en-AU"/>
              </w:rPr>
            </w:pPr>
          </w:p>
        </w:tc>
      </w:tr>
      <w:tr w:rsidR="005263C8" w:rsidRPr="008F6E53" w14:paraId="62864098" w14:textId="77777777" w:rsidTr="00444A1C">
        <w:trPr>
          <w:trHeight w:val="283"/>
          <w:jc w:val="center"/>
        </w:trPr>
        <w:tc>
          <w:tcPr>
            <w:tcW w:w="1731" w:type="dxa"/>
            <w:tcMar>
              <w:top w:w="15" w:type="dxa"/>
              <w:left w:w="108" w:type="dxa"/>
              <w:bottom w:w="0" w:type="dxa"/>
              <w:right w:w="108" w:type="dxa"/>
            </w:tcMar>
            <w:vAlign w:val="center"/>
            <w:hideMark/>
          </w:tcPr>
          <w:p w14:paraId="5DD6F38E" w14:textId="77777777" w:rsidR="005263C8" w:rsidRPr="008F6E53" w:rsidRDefault="005263C8" w:rsidP="00444A1C">
            <w:pPr>
              <w:spacing w:line="256" w:lineRule="auto"/>
              <w:jc w:val="center"/>
              <w:rPr>
                <w:rFonts w:ascii="Calibri" w:hAnsi="Calibri" w:cs="Calibri"/>
                <w:sz w:val="20"/>
                <w:szCs w:val="20"/>
                <w:lang w:eastAsia="en-AU"/>
              </w:rPr>
            </w:pPr>
            <w:r w:rsidRPr="008F6E53">
              <w:rPr>
                <w:rFonts w:ascii="Calibri" w:eastAsia="PMingLiU" w:hAnsi="Calibri" w:cs="Calibri"/>
                <w:bCs/>
                <w:sz w:val="20"/>
                <w:szCs w:val="20"/>
              </w:rPr>
              <w:t>B</w:t>
            </w:r>
            <w:r w:rsidRPr="008F6E53">
              <w:rPr>
                <w:rFonts w:ascii="Calibri" w:eastAsia="PMingLiU" w:hAnsi="Calibri" w:cs="Calibri"/>
                <w:bCs/>
                <w:sz w:val="20"/>
                <w:szCs w:val="20"/>
                <w:vertAlign w:val="subscript"/>
              </w:rPr>
              <w:t>2031</w:t>
            </w:r>
            <w:r w:rsidRPr="008F6E53">
              <w:rPr>
                <w:rFonts w:ascii="Calibri" w:hAnsi="Calibri" w:cs="Calibri"/>
                <w:kern w:val="24"/>
                <w:sz w:val="20"/>
                <w:szCs w:val="20"/>
                <w:lang w:eastAsia="en-AU"/>
              </w:rPr>
              <w:t xml:space="preserve"> &lt; </w:t>
            </w:r>
            <w:r w:rsidRPr="008F6E53">
              <w:rPr>
                <w:rFonts w:ascii="Calibri" w:eastAsia="PMingLiU" w:hAnsi="Calibri" w:cs="Calibri"/>
                <w:bCs/>
                <w:sz w:val="20"/>
                <w:szCs w:val="20"/>
              </w:rPr>
              <w:t>B</w:t>
            </w:r>
            <w:r w:rsidRPr="008F6E53">
              <w:rPr>
                <w:rFonts w:ascii="Calibri" w:eastAsia="PMingLiU" w:hAnsi="Calibri" w:cs="Calibri"/>
                <w:bCs/>
                <w:sz w:val="20"/>
                <w:szCs w:val="20"/>
                <w:vertAlign w:val="subscript"/>
              </w:rPr>
              <w:t>MSY</w:t>
            </w:r>
          </w:p>
        </w:tc>
        <w:tc>
          <w:tcPr>
            <w:tcW w:w="871" w:type="dxa"/>
            <w:tcMar>
              <w:top w:w="15" w:type="dxa"/>
              <w:left w:w="15" w:type="dxa"/>
              <w:bottom w:w="0" w:type="dxa"/>
              <w:right w:w="15" w:type="dxa"/>
            </w:tcMar>
            <w:vAlign w:val="bottom"/>
            <w:hideMark/>
          </w:tcPr>
          <w:p w14:paraId="1A4A6EDF"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0</w:t>
            </w:r>
          </w:p>
        </w:tc>
        <w:tc>
          <w:tcPr>
            <w:tcW w:w="1093" w:type="dxa"/>
            <w:tcMar>
              <w:top w:w="15" w:type="dxa"/>
              <w:left w:w="15" w:type="dxa"/>
              <w:bottom w:w="0" w:type="dxa"/>
              <w:right w:w="15" w:type="dxa"/>
            </w:tcMar>
            <w:vAlign w:val="bottom"/>
          </w:tcPr>
          <w:p w14:paraId="348C2426" w14:textId="77777777" w:rsidR="005263C8" w:rsidRPr="008F6E53" w:rsidRDefault="005263C8" w:rsidP="00444A1C">
            <w:pPr>
              <w:spacing w:line="256" w:lineRule="auto"/>
              <w:jc w:val="center"/>
              <w:textAlignment w:val="bottom"/>
              <w:rPr>
                <w:rFonts w:ascii="Calibri" w:hAnsi="Calibri" w:cs="Calibri"/>
                <w:sz w:val="20"/>
                <w:szCs w:val="20"/>
                <w:lang w:eastAsia="en-AU"/>
              </w:rPr>
            </w:pPr>
          </w:p>
        </w:tc>
        <w:tc>
          <w:tcPr>
            <w:tcW w:w="796" w:type="dxa"/>
            <w:vAlign w:val="bottom"/>
            <w:hideMark/>
          </w:tcPr>
          <w:p w14:paraId="7F53960D" w14:textId="77777777" w:rsidR="005263C8" w:rsidRPr="008F6E53" w:rsidRDefault="005263C8" w:rsidP="00444A1C">
            <w:pPr>
              <w:spacing w:line="256" w:lineRule="auto"/>
              <w:jc w:val="center"/>
              <w:textAlignment w:val="bottom"/>
              <w:rPr>
                <w:rFonts w:ascii="Calibri" w:hAnsi="Calibri" w:cs="Calibri"/>
                <w:sz w:val="20"/>
                <w:szCs w:val="20"/>
                <w:lang w:eastAsia="ja-JP"/>
              </w:rPr>
            </w:pPr>
            <w:r w:rsidRPr="008F6E53">
              <w:rPr>
                <w:rFonts w:ascii="Calibri" w:hAnsi="Calibri" w:cs="Calibri"/>
                <w:sz w:val="20"/>
                <w:szCs w:val="20"/>
                <w:lang w:eastAsia="ja-JP"/>
              </w:rPr>
              <w:t>0</w:t>
            </w:r>
          </w:p>
        </w:tc>
        <w:tc>
          <w:tcPr>
            <w:tcW w:w="877" w:type="dxa"/>
            <w:vAlign w:val="bottom"/>
          </w:tcPr>
          <w:p w14:paraId="44B05F2B" w14:textId="77777777" w:rsidR="005263C8" w:rsidRPr="008F6E53" w:rsidRDefault="005263C8" w:rsidP="00444A1C">
            <w:pPr>
              <w:spacing w:line="256" w:lineRule="auto"/>
              <w:jc w:val="center"/>
              <w:textAlignment w:val="bottom"/>
              <w:rPr>
                <w:rFonts w:ascii="Calibri" w:hAnsi="Calibri" w:cs="Calibri"/>
                <w:sz w:val="20"/>
                <w:szCs w:val="20"/>
                <w:lang w:eastAsia="ja-JP"/>
              </w:rPr>
            </w:pPr>
          </w:p>
        </w:tc>
        <w:tc>
          <w:tcPr>
            <w:tcW w:w="1225" w:type="dxa"/>
            <w:tcMar>
              <w:top w:w="15" w:type="dxa"/>
              <w:left w:w="15" w:type="dxa"/>
              <w:bottom w:w="0" w:type="dxa"/>
              <w:right w:w="15" w:type="dxa"/>
            </w:tcMar>
            <w:vAlign w:val="bottom"/>
            <w:hideMark/>
          </w:tcPr>
          <w:p w14:paraId="3D3FC492"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0</w:t>
            </w:r>
          </w:p>
        </w:tc>
        <w:tc>
          <w:tcPr>
            <w:tcW w:w="877" w:type="dxa"/>
            <w:vAlign w:val="bottom"/>
          </w:tcPr>
          <w:p w14:paraId="5264E79C" w14:textId="77777777" w:rsidR="005263C8" w:rsidRPr="008F6E53" w:rsidRDefault="005263C8" w:rsidP="00444A1C">
            <w:pPr>
              <w:spacing w:line="256" w:lineRule="auto"/>
              <w:jc w:val="center"/>
              <w:textAlignment w:val="bottom"/>
              <w:rPr>
                <w:rFonts w:ascii="Calibri" w:hAnsi="Calibri" w:cs="Calibri"/>
                <w:sz w:val="20"/>
                <w:szCs w:val="20"/>
                <w:lang w:eastAsia="ja-JP"/>
              </w:rPr>
            </w:pPr>
          </w:p>
        </w:tc>
        <w:tc>
          <w:tcPr>
            <w:tcW w:w="1177" w:type="dxa"/>
            <w:tcMar>
              <w:top w:w="15" w:type="dxa"/>
              <w:left w:w="15" w:type="dxa"/>
              <w:bottom w:w="0" w:type="dxa"/>
              <w:right w:w="15" w:type="dxa"/>
            </w:tcMar>
            <w:vAlign w:val="bottom"/>
            <w:hideMark/>
          </w:tcPr>
          <w:p w14:paraId="04162BF5"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3</w:t>
            </w:r>
          </w:p>
        </w:tc>
        <w:tc>
          <w:tcPr>
            <w:tcW w:w="1218" w:type="dxa"/>
            <w:tcMar>
              <w:top w:w="15" w:type="dxa"/>
              <w:left w:w="15" w:type="dxa"/>
              <w:bottom w:w="0" w:type="dxa"/>
              <w:right w:w="15" w:type="dxa"/>
            </w:tcMar>
            <w:vAlign w:val="bottom"/>
          </w:tcPr>
          <w:p w14:paraId="61A11923" w14:textId="77777777" w:rsidR="005263C8" w:rsidRPr="008F6E53" w:rsidRDefault="005263C8" w:rsidP="00444A1C">
            <w:pPr>
              <w:spacing w:line="256" w:lineRule="auto"/>
              <w:jc w:val="center"/>
              <w:textAlignment w:val="bottom"/>
              <w:rPr>
                <w:rFonts w:ascii="Calibri" w:hAnsi="Calibri" w:cs="Calibri"/>
                <w:sz w:val="20"/>
                <w:szCs w:val="20"/>
                <w:lang w:eastAsia="en-AU"/>
              </w:rPr>
            </w:pPr>
          </w:p>
        </w:tc>
        <w:tc>
          <w:tcPr>
            <w:tcW w:w="877" w:type="dxa"/>
            <w:vAlign w:val="bottom"/>
            <w:hideMark/>
          </w:tcPr>
          <w:p w14:paraId="7C4E4A53"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15</w:t>
            </w:r>
          </w:p>
        </w:tc>
      </w:tr>
      <w:tr w:rsidR="005263C8" w:rsidRPr="008F6E53" w14:paraId="7578A23E" w14:textId="77777777" w:rsidTr="00444A1C">
        <w:trPr>
          <w:trHeight w:val="283"/>
          <w:jc w:val="center"/>
        </w:trPr>
        <w:tc>
          <w:tcPr>
            <w:tcW w:w="1731" w:type="dxa"/>
            <w:tcBorders>
              <w:top w:val="nil"/>
              <w:left w:val="nil"/>
              <w:bottom w:val="single" w:sz="4" w:space="0" w:color="auto"/>
              <w:right w:val="nil"/>
            </w:tcBorders>
            <w:tcMar>
              <w:top w:w="15" w:type="dxa"/>
              <w:left w:w="108" w:type="dxa"/>
              <w:bottom w:w="0" w:type="dxa"/>
              <w:right w:w="108" w:type="dxa"/>
            </w:tcMar>
            <w:vAlign w:val="center"/>
            <w:hideMark/>
          </w:tcPr>
          <w:p w14:paraId="5368FD88" w14:textId="77777777" w:rsidR="005263C8" w:rsidRPr="008F6E53" w:rsidRDefault="005263C8" w:rsidP="00444A1C">
            <w:pPr>
              <w:spacing w:line="256" w:lineRule="auto"/>
              <w:jc w:val="center"/>
              <w:rPr>
                <w:rFonts w:ascii="Calibri" w:hAnsi="Calibri" w:cs="Calibri"/>
                <w:sz w:val="20"/>
                <w:szCs w:val="20"/>
                <w:lang w:eastAsia="en-AU"/>
              </w:rPr>
            </w:pPr>
            <w:r w:rsidRPr="008F6E53">
              <w:rPr>
                <w:rFonts w:ascii="Calibri" w:eastAsia="PMingLiU" w:hAnsi="Calibri" w:cs="Calibri"/>
                <w:bCs/>
                <w:sz w:val="20"/>
                <w:szCs w:val="20"/>
              </w:rPr>
              <w:t>F</w:t>
            </w:r>
            <w:r w:rsidRPr="008F6E53">
              <w:rPr>
                <w:rFonts w:ascii="Calibri" w:eastAsia="PMingLiU" w:hAnsi="Calibri" w:cs="Calibri"/>
                <w:bCs/>
                <w:sz w:val="20"/>
                <w:szCs w:val="20"/>
                <w:vertAlign w:val="subscript"/>
              </w:rPr>
              <w:t>2031</w:t>
            </w:r>
            <w:r w:rsidRPr="008F6E53">
              <w:rPr>
                <w:rFonts w:ascii="Calibri" w:hAnsi="Calibri" w:cs="Calibri"/>
                <w:kern w:val="24"/>
                <w:sz w:val="20"/>
                <w:szCs w:val="20"/>
                <w:lang w:eastAsia="en-AU"/>
              </w:rPr>
              <w:t xml:space="preserve"> &gt; F</w:t>
            </w:r>
            <w:r w:rsidRPr="008F6E53">
              <w:rPr>
                <w:rFonts w:ascii="Calibri" w:eastAsia="PMingLiU" w:hAnsi="Calibri" w:cs="Calibri"/>
                <w:bCs/>
                <w:sz w:val="20"/>
                <w:szCs w:val="20"/>
                <w:vertAlign w:val="subscript"/>
              </w:rPr>
              <w:t>MSY</w:t>
            </w:r>
          </w:p>
        </w:tc>
        <w:tc>
          <w:tcPr>
            <w:tcW w:w="871" w:type="dxa"/>
            <w:tcBorders>
              <w:top w:val="nil"/>
              <w:left w:val="nil"/>
              <w:bottom w:val="single" w:sz="4" w:space="0" w:color="auto"/>
              <w:right w:val="nil"/>
            </w:tcBorders>
            <w:tcMar>
              <w:top w:w="15" w:type="dxa"/>
              <w:left w:w="15" w:type="dxa"/>
              <w:bottom w:w="0" w:type="dxa"/>
              <w:right w:w="15" w:type="dxa"/>
            </w:tcMar>
            <w:vAlign w:val="bottom"/>
            <w:hideMark/>
          </w:tcPr>
          <w:p w14:paraId="7DD31CF9"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0</w:t>
            </w:r>
          </w:p>
        </w:tc>
        <w:tc>
          <w:tcPr>
            <w:tcW w:w="1093" w:type="dxa"/>
            <w:tcBorders>
              <w:top w:val="nil"/>
              <w:left w:val="nil"/>
              <w:bottom w:val="single" w:sz="4" w:space="0" w:color="auto"/>
              <w:right w:val="nil"/>
            </w:tcBorders>
            <w:tcMar>
              <w:top w:w="15" w:type="dxa"/>
              <w:left w:w="15" w:type="dxa"/>
              <w:bottom w:w="0" w:type="dxa"/>
              <w:right w:w="15" w:type="dxa"/>
            </w:tcMar>
            <w:vAlign w:val="bottom"/>
          </w:tcPr>
          <w:p w14:paraId="270B831B" w14:textId="77777777" w:rsidR="005263C8" w:rsidRPr="008F6E53" w:rsidRDefault="005263C8" w:rsidP="00444A1C">
            <w:pPr>
              <w:spacing w:line="256" w:lineRule="auto"/>
              <w:jc w:val="center"/>
              <w:textAlignment w:val="bottom"/>
              <w:rPr>
                <w:rFonts w:ascii="Calibri" w:hAnsi="Calibri" w:cs="Calibri"/>
                <w:sz w:val="20"/>
                <w:szCs w:val="20"/>
                <w:lang w:eastAsia="en-AU"/>
              </w:rPr>
            </w:pPr>
          </w:p>
        </w:tc>
        <w:tc>
          <w:tcPr>
            <w:tcW w:w="796" w:type="dxa"/>
            <w:tcBorders>
              <w:top w:val="nil"/>
              <w:left w:val="nil"/>
              <w:bottom w:val="single" w:sz="4" w:space="0" w:color="auto"/>
              <w:right w:val="nil"/>
            </w:tcBorders>
            <w:vAlign w:val="bottom"/>
            <w:hideMark/>
          </w:tcPr>
          <w:p w14:paraId="7FB16604" w14:textId="77777777" w:rsidR="005263C8" w:rsidRPr="008F6E53" w:rsidRDefault="005263C8" w:rsidP="00444A1C">
            <w:pPr>
              <w:spacing w:line="256" w:lineRule="auto"/>
              <w:jc w:val="center"/>
              <w:textAlignment w:val="bottom"/>
              <w:rPr>
                <w:rFonts w:ascii="Calibri" w:hAnsi="Calibri" w:cs="Calibri"/>
                <w:sz w:val="20"/>
                <w:szCs w:val="20"/>
                <w:lang w:eastAsia="ja-JP"/>
              </w:rPr>
            </w:pPr>
            <w:r w:rsidRPr="008F6E53">
              <w:rPr>
                <w:rFonts w:ascii="Calibri" w:hAnsi="Calibri" w:cs="Calibri"/>
                <w:sz w:val="20"/>
                <w:szCs w:val="20"/>
              </w:rPr>
              <w:t>0</w:t>
            </w:r>
          </w:p>
        </w:tc>
        <w:tc>
          <w:tcPr>
            <w:tcW w:w="877" w:type="dxa"/>
            <w:tcBorders>
              <w:top w:val="nil"/>
              <w:left w:val="nil"/>
              <w:bottom w:val="single" w:sz="4" w:space="0" w:color="auto"/>
              <w:right w:val="nil"/>
            </w:tcBorders>
            <w:vAlign w:val="bottom"/>
          </w:tcPr>
          <w:p w14:paraId="53A3A508" w14:textId="77777777" w:rsidR="005263C8" w:rsidRPr="008F6E53" w:rsidRDefault="005263C8" w:rsidP="00444A1C">
            <w:pPr>
              <w:spacing w:line="256" w:lineRule="auto"/>
              <w:jc w:val="center"/>
              <w:textAlignment w:val="bottom"/>
              <w:rPr>
                <w:rFonts w:ascii="Calibri" w:hAnsi="Calibri" w:cs="Calibri"/>
                <w:sz w:val="20"/>
                <w:szCs w:val="20"/>
                <w:lang w:eastAsia="ja-JP"/>
              </w:rPr>
            </w:pPr>
          </w:p>
        </w:tc>
        <w:tc>
          <w:tcPr>
            <w:tcW w:w="1225" w:type="dxa"/>
            <w:tcBorders>
              <w:top w:val="nil"/>
              <w:left w:val="nil"/>
              <w:bottom w:val="single" w:sz="4" w:space="0" w:color="auto"/>
              <w:right w:val="nil"/>
            </w:tcBorders>
            <w:tcMar>
              <w:top w:w="15" w:type="dxa"/>
              <w:left w:w="15" w:type="dxa"/>
              <w:bottom w:w="0" w:type="dxa"/>
              <w:right w:w="15" w:type="dxa"/>
            </w:tcMar>
            <w:vAlign w:val="bottom"/>
            <w:hideMark/>
          </w:tcPr>
          <w:p w14:paraId="47FF0E3B"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0</w:t>
            </w:r>
          </w:p>
        </w:tc>
        <w:tc>
          <w:tcPr>
            <w:tcW w:w="877" w:type="dxa"/>
            <w:tcBorders>
              <w:top w:val="nil"/>
              <w:left w:val="nil"/>
              <w:bottom w:val="single" w:sz="4" w:space="0" w:color="auto"/>
              <w:right w:val="nil"/>
            </w:tcBorders>
            <w:vAlign w:val="bottom"/>
          </w:tcPr>
          <w:p w14:paraId="1ED1BD9C" w14:textId="77777777" w:rsidR="005263C8" w:rsidRPr="008F6E53" w:rsidRDefault="005263C8" w:rsidP="00444A1C">
            <w:pPr>
              <w:spacing w:line="256" w:lineRule="auto"/>
              <w:jc w:val="center"/>
              <w:textAlignment w:val="bottom"/>
              <w:rPr>
                <w:rFonts w:ascii="Calibri" w:hAnsi="Calibri" w:cs="Calibri"/>
                <w:sz w:val="20"/>
                <w:szCs w:val="20"/>
                <w:lang w:eastAsia="ja-JP"/>
              </w:rPr>
            </w:pPr>
          </w:p>
        </w:tc>
        <w:tc>
          <w:tcPr>
            <w:tcW w:w="1177" w:type="dxa"/>
            <w:tcBorders>
              <w:top w:val="nil"/>
              <w:left w:val="nil"/>
              <w:bottom w:val="single" w:sz="4" w:space="0" w:color="auto"/>
              <w:right w:val="nil"/>
            </w:tcBorders>
            <w:tcMar>
              <w:top w:w="15" w:type="dxa"/>
              <w:left w:w="15" w:type="dxa"/>
              <w:bottom w:w="0" w:type="dxa"/>
              <w:right w:w="15" w:type="dxa"/>
            </w:tcMar>
            <w:vAlign w:val="bottom"/>
            <w:hideMark/>
          </w:tcPr>
          <w:p w14:paraId="6F63CAC8"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8</w:t>
            </w:r>
          </w:p>
        </w:tc>
        <w:tc>
          <w:tcPr>
            <w:tcW w:w="1218" w:type="dxa"/>
            <w:tcBorders>
              <w:top w:val="nil"/>
              <w:left w:val="nil"/>
              <w:bottom w:val="single" w:sz="4" w:space="0" w:color="auto"/>
              <w:right w:val="nil"/>
            </w:tcBorders>
            <w:tcMar>
              <w:top w:w="15" w:type="dxa"/>
              <w:left w:w="15" w:type="dxa"/>
              <w:bottom w:w="0" w:type="dxa"/>
              <w:right w:w="15" w:type="dxa"/>
            </w:tcMar>
            <w:vAlign w:val="bottom"/>
          </w:tcPr>
          <w:p w14:paraId="626754F0" w14:textId="77777777" w:rsidR="005263C8" w:rsidRPr="008F6E53" w:rsidRDefault="005263C8" w:rsidP="00444A1C">
            <w:pPr>
              <w:spacing w:line="256" w:lineRule="auto"/>
              <w:jc w:val="center"/>
              <w:textAlignment w:val="bottom"/>
              <w:rPr>
                <w:rFonts w:ascii="Calibri" w:hAnsi="Calibri" w:cs="Calibri"/>
                <w:sz w:val="20"/>
                <w:szCs w:val="20"/>
                <w:lang w:eastAsia="en-AU"/>
              </w:rPr>
            </w:pPr>
          </w:p>
        </w:tc>
        <w:tc>
          <w:tcPr>
            <w:tcW w:w="877" w:type="dxa"/>
            <w:tcBorders>
              <w:top w:val="nil"/>
              <w:left w:val="nil"/>
              <w:bottom w:val="single" w:sz="4" w:space="0" w:color="auto"/>
              <w:right w:val="nil"/>
            </w:tcBorders>
            <w:vAlign w:val="bottom"/>
            <w:hideMark/>
          </w:tcPr>
          <w:p w14:paraId="313265D0" w14:textId="77777777" w:rsidR="005263C8" w:rsidRPr="008F6E53" w:rsidRDefault="005263C8" w:rsidP="00444A1C">
            <w:pPr>
              <w:spacing w:line="256" w:lineRule="auto"/>
              <w:jc w:val="center"/>
              <w:textAlignment w:val="bottom"/>
              <w:rPr>
                <w:rFonts w:ascii="Calibri" w:hAnsi="Calibri" w:cs="Calibri"/>
                <w:sz w:val="20"/>
                <w:szCs w:val="20"/>
                <w:lang w:eastAsia="en-AU"/>
              </w:rPr>
            </w:pPr>
            <w:r w:rsidRPr="008F6E53">
              <w:rPr>
                <w:rFonts w:ascii="Calibri" w:hAnsi="Calibri" w:cs="Calibri"/>
                <w:sz w:val="20"/>
                <w:szCs w:val="20"/>
              </w:rPr>
              <w:t>30</w:t>
            </w:r>
          </w:p>
        </w:tc>
      </w:tr>
    </w:tbl>
    <w:p w14:paraId="21CA92A3" w14:textId="53A893E4" w:rsidR="0058551D" w:rsidRPr="000146B5" w:rsidRDefault="0058551D" w:rsidP="002C77EE">
      <w:pPr>
        <w:pStyle w:val="AppendixHeading"/>
      </w:pPr>
      <w:bookmarkStart w:id="128" w:name="APP5"/>
      <w:bookmarkStart w:id="129" w:name="_Toc210218019"/>
      <w:r w:rsidRPr="000146B5">
        <w:lastRenderedPageBreak/>
        <w:t>Appendix V</w:t>
      </w:r>
      <w:r w:rsidR="002C77EE" w:rsidRPr="000146B5">
        <w:t xml:space="preserve"> </w:t>
      </w:r>
      <w:bookmarkEnd w:id="128"/>
      <w:r w:rsidR="002C77EE" w:rsidRPr="000146B5">
        <w:t xml:space="preserve">- </w:t>
      </w:r>
      <w:r w:rsidRPr="000146B5">
        <w:t>[ Draft ] resource stock status summaries – Black marlin</w:t>
      </w:r>
      <w:bookmarkEnd w:id="127"/>
      <w:bookmarkEnd w:id="129"/>
    </w:p>
    <w:p w14:paraId="73682D9C" w14:textId="77777777" w:rsidR="0058551D" w:rsidRPr="000146B5" w:rsidRDefault="0058551D" w:rsidP="0058551D">
      <w:pPr>
        <w:rPr>
          <w:rFonts w:ascii="Calibri" w:eastAsia="MS Mincho" w:hAnsi="Calibri" w:cs="Calibri"/>
          <w:b/>
          <w:bCs/>
          <w:smallCaps/>
          <w:sz w:val="28"/>
          <w:szCs w:val="28"/>
          <w:lang w:eastAsia="en-US"/>
        </w:rPr>
      </w:pPr>
      <w:bookmarkStart w:id="130" w:name="_Toc312233563"/>
      <w:r w:rsidRPr="000146B5">
        <w:rPr>
          <w:rFonts w:ascii="Calibri" w:hAnsi="Calibri" w:cs="Calibri"/>
          <w:noProof/>
          <w:lang w:val="en-ZA" w:eastAsia="en-ZA"/>
        </w:rPr>
        <mc:AlternateContent>
          <mc:Choice Requires="wps">
            <w:drawing>
              <wp:anchor distT="0" distB="0" distL="114300" distR="114300" simplePos="0" relativeHeight="251658241" behindDoc="0" locked="0" layoutInCell="1" allowOverlap="1" wp14:anchorId="32464EE5" wp14:editId="4E4D7B8F">
                <wp:simplePos x="0" y="0"/>
                <wp:positionH relativeFrom="column">
                  <wp:posOffset>-7620</wp:posOffset>
                </wp:positionH>
                <wp:positionV relativeFrom="paragraph">
                  <wp:posOffset>-10160</wp:posOffset>
                </wp:positionV>
                <wp:extent cx="6069965" cy="90424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9965" cy="904240"/>
                        </a:xfrm>
                        <a:prstGeom prst="rect">
                          <a:avLst/>
                        </a:prstGeom>
                        <a:noFill/>
                        <a:ln w="6350">
                          <a:noFill/>
                        </a:ln>
                        <a:effectLst/>
                      </wps:spPr>
                      <wps:txbx>
                        <w:txbxContent>
                          <w:p w14:paraId="4F73818F" w14:textId="6044D76F" w:rsidR="005E594A" w:rsidRDefault="005E594A" w:rsidP="00552774">
                            <w:pPr>
                              <w:spacing w:before="240"/>
                              <w:jc w:val="center"/>
                            </w:pPr>
                            <w:r>
                              <w:rPr>
                                <w:noProof/>
                                <w:lang w:val="en-ZA" w:eastAsia="en-ZA"/>
                              </w:rPr>
                              <w:drawing>
                                <wp:inline distT="0" distB="0" distL="0" distR="0" wp14:anchorId="30886408" wp14:editId="4C09B4FC">
                                  <wp:extent cx="2042795" cy="817245"/>
                                  <wp:effectExtent l="0" t="0" r="0" b="1905"/>
                                  <wp:docPr id="2144215414" name="Picture 2144215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042795" cy="81724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464EE5" id="Text Box 10" o:spid="_x0000_s1028" type="#_x0000_t202" style="position:absolute;margin-left:-.6pt;margin-top:-.8pt;width:477.95pt;height:71.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" filled="f" stroked="f" strokeweight=".5pt">
                <v:textbox>
                  <w:txbxContent>
                    <w:p w14:paraId="4F73818F" w14:textId="6044D76F" w:rsidR="005E594A" w:rsidRDefault="005E594A" w:rsidP="00552774">
                      <w:pPr>
                        <w:spacing w:before="240"/>
                        <w:jc w:val="center"/>
                      </w:pPr>
                      <w:r>
                        <w:rPr>
                          <w:noProof/>
                          <w:lang w:val="en-ZA" w:eastAsia="en-ZA"/>
                        </w:rPr>
                        <w:drawing>
                          <wp:inline distT="0" distB="0" distL="0" distR="0" wp14:anchorId="30886408" wp14:editId="4C09B4FC">
                            <wp:extent cx="2042795" cy="817245"/>
                            <wp:effectExtent l="0" t="0" r="0" b="1905"/>
                            <wp:docPr id="2144215414" name="Picture 2144215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042795" cy="817245"/>
                                    </a:xfrm>
                                    <a:prstGeom prst="rect">
                                      <a:avLst/>
                                    </a:prstGeom>
                                    <a:noFill/>
                                    <a:ln>
                                      <a:noFill/>
                                    </a:ln>
                                  </pic:spPr>
                                </pic:pic>
                              </a:graphicData>
                            </a:graphic>
                          </wp:inline>
                        </w:drawing>
                      </w:r>
                    </w:p>
                  </w:txbxContent>
                </v:textbox>
              </v:shape>
            </w:pict>
          </mc:Fallback>
        </mc:AlternateContent>
      </w:r>
      <w:bookmarkEnd w:id="130"/>
    </w:p>
    <w:p w14:paraId="7EAAB4ED" w14:textId="77777777" w:rsidR="0058551D" w:rsidRPr="000146B5" w:rsidRDefault="0058551D" w:rsidP="0058551D">
      <w:pPr>
        <w:pStyle w:val="AnnexTitle"/>
        <w:spacing w:after="0"/>
        <w:rPr>
          <w:rFonts w:ascii="Calibri" w:hAnsi="Calibri" w:cs="Calibri"/>
          <w:kern w:val="32"/>
          <w:lang w:val="en-GB"/>
        </w:rPr>
      </w:pPr>
      <w:r w:rsidRPr="000146B5">
        <w:rPr>
          <w:rFonts w:ascii="Calibri" w:hAnsi="Calibri" w:cs="Calibri"/>
          <w:lang w:val="en-GB"/>
        </w:rPr>
        <w:br/>
      </w:r>
    </w:p>
    <w:p w14:paraId="75EBE0A8" w14:textId="77777777" w:rsidR="0058551D" w:rsidRPr="000146B5" w:rsidRDefault="0058551D" w:rsidP="0058551D">
      <w:pPr>
        <w:pStyle w:val="AnnexTitle"/>
        <w:spacing w:after="0"/>
        <w:jc w:val="right"/>
        <w:rPr>
          <w:rFonts w:ascii="Calibri" w:hAnsi="Calibri" w:cs="Calibri"/>
          <w:kern w:val="32"/>
          <w:lang w:val="en-GB"/>
        </w:rPr>
      </w:pPr>
    </w:p>
    <w:p w14:paraId="751670E8" w14:textId="77777777" w:rsidR="0058551D" w:rsidRPr="000146B5" w:rsidRDefault="0058551D" w:rsidP="0058551D">
      <w:pPr>
        <w:tabs>
          <w:tab w:val="left" w:pos="4500"/>
        </w:tabs>
        <w:rPr>
          <w:rFonts w:ascii="Calibri" w:hAnsi="Calibri" w:cs="Calibri"/>
          <w:szCs w:val="24"/>
          <w:lang w:val="en-AU"/>
        </w:rPr>
      </w:pPr>
      <w:r w:rsidRPr="000146B5">
        <w:rPr>
          <w:rFonts w:ascii="Calibri" w:hAnsi="Calibri" w:cs="Calibri"/>
          <w:szCs w:val="24"/>
          <w:lang w:val="en-AU"/>
        </w:rPr>
        <w:tab/>
      </w:r>
    </w:p>
    <w:p w14:paraId="2C6D48C0" w14:textId="77777777" w:rsidR="007B221D" w:rsidRPr="0037320B" w:rsidRDefault="007B221D" w:rsidP="007B221D">
      <w:pPr>
        <w:jc w:val="center"/>
        <w:rPr>
          <w:rFonts w:ascii="Calibri" w:hAnsi="Calibri" w:cs="Calibri"/>
          <w:szCs w:val="24"/>
          <w:highlight w:val="yellow"/>
          <w:lang w:val="en-AU"/>
        </w:rPr>
      </w:pPr>
      <w:bookmarkStart w:id="131" w:name="_Toc312233564"/>
      <w:bookmarkStart w:id="132" w:name="_Toc336947276"/>
    </w:p>
    <w:p w14:paraId="3C061BB0" w14:textId="77777777" w:rsidR="00BB41F2" w:rsidRDefault="00BB41F2" w:rsidP="00BB41F2">
      <w:pPr>
        <w:spacing w:after="120"/>
        <w:jc w:val="center"/>
        <w:rPr>
          <w:rFonts w:ascii="Calibri" w:hAnsi="Calibri" w:cs="Calibri"/>
          <w:szCs w:val="20"/>
        </w:rPr>
      </w:pPr>
      <w:r w:rsidRPr="0063737D">
        <w:rPr>
          <w:rFonts w:ascii="Calibri" w:hAnsi="Calibri" w:cs="Calibri"/>
          <w:b/>
          <w:szCs w:val="20"/>
        </w:rPr>
        <w:t xml:space="preserve">TABLE 1. </w:t>
      </w:r>
      <w:r w:rsidRPr="0063737D">
        <w:rPr>
          <w:rFonts w:ascii="Calibri" w:hAnsi="Calibri" w:cs="Calibri"/>
          <w:szCs w:val="20"/>
        </w:rPr>
        <w:t>Status of black marlin</w:t>
      </w:r>
      <w:r w:rsidRPr="0063737D">
        <w:rPr>
          <w:rFonts w:ascii="Calibri" w:hAnsi="Calibri" w:cs="Calibri"/>
          <w:b/>
          <w:szCs w:val="20"/>
        </w:rPr>
        <w:t xml:space="preserve"> </w:t>
      </w:r>
      <w:r w:rsidRPr="0063737D">
        <w:rPr>
          <w:rFonts w:ascii="Calibri" w:hAnsi="Calibri" w:cs="Calibri"/>
          <w:szCs w:val="20"/>
        </w:rPr>
        <w:t>(</w:t>
      </w:r>
      <w:r w:rsidRPr="0063737D">
        <w:rPr>
          <w:rFonts w:ascii="Calibri" w:hAnsi="Calibri" w:cs="Calibri"/>
          <w:i/>
          <w:szCs w:val="20"/>
        </w:rPr>
        <w:t>Istiompax indica</w:t>
      </w:r>
      <w:r w:rsidRPr="0063737D">
        <w:rPr>
          <w:rFonts w:ascii="Calibri" w:hAnsi="Calibri" w:cs="Calibri"/>
          <w:szCs w:val="20"/>
        </w:rPr>
        <w:t>) in the Indian Ocean.</w:t>
      </w:r>
    </w:p>
    <w:p w14:paraId="5160FC56" w14:textId="77777777" w:rsidR="00BB41F2" w:rsidRDefault="00BB41F2" w:rsidP="00BB41F2">
      <w:pPr>
        <w:spacing w:after="120"/>
        <w:jc w:val="center"/>
        <w:rPr>
          <w:rFonts w:ascii="Calibri" w:hAnsi="Calibri" w:cs="Calibri"/>
          <w:szCs w:val="20"/>
        </w:rPr>
      </w:pPr>
    </w:p>
    <w:tbl>
      <w:tblPr>
        <w:tblStyle w:val="TableGrid6621"/>
        <w:tblW w:w="9223" w:type="dxa"/>
        <w:jc w:val="center"/>
        <w:tblLayout w:type="fixed"/>
        <w:tblLook w:val="04A0" w:firstRow="1" w:lastRow="0" w:firstColumn="1" w:lastColumn="0" w:noHBand="0" w:noVBand="1"/>
      </w:tblPr>
      <w:tblGrid>
        <w:gridCol w:w="2370"/>
        <w:gridCol w:w="2755"/>
        <w:gridCol w:w="2250"/>
        <w:gridCol w:w="1848"/>
      </w:tblGrid>
      <w:tr w:rsidR="00BB41F2" w:rsidRPr="0063737D" w14:paraId="0295D6C5" w14:textId="77777777" w:rsidTr="00444A1C">
        <w:trPr>
          <w:trHeight w:val="960"/>
          <w:jc w:val="center"/>
        </w:trPr>
        <w:tc>
          <w:tcPr>
            <w:tcW w:w="2370" w:type="dxa"/>
            <w:vAlign w:val="center"/>
          </w:tcPr>
          <w:p w14:paraId="10BD6170" w14:textId="77777777" w:rsidR="00BB41F2" w:rsidRPr="0063737D" w:rsidRDefault="00BB41F2" w:rsidP="00444A1C">
            <w:pPr>
              <w:jc w:val="center"/>
              <w:rPr>
                <w:rFonts w:ascii="Calibri" w:hAnsi="Calibri" w:cs="Calibri"/>
                <w:b/>
              </w:rPr>
            </w:pPr>
            <w:r w:rsidRPr="0063737D">
              <w:rPr>
                <w:rFonts w:ascii="Calibri" w:hAnsi="Calibri" w:cs="Calibri"/>
                <w:b/>
              </w:rPr>
              <w:t>Area</w:t>
            </w:r>
            <w:r w:rsidRPr="0063737D">
              <w:rPr>
                <w:rFonts w:ascii="Calibri" w:hAnsi="Calibri" w:cs="Calibri"/>
                <w:b/>
                <w:vertAlign w:val="superscript"/>
              </w:rPr>
              <w:t>1</w:t>
            </w:r>
          </w:p>
        </w:tc>
        <w:tc>
          <w:tcPr>
            <w:tcW w:w="5005" w:type="dxa"/>
            <w:gridSpan w:val="2"/>
            <w:vAlign w:val="center"/>
          </w:tcPr>
          <w:p w14:paraId="4C4FB245" w14:textId="77777777" w:rsidR="00BB41F2" w:rsidRPr="0063737D" w:rsidRDefault="00BB41F2" w:rsidP="00444A1C">
            <w:pPr>
              <w:jc w:val="center"/>
              <w:rPr>
                <w:rFonts w:ascii="Calibri" w:hAnsi="Calibri" w:cs="Calibri"/>
                <w:b/>
              </w:rPr>
            </w:pPr>
            <w:r w:rsidRPr="0063737D">
              <w:rPr>
                <w:rFonts w:ascii="Calibri" w:hAnsi="Calibri" w:cs="Calibri"/>
                <w:b/>
              </w:rPr>
              <w:t>Indicators</w:t>
            </w:r>
          </w:p>
        </w:tc>
        <w:tc>
          <w:tcPr>
            <w:tcW w:w="1848" w:type="dxa"/>
            <w:vAlign w:val="center"/>
          </w:tcPr>
          <w:p w14:paraId="2876DDD4" w14:textId="77777777" w:rsidR="00BB41F2" w:rsidRPr="0063737D" w:rsidRDefault="00BB41F2" w:rsidP="00444A1C">
            <w:pPr>
              <w:jc w:val="center"/>
              <w:rPr>
                <w:rFonts w:ascii="Calibri" w:hAnsi="Calibri" w:cs="Calibri"/>
                <w:b/>
              </w:rPr>
            </w:pPr>
            <w:r w:rsidRPr="0063737D">
              <w:rPr>
                <w:rFonts w:ascii="Calibri" w:hAnsi="Calibri" w:cs="Calibri"/>
                <w:b/>
              </w:rPr>
              <w:t>202</w:t>
            </w:r>
            <w:r>
              <w:rPr>
                <w:rFonts w:ascii="Calibri" w:hAnsi="Calibri" w:cs="Calibri"/>
                <w:b/>
              </w:rPr>
              <w:t>4</w:t>
            </w:r>
          </w:p>
          <w:p w14:paraId="7328E2E8" w14:textId="77777777" w:rsidR="00BB41F2" w:rsidRPr="0063737D" w:rsidRDefault="00BB41F2" w:rsidP="00444A1C">
            <w:pPr>
              <w:jc w:val="center"/>
              <w:rPr>
                <w:rFonts w:ascii="Calibri" w:hAnsi="Calibri" w:cs="Calibri"/>
                <w:b/>
              </w:rPr>
            </w:pPr>
            <w:r w:rsidRPr="0063737D">
              <w:rPr>
                <w:rFonts w:ascii="Calibri" w:hAnsi="Calibri" w:cs="Calibri"/>
                <w:b/>
              </w:rPr>
              <w:t>stock status determination</w:t>
            </w:r>
            <w:r w:rsidRPr="00C92072">
              <w:rPr>
                <w:rFonts w:ascii="Calibri" w:hAnsi="Calibri" w:cs="Calibri"/>
                <w:b/>
                <w:vertAlign w:val="superscript"/>
              </w:rPr>
              <w:t>3</w:t>
            </w:r>
          </w:p>
        </w:tc>
      </w:tr>
      <w:tr w:rsidR="00153B07" w:rsidRPr="0063737D" w14:paraId="297764C8" w14:textId="77777777" w:rsidTr="00444A1C">
        <w:trPr>
          <w:trHeight w:val="530"/>
          <w:jc w:val="center"/>
        </w:trPr>
        <w:tc>
          <w:tcPr>
            <w:tcW w:w="2370" w:type="dxa"/>
            <w:vMerge w:val="restart"/>
            <w:vAlign w:val="center"/>
          </w:tcPr>
          <w:p w14:paraId="495CFA0A" w14:textId="77777777" w:rsidR="00153B07" w:rsidRPr="0063737D" w:rsidRDefault="00153B07" w:rsidP="00153B07">
            <w:pPr>
              <w:jc w:val="center"/>
              <w:rPr>
                <w:rFonts w:ascii="Calibri" w:hAnsi="Calibri" w:cs="Calibri"/>
              </w:rPr>
            </w:pPr>
            <w:r w:rsidRPr="0063737D">
              <w:rPr>
                <w:rFonts w:ascii="Calibri" w:hAnsi="Calibri" w:cs="Calibri"/>
              </w:rPr>
              <w:t>Indian Ocean</w:t>
            </w:r>
          </w:p>
        </w:tc>
        <w:tc>
          <w:tcPr>
            <w:tcW w:w="2755" w:type="dxa"/>
            <w:vAlign w:val="center"/>
          </w:tcPr>
          <w:p w14:paraId="22D3FE44" w14:textId="77777777" w:rsidR="00153B07" w:rsidRPr="0063737D" w:rsidRDefault="00153B07" w:rsidP="00153B07">
            <w:pPr>
              <w:tabs>
                <w:tab w:val="right" w:pos="932"/>
                <w:tab w:val="left" w:pos="1168"/>
              </w:tabs>
              <w:jc w:val="right"/>
              <w:rPr>
                <w:rFonts w:ascii="Calibri" w:hAnsi="Calibri" w:cs="Calibri"/>
              </w:rPr>
            </w:pPr>
            <w:r w:rsidRPr="0063737D">
              <w:rPr>
                <w:rFonts w:ascii="Calibri" w:hAnsi="Calibri" w:cs="Calibri"/>
              </w:rPr>
              <w:t>Catch 202</w:t>
            </w:r>
            <w:r>
              <w:rPr>
                <w:rFonts w:ascii="Calibri" w:hAnsi="Calibri" w:cs="Calibri"/>
              </w:rPr>
              <w:t>3</w:t>
            </w:r>
            <w:r w:rsidRPr="0063737D">
              <w:rPr>
                <w:rFonts w:ascii="Calibri" w:hAnsi="Calibri" w:cs="Calibri"/>
              </w:rPr>
              <w:t xml:space="preserve"> (t)</w:t>
            </w:r>
            <w:r w:rsidRPr="0063737D">
              <w:rPr>
                <w:rFonts w:ascii="Calibri" w:hAnsi="Calibri" w:cs="Calibri"/>
                <w:vertAlign w:val="superscript"/>
              </w:rPr>
              <w:t>2</w:t>
            </w:r>
          </w:p>
          <w:p w14:paraId="556B4624" w14:textId="39CE34E5" w:rsidR="00153B07" w:rsidRPr="0063737D" w:rsidRDefault="00153B07" w:rsidP="00153B07">
            <w:pPr>
              <w:jc w:val="right"/>
              <w:rPr>
                <w:rFonts w:ascii="Calibri" w:hAnsi="Calibri" w:cs="Calibri"/>
              </w:rPr>
            </w:pPr>
            <w:r w:rsidRPr="0063737D">
              <w:rPr>
                <w:rFonts w:ascii="Calibri" w:hAnsi="Calibri" w:cs="Calibri"/>
              </w:rPr>
              <w:t>Average catch 201</w:t>
            </w:r>
            <w:r>
              <w:rPr>
                <w:rFonts w:ascii="Calibri" w:hAnsi="Calibri" w:cs="Calibri"/>
              </w:rPr>
              <w:t>9</w:t>
            </w:r>
            <w:r w:rsidRPr="0063737D">
              <w:rPr>
                <w:rFonts w:ascii="Calibri" w:hAnsi="Calibri" w:cs="Calibri"/>
              </w:rPr>
              <w:t>–202</w:t>
            </w:r>
            <w:r>
              <w:rPr>
                <w:rFonts w:ascii="Calibri" w:hAnsi="Calibri" w:cs="Calibri"/>
              </w:rPr>
              <w:t>3</w:t>
            </w:r>
            <w:r w:rsidRPr="0063737D">
              <w:rPr>
                <w:rFonts w:ascii="Calibri" w:hAnsi="Calibri" w:cs="Calibri"/>
              </w:rPr>
              <w:t xml:space="preserve"> (t)</w:t>
            </w:r>
          </w:p>
        </w:tc>
        <w:tc>
          <w:tcPr>
            <w:tcW w:w="2250" w:type="dxa"/>
          </w:tcPr>
          <w:p w14:paraId="67A6AE86" w14:textId="77777777" w:rsidR="00153B07" w:rsidRDefault="00153B07" w:rsidP="00153B07">
            <w:pPr>
              <w:rPr>
                <w:rFonts w:ascii="Calibri" w:hAnsi="Calibri" w:cs="Calibri"/>
              </w:rPr>
            </w:pPr>
            <w:r w:rsidRPr="2FDB619C">
              <w:rPr>
                <w:rFonts w:ascii="Calibri" w:hAnsi="Calibri" w:cs="Calibri"/>
              </w:rPr>
              <w:t>27,881</w:t>
            </w:r>
          </w:p>
          <w:p w14:paraId="23120EE0" w14:textId="00823681" w:rsidR="00153B07" w:rsidRPr="0063737D" w:rsidRDefault="00153B07" w:rsidP="00153B07">
            <w:pPr>
              <w:rPr>
                <w:rFonts w:ascii="Calibri" w:hAnsi="Calibri" w:cs="Calibri"/>
              </w:rPr>
            </w:pPr>
            <w:r w:rsidRPr="65CB3F4C">
              <w:rPr>
                <w:rFonts w:ascii="Calibri" w:hAnsi="Calibri" w:cs="Calibri"/>
              </w:rPr>
              <w:t>20,509</w:t>
            </w:r>
          </w:p>
        </w:tc>
        <w:tc>
          <w:tcPr>
            <w:tcW w:w="1848" w:type="dxa"/>
            <w:vMerge w:val="restart"/>
            <w:shd w:val="clear" w:color="auto" w:fill="FFC000"/>
            <w:vAlign w:val="center"/>
          </w:tcPr>
          <w:p w14:paraId="06D160B3" w14:textId="77777777" w:rsidR="00153B07" w:rsidRPr="00C92072" w:rsidRDefault="00153B07" w:rsidP="00153B07">
            <w:pPr>
              <w:keepNext/>
              <w:keepLines/>
              <w:jc w:val="center"/>
              <w:rPr>
                <w:rFonts w:ascii="Calibri" w:hAnsi="Calibri" w:cs="Calibri"/>
                <w:bCs/>
              </w:rPr>
            </w:pPr>
            <w:r>
              <w:rPr>
                <w:rFonts w:ascii="Calibri" w:hAnsi="Calibri" w:cs="Calibri"/>
                <w:bCs/>
              </w:rPr>
              <w:t>62.2%</w:t>
            </w:r>
          </w:p>
        </w:tc>
      </w:tr>
      <w:tr w:rsidR="00153B07" w:rsidRPr="0063737D" w14:paraId="1F5EF461" w14:textId="77777777" w:rsidTr="00444A1C">
        <w:trPr>
          <w:trHeight w:val="939"/>
          <w:jc w:val="center"/>
        </w:trPr>
        <w:tc>
          <w:tcPr>
            <w:tcW w:w="2370" w:type="dxa"/>
            <w:vMerge/>
            <w:vAlign w:val="center"/>
          </w:tcPr>
          <w:p w14:paraId="64621782" w14:textId="77777777" w:rsidR="00153B07" w:rsidRPr="0063737D" w:rsidRDefault="00153B07" w:rsidP="00153B07">
            <w:pPr>
              <w:jc w:val="center"/>
              <w:rPr>
                <w:rFonts w:ascii="Calibri" w:hAnsi="Calibri" w:cs="Calibri"/>
              </w:rPr>
            </w:pPr>
          </w:p>
        </w:tc>
        <w:tc>
          <w:tcPr>
            <w:tcW w:w="2755" w:type="dxa"/>
            <w:vAlign w:val="center"/>
          </w:tcPr>
          <w:p w14:paraId="0B37B010" w14:textId="77777777" w:rsidR="00153B07" w:rsidRPr="0063737D" w:rsidRDefault="00153B07" w:rsidP="00153B07">
            <w:pPr>
              <w:tabs>
                <w:tab w:val="right" w:pos="932"/>
                <w:tab w:val="left" w:pos="1168"/>
              </w:tabs>
              <w:spacing w:before="120"/>
              <w:jc w:val="right"/>
              <w:rPr>
                <w:rFonts w:ascii="Calibri" w:hAnsi="Calibri" w:cs="Calibri"/>
                <w:lang w:val="it-IT"/>
              </w:rPr>
            </w:pPr>
            <w:r w:rsidRPr="0063737D">
              <w:rPr>
                <w:rFonts w:ascii="Calibri" w:hAnsi="Calibri" w:cs="Calibri"/>
                <w:lang w:val="it-IT"/>
              </w:rPr>
              <w:t>MSY (1,000 t) (</w:t>
            </w:r>
            <w:r>
              <w:rPr>
                <w:rFonts w:ascii="Calibri" w:hAnsi="Calibri" w:cs="Calibri"/>
                <w:lang w:val="it-IT"/>
              </w:rPr>
              <w:t>80</w:t>
            </w:r>
            <w:r w:rsidRPr="0063737D">
              <w:rPr>
                <w:rFonts w:ascii="Calibri" w:hAnsi="Calibri" w:cs="Calibri"/>
                <w:lang w:val="it-IT"/>
              </w:rPr>
              <w:t>% CI)</w:t>
            </w:r>
          </w:p>
          <w:p w14:paraId="726A165C" w14:textId="77777777" w:rsidR="00153B07" w:rsidRPr="0063737D" w:rsidRDefault="00153B07" w:rsidP="00153B07">
            <w:pPr>
              <w:tabs>
                <w:tab w:val="right" w:pos="932"/>
                <w:tab w:val="left" w:pos="1168"/>
              </w:tabs>
              <w:jc w:val="right"/>
              <w:rPr>
                <w:rFonts w:ascii="Calibri" w:hAnsi="Calibri" w:cs="Calibri"/>
                <w:lang w:val="it-IT"/>
              </w:rPr>
            </w:pPr>
            <w:r w:rsidRPr="0063737D">
              <w:rPr>
                <w:rFonts w:ascii="Calibri" w:hAnsi="Calibri" w:cs="Calibri"/>
                <w:lang w:val="it-IT"/>
              </w:rPr>
              <w:t>F</w:t>
            </w:r>
            <w:r w:rsidRPr="0063737D">
              <w:rPr>
                <w:rFonts w:ascii="Calibri" w:hAnsi="Calibri" w:cs="Calibri"/>
                <w:vertAlign w:val="subscript"/>
                <w:lang w:val="it-IT"/>
              </w:rPr>
              <w:t>MSY</w:t>
            </w:r>
            <w:r w:rsidRPr="0063737D">
              <w:rPr>
                <w:rFonts w:ascii="Calibri" w:hAnsi="Calibri" w:cs="Calibri"/>
                <w:lang w:val="it-IT"/>
              </w:rPr>
              <w:t xml:space="preserve"> (</w:t>
            </w:r>
            <w:r>
              <w:rPr>
                <w:rFonts w:ascii="Calibri" w:hAnsi="Calibri" w:cs="Calibri"/>
                <w:lang w:val="it-IT"/>
              </w:rPr>
              <w:t>80</w:t>
            </w:r>
            <w:r w:rsidRPr="0063737D">
              <w:rPr>
                <w:rFonts w:ascii="Calibri" w:hAnsi="Calibri" w:cs="Calibri"/>
                <w:lang w:val="it-IT"/>
              </w:rPr>
              <w:t>% CI)</w:t>
            </w:r>
          </w:p>
          <w:p w14:paraId="6AE8C6FC" w14:textId="77777777" w:rsidR="00153B07" w:rsidRPr="0063737D" w:rsidRDefault="00153B07" w:rsidP="00153B07">
            <w:pPr>
              <w:tabs>
                <w:tab w:val="right" w:pos="932"/>
                <w:tab w:val="left" w:pos="1168"/>
              </w:tabs>
              <w:jc w:val="right"/>
              <w:rPr>
                <w:rFonts w:ascii="Calibri" w:hAnsi="Calibri" w:cs="Calibri"/>
                <w:lang w:val="it-IT"/>
              </w:rPr>
            </w:pPr>
            <w:r w:rsidRPr="0063737D">
              <w:rPr>
                <w:rFonts w:ascii="Calibri" w:hAnsi="Calibri" w:cs="Calibri"/>
                <w:lang w:val="it-IT"/>
              </w:rPr>
              <w:t>B</w:t>
            </w:r>
            <w:r w:rsidRPr="0063737D">
              <w:rPr>
                <w:rFonts w:ascii="Calibri" w:hAnsi="Calibri" w:cs="Calibri"/>
                <w:vertAlign w:val="subscript"/>
                <w:lang w:val="it-IT"/>
              </w:rPr>
              <w:t>MSY</w:t>
            </w:r>
            <w:r w:rsidRPr="0063737D">
              <w:rPr>
                <w:rFonts w:ascii="Calibri" w:hAnsi="Calibri" w:cs="Calibri"/>
                <w:lang w:val="it-IT"/>
              </w:rPr>
              <w:t xml:space="preserve"> (1,000 t) (</w:t>
            </w:r>
            <w:r>
              <w:rPr>
                <w:rFonts w:ascii="Calibri" w:hAnsi="Calibri" w:cs="Calibri"/>
                <w:lang w:val="it-IT"/>
              </w:rPr>
              <w:t>80</w:t>
            </w:r>
            <w:r w:rsidRPr="0063737D">
              <w:rPr>
                <w:rFonts w:ascii="Calibri" w:hAnsi="Calibri" w:cs="Calibri"/>
                <w:lang w:val="it-IT"/>
              </w:rPr>
              <w:t>% CI)</w:t>
            </w:r>
          </w:p>
          <w:p w14:paraId="7F26A801" w14:textId="77777777" w:rsidR="00153B07" w:rsidRPr="0063737D" w:rsidRDefault="00153B07" w:rsidP="00153B07">
            <w:pPr>
              <w:tabs>
                <w:tab w:val="right" w:pos="932"/>
                <w:tab w:val="left" w:pos="1168"/>
              </w:tabs>
              <w:jc w:val="right"/>
              <w:rPr>
                <w:rFonts w:ascii="Calibri" w:hAnsi="Calibri" w:cs="Calibri"/>
                <w:lang w:val="it-IT"/>
              </w:rPr>
            </w:pPr>
            <w:r w:rsidRPr="0063737D">
              <w:rPr>
                <w:rFonts w:ascii="Calibri" w:hAnsi="Calibri" w:cs="Calibri"/>
                <w:lang w:val="it-IT"/>
              </w:rPr>
              <w:t>F</w:t>
            </w:r>
            <w:r w:rsidRPr="0063737D">
              <w:rPr>
                <w:rFonts w:ascii="Calibri" w:hAnsi="Calibri" w:cs="Calibri"/>
                <w:vertAlign w:val="subscript"/>
                <w:lang w:val="it-IT"/>
              </w:rPr>
              <w:t>20</w:t>
            </w:r>
            <w:r>
              <w:rPr>
                <w:rFonts w:ascii="Calibri" w:hAnsi="Calibri" w:cs="Calibri"/>
                <w:vertAlign w:val="subscript"/>
                <w:lang w:val="it-IT"/>
              </w:rPr>
              <w:t>22</w:t>
            </w:r>
            <w:r w:rsidRPr="0063737D">
              <w:rPr>
                <w:rFonts w:ascii="Calibri" w:hAnsi="Calibri" w:cs="Calibri"/>
                <w:vertAlign w:val="subscript"/>
                <w:lang w:val="it-IT"/>
              </w:rPr>
              <w:t>/</w:t>
            </w:r>
            <w:r w:rsidRPr="0063737D">
              <w:rPr>
                <w:rFonts w:ascii="Calibri" w:hAnsi="Calibri" w:cs="Calibri"/>
                <w:lang w:val="it-IT"/>
              </w:rPr>
              <w:t>F</w:t>
            </w:r>
            <w:r w:rsidRPr="0063737D">
              <w:rPr>
                <w:rFonts w:ascii="Calibri" w:hAnsi="Calibri" w:cs="Calibri"/>
                <w:vertAlign w:val="subscript"/>
                <w:lang w:val="it-IT"/>
              </w:rPr>
              <w:t xml:space="preserve">MSY </w:t>
            </w:r>
            <w:r w:rsidRPr="0063737D">
              <w:rPr>
                <w:rFonts w:ascii="Calibri" w:hAnsi="Calibri" w:cs="Calibri"/>
                <w:lang w:val="it-IT"/>
              </w:rPr>
              <w:t>(</w:t>
            </w:r>
            <w:r>
              <w:rPr>
                <w:rFonts w:ascii="Calibri" w:hAnsi="Calibri" w:cs="Calibri"/>
                <w:lang w:val="it-IT"/>
              </w:rPr>
              <w:t>80</w:t>
            </w:r>
            <w:r w:rsidRPr="0063737D">
              <w:rPr>
                <w:rFonts w:ascii="Calibri" w:hAnsi="Calibri" w:cs="Calibri"/>
                <w:lang w:val="it-IT"/>
              </w:rPr>
              <w:t>% CI)</w:t>
            </w:r>
          </w:p>
          <w:p w14:paraId="09083550" w14:textId="77777777" w:rsidR="00153B07" w:rsidRPr="0063737D" w:rsidRDefault="00153B07" w:rsidP="00153B07">
            <w:pPr>
              <w:tabs>
                <w:tab w:val="right" w:pos="932"/>
                <w:tab w:val="left" w:pos="1168"/>
              </w:tabs>
              <w:jc w:val="right"/>
              <w:rPr>
                <w:rFonts w:ascii="Calibri" w:hAnsi="Calibri" w:cs="Calibri"/>
                <w:lang w:val="it-IT"/>
              </w:rPr>
            </w:pPr>
            <w:r w:rsidRPr="0063737D">
              <w:rPr>
                <w:rFonts w:ascii="Calibri" w:hAnsi="Calibri" w:cs="Calibri"/>
                <w:lang w:val="it-IT"/>
              </w:rPr>
              <w:t>B</w:t>
            </w:r>
            <w:r w:rsidRPr="0063737D">
              <w:rPr>
                <w:rFonts w:ascii="Calibri" w:hAnsi="Calibri" w:cs="Calibri"/>
                <w:vertAlign w:val="subscript"/>
                <w:lang w:val="it-IT"/>
              </w:rPr>
              <w:t>20</w:t>
            </w:r>
            <w:r>
              <w:rPr>
                <w:rFonts w:ascii="Calibri" w:hAnsi="Calibri" w:cs="Calibri"/>
                <w:vertAlign w:val="subscript"/>
                <w:lang w:val="it-IT"/>
              </w:rPr>
              <w:t>22</w:t>
            </w:r>
            <w:r w:rsidRPr="0063737D">
              <w:rPr>
                <w:rFonts w:ascii="Calibri" w:hAnsi="Calibri" w:cs="Calibri"/>
                <w:vertAlign w:val="subscript"/>
                <w:lang w:val="it-IT"/>
              </w:rPr>
              <w:t>/</w:t>
            </w:r>
            <w:r w:rsidRPr="0063737D">
              <w:rPr>
                <w:rFonts w:ascii="Calibri" w:hAnsi="Calibri" w:cs="Calibri"/>
                <w:lang w:val="it-IT"/>
              </w:rPr>
              <w:t>B</w:t>
            </w:r>
            <w:r w:rsidRPr="0063737D">
              <w:rPr>
                <w:rFonts w:ascii="Calibri" w:hAnsi="Calibri" w:cs="Calibri"/>
                <w:vertAlign w:val="subscript"/>
                <w:lang w:val="it-IT"/>
              </w:rPr>
              <w:t xml:space="preserve">MSY </w:t>
            </w:r>
            <w:r w:rsidRPr="0063737D">
              <w:rPr>
                <w:rFonts w:ascii="Calibri" w:hAnsi="Calibri" w:cs="Calibri"/>
                <w:lang w:val="it-IT"/>
              </w:rPr>
              <w:t>(</w:t>
            </w:r>
            <w:r>
              <w:rPr>
                <w:rFonts w:ascii="Calibri" w:hAnsi="Calibri" w:cs="Calibri"/>
                <w:lang w:val="it-IT"/>
              </w:rPr>
              <w:t>80</w:t>
            </w:r>
            <w:r w:rsidRPr="0063737D">
              <w:rPr>
                <w:rFonts w:ascii="Calibri" w:hAnsi="Calibri" w:cs="Calibri"/>
                <w:lang w:val="it-IT"/>
              </w:rPr>
              <w:t>% CI)</w:t>
            </w:r>
          </w:p>
          <w:p w14:paraId="4474DBC2" w14:textId="1AF1F6C9" w:rsidR="00153B07" w:rsidRPr="0063737D" w:rsidRDefault="00153B07" w:rsidP="00153B07">
            <w:pPr>
              <w:tabs>
                <w:tab w:val="right" w:pos="932"/>
                <w:tab w:val="left" w:pos="1168"/>
              </w:tabs>
              <w:spacing w:after="120"/>
              <w:jc w:val="right"/>
              <w:rPr>
                <w:rFonts w:ascii="Calibri" w:hAnsi="Calibri" w:cs="Calibri"/>
                <w:lang w:val="it-IT"/>
              </w:rPr>
            </w:pPr>
            <w:r w:rsidRPr="0063737D">
              <w:rPr>
                <w:rFonts w:ascii="Calibri" w:hAnsi="Calibri" w:cs="Calibri"/>
                <w:lang w:val="it-IT"/>
              </w:rPr>
              <w:t>B</w:t>
            </w:r>
            <w:r w:rsidRPr="0063737D">
              <w:rPr>
                <w:rFonts w:ascii="Calibri" w:hAnsi="Calibri" w:cs="Calibri"/>
                <w:vertAlign w:val="subscript"/>
                <w:lang w:val="it-IT"/>
              </w:rPr>
              <w:t>20</w:t>
            </w:r>
            <w:r>
              <w:rPr>
                <w:rFonts w:ascii="Calibri" w:hAnsi="Calibri" w:cs="Calibri"/>
                <w:vertAlign w:val="subscript"/>
                <w:lang w:val="it-IT"/>
              </w:rPr>
              <w:t>22</w:t>
            </w:r>
            <w:r w:rsidRPr="0063737D">
              <w:rPr>
                <w:rFonts w:ascii="Calibri" w:hAnsi="Calibri" w:cs="Calibri"/>
                <w:lang w:val="it-IT"/>
              </w:rPr>
              <w:t>/B</w:t>
            </w:r>
            <w:r w:rsidRPr="0063737D">
              <w:rPr>
                <w:rFonts w:ascii="Calibri" w:hAnsi="Calibri" w:cs="Calibri"/>
                <w:vertAlign w:val="subscript"/>
                <w:lang w:val="it-IT"/>
              </w:rPr>
              <w:t xml:space="preserve">0 </w:t>
            </w:r>
            <w:r w:rsidRPr="0063737D">
              <w:rPr>
                <w:rFonts w:ascii="Calibri" w:hAnsi="Calibri" w:cs="Calibri"/>
                <w:lang w:val="it-IT"/>
              </w:rPr>
              <w:t>(</w:t>
            </w:r>
            <w:r>
              <w:rPr>
                <w:rFonts w:ascii="Calibri" w:hAnsi="Calibri" w:cs="Calibri"/>
                <w:lang w:val="it-IT"/>
              </w:rPr>
              <w:t>80</w:t>
            </w:r>
            <w:r w:rsidRPr="0063737D">
              <w:rPr>
                <w:rFonts w:ascii="Calibri" w:hAnsi="Calibri" w:cs="Calibri"/>
                <w:lang w:val="it-IT"/>
              </w:rPr>
              <w:t>% CI)</w:t>
            </w:r>
          </w:p>
        </w:tc>
        <w:tc>
          <w:tcPr>
            <w:tcW w:w="2250" w:type="dxa"/>
            <w:vAlign w:val="center"/>
          </w:tcPr>
          <w:p w14:paraId="2C550893" w14:textId="77777777" w:rsidR="00153B07" w:rsidRPr="0063737D" w:rsidRDefault="00153B07" w:rsidP="00153B07">
            <w:pPr>
              <w:spacing w:before="120"/>
              <w:rPr>
                <w:rFonts w:ascii="Calibri" w:hAnsi="Calibri" w:cs="Calibri"/>
              </w:rPr>
            </w:pPr>
            <w:r w:rsidRPr="0063737D">
              <w:rPr>
                <w:rFonts w:ascii="Calibri" w:hAnsi="Calibri" w:cs="Calibri"/>
              </w:rPr>
              <w:t>1</w:t>
            </w:r>
            <w:r>
              <w:rPr>
                <w:rFonts w:ascii="Calibri" w:hAnsi="Calibri" w:cs="Calibri"/>
              </w:rPr>
              <w:t>3</w:t>
            </w:r>
            <w:r w:rsidRPr="0063737D">
              <w:rPr>
                <w:rFonts w:ascii="Calibri" w:hAnsi="Calibri" w:cs="Calibri"/>
              </w:rPr>
              <w:t>.</w:t>
            </w:r>
            <w:r>
              <w:rPr>
                <w:rFonts w:ascii="Calibri" w:hAnsi="Calibri" w:cs="Calibri"/>
              </w:rPr>
              <w:t>9</w:t>
            </w:r>
            <w:r w:rsidRPr="0063737D">
              <w:rPr>
                <w:rFonts w:ascii="Calibri" w:hAnsi="Calibri" w:cs="Calibri"/>
              </w:rPr>
              <w:t>0 (</w:t>
            </w:r>
            <w:r>
              <w:rPr>
                <w:rFonts w:ascii="Calibri" w:hAnsi="Calibri" w:cs="Calibri"/>
              </w:rPr>
              <w:t>8</w:t>
            </w:r>
            <w:r w:rsidRPr="0063737D">
              <w:rPr>
                <w:rFonts w:ascii="Calibri" w:hAnsi="Calibri" w:cs="Calibri"/>
              </w:rPr>
              <w:t>.</w:t>
            </w:r>
            <w:r>
              <w:rPr>
                <w:rFonts w:ascii="Calibri" w:hAnsi="Calibri" w:cs="Calibri"/>
              </w:rPr>
              <w:t>73</w:t>
            </w:r>
            <w:r w:rsidRPr="0063737D">
              <w:rPr>
                <w:rFonts w:ascii="Calibri" w:hAnsi="Calibri" w:cs="Calibri"/>
              </w:rPr>
              <w:t xml:space="preserve"> – </w:t>
            </w:r>
            <w:r>
              <w:rPr>
                <w:rFonts w:ascii="Calibri" w:hAnsi="Calibri" w:cs="Calibri"/>
              </w:rPr>
              <w:t>28</w:t>
            </w:r>
            <w:r w:rsidRPr="0063737D">
              <w:rPr>
                <w:rFonts w:ascii="Calibri" w:hAnsi="Calibri" w:cs="Calibri"/>
              </w:rPr>
              <w:t>.</w:t>
            </w:r>
            <w:r>
              <w:rPr>
                <w:rFonts w:ascii="Calibri" w:hAnsi="Calibri" w:cs="Calibri"/>
              </w:rPr>
              <w:t>51</w:t>
            </w:r>
            <w:r w:rsidRPr="0063737D">
              <w:rPr>
                <w:rFonts w:ascii="Calibri" w:hAnsi="Calibri" w:cs="Calibri"/>
              </w:rPr>
              <w:t>)</w:t>
            </w:r>
          </w:p>
          <w:p w14:paraId="5536B17D" w14:textId="77777777" w:rsidR="00153B07" w:rsidRPr="0063737D" w:rsidRDefault="00153B07" w:rsidP="00153B07">
            <w:pPr>
              <w:rPr>
                <w:rFonts w:ascii="Calibri" w:hAnsi="Calibri" w:cs="Calibri"/>
              </w:rPr>
            </w:pPr>
            <w:r w:rsidRPr="0063737D">
              <w:rPr>
                <w:rFonts w:ascii="Calibri" w:hAnsi="Calibri" w:cs="Calibri"/>
              </w:rPr>
              <w:t>0.2</w:t>
            </w:r>
            <w:r>
              <w:rPr>
                <w:rFonts w:ascii="Calibri" w:hAnsi="Calibri" w:cs="Calibri"/>
              </w:rPr>
              <w:t>1</w:t>
            </w:r>
            <w:r w:rsidRPr="0063737D">
              <w:rPr>
                <w:rFonts w:ascii="Calibri" w:hAnsi="Calibri" w:cs="Calibri"/>
              </w:rPr>
              <w:t xml:space="preserve"> (0.</w:t>
            </w:r>
            <w:r>
              <w:rPr>
                <w:rFonts w:ascii="Calibri" w:hAnsi="Calibri" w:cs="Calibri"/>
              </w:rPr>
              <w:t>15</w:t>
            </w:r>
            <w:r w:rsidRPr="0063737D">
              <w:rPr>
                <w:rFonts w:ascii="Calibri" w:hAnsi="Calibri" w:cs="Calibri"/>
              </w:rPr>
              <w:t xml:space="preserve"> - 0.3</w:t>
            </w:r>
            <w:r>
              <w:rPr>
                <w:rFonts w:ascii="Calibri" w:hAnsi="Calibri" w:cs="Calibri"/>
              </w:rPr>
              <w:t>0</w:t>
            </w:r>
            <w:r w:rsidRPr="0063737D">
              <w:rPr>
                <w:rFonts w:ascii="Calibri" w:hAnsi="Calibri" w:cs="Calibri"/>
              </w:rPr>
              <w:t>)</w:t>
            </w:r>
          </w:p>
          <w:p w14:paraId="2E43EA31" w14:textId="77777777" w:rsidR="00153B07" w:rsidRPr="0063737D" w:rsidRDefault="00153B07" w:rsidP="00153B07">
            <w:pPr>
              <w:rPr>
                <w:rFonts w:ascii="Calibri" w:hAnsi="Calibri" w:cs="Calibri"/>
              </w:rPr>
            </w:pPr>
            <w:r>
              <w:rPr>
                <w:rFonts w:ascii="Calibri" w:hAnsi="Calibri" w:cs="Calibri"/>
              </w:rPr>
              <w:t>65</w:t>
            </w:r>
            <w:r w:rsidRPr="0063737D">
              <w:rPr>
                <w:rFonts w:ascii="Calibri" w:hAnsi="Calibri" w:cs="Calibri"/>
              </w:rPr>
              <w:t>.</w:t>
            </w:r>
            <w:r>
              <w:rPr>
                <w:rFonts w:ascii="Calibri" w:hAnsi="Calibri" w:cs="Calibri"/>
              </w:rPr>
              <w:t>23</w:t>
            </w:r>
            <w:r w:rsidRPr="0063737D">
              <w:rPr>
                <w:rFonts w:ascii="Calibri" w:hAnsi="Calibri" w:cs="Calibri"/>
              </w:rPr>
              <w:t xml:space="preserve"> (</w:t>
            </w:r>
            <w:r>
              <w:rPr>
                <w:rFonts w:ascii="Calibri" w:hAnsi="Calibri" w:cs="Calibri"/>
              </w:rPr>
              <w:t>46</w:t>
            </w:r>
            <w:r w:rsidRPr="0063737D">
              <w:rPr>
                <w:rFonts w:ascii="Calibri" w:hAnsi="Calibri" w:cs="Calibri"/>
              </w:rPr>
              <w:t>.</w:t>
            </w:r>
            <w:r>
              <w:rPr>
                <w:rFonts w:ascii="Calibri" w:hAnsi="Calibri" w:cs="Calibri"/>
              </w:rPr>
              <w:t>43</w:t>
            </w:r>
            <w:r w:rsidRPr="0063737D">
              <w:rPr>
                <w:rFonts w:ascii="Calibri" w:hAnsi="Calibri" w:cs="Calibri"/>
              </w:rPr>
              <w:t>-1</w:t>
            </w:r>
            <w:r>
              <w:rPr>
                <w:rFonts w:ascii="Calibri" w:hAnsi="Calibri" w:cs="Calibri"/>
              </w:rPr>
              <w:t>01</w:t>
            </w:r>
            <w:r w:rsidRPr="0063737D">
              <w:rPr>
                <w:rFonts w:ascii="Calibri" w:hAnsi="Calibri" w:cs="Calibri"/>
              </w:rPr>
              <w:t>.</w:t>
            </w:r>
            <w:r>
              <w:rPr>
                <w:rFonts w:ascii="Calibri" w:hAnsi="Calibri" w:cs="Calibri"/>
              </w:rPr>
              <w:t>84</w:t>
            </w:r>
            <w:r w:rsidRPr="0063737D">
              <w:rPr>
                <w:rFonts w:ascii="Calibri" w:hAnsi="Calibri" w:cs="Calibri"/>
              </w:rPr>
              <w:t>)</w:t>
            </w:r>
          </w:p>
          <w:p w14:paraId="7E7C3536" w14:textId="77777777" w:rsidR="00153B07" w:rsidRPr="0063737D" w:rsidRDefault="00153B07" w:rsidP="00153B07">
            <w:pPr>
              <w:rPr>
                <w:rFonts w:ascii="Calibri" w:hAnsi="Calibri" w:cs="Calibri"/>
              </w:rPr>
            </w:pPr>
            <w:r>
              <w:rPr>
                <w:rFonts w:ascii="Calibri" w:hAnsi="Calibri" w:cs="Calibri"/>
              </w:rPr>
              <w:t>1</w:t>
            </w:r>
            <w:r w:rsidRPr="0063737D">
              <w:rPr>
                <w:rFonts w:ascii="Calibri" w:hAnsi="Calibri" w:cs="Calibri"/>
              </w:rPr>
              <w:t>.</w:t>
            </w:r>
            <w:r>
              <w:rPr>
                <w:rFonts w:ascii="Calibri" w:hAnsi="Calibri" w:cs="Calibri"/>
              </w:rPr>
              <w:t>39</w:t>
            </w:r>
            <w:r w:rsidRPr="0063737D">
              <w:rPr>
                <w:rFonts w:ascii="Calibri" w:hAnsi="Calibri" w:cs="Calibri"/>
              </w:rPr>
              <w:t xml:space="preserve"> (0.</w:t>
            </w:r>
            <w:r>
              <w:rPr>
                <w:rFonts w:ascii="Calibri" w:hAnsi="Calibri" w:cs="Calibri"/>
              </w:rPr>
              <w:t>72</w:t>
            </w:r>
            <w:r w:rsidRPr="0063737D">
              <w:rPr>
                <w:rFonts w:ascii="Calibri" w:hAnsi="Calibri" w:cs="Calibri"/>
              </w:rPr>
              <w:t xml:space="preserve"> – </w:t>
            </w:r>
            <w:r>
              <w:rPr>
                <w:rFonts w:ascii="Calibri" w:hAnsi="Calibri" w:cs="Calibri"/>
              </w:rPr>
              <w:t>2</w:t>
            </w:r>
            <w:r w:rsidRPr="0063737D">
              <w:rPr>
                <w:rFonts w:ascii="Calibri" w:hAnsi="Calibri" w:cs="Calibri"/>
              </w:rPr>
              <w:t>.</w:t>
            </w:r>
            <w:r>
              <w:rPr>
                <w:rFonts w:ascii="Calibri" w:hAnsi="Calibri" w:cs="Calibri"/>
              </w:rPr>
              <w:t>4</w:t>
            </w:r>
            <w:r w:rsidRPr="0063737D">
              <w:rPr>
                <w:rFonts w:ascii="Calibri" w:hAnsi="Calibri" w:cs="Calibri"/>
              </w:rPr>
              <w:t>5)</w:t>
            </w:r>
          </w:p>
          <w:p w14:paraId="7E124988" w14:textId="77777777" w:rsidR="00153B07" w:rsidRPr="0063737D" w:rsidRDefault="00153B07" w:rsidP="00153B07">
            <w:pPr>
              <w:rPr>
                <w:rFonts w:ascii="Calibri" w:hAnsi="Calibri" w:cs="Calibri"/>
              </w:rPr>
            </w:pPr>
            <w:r w:rsidRPr="0063737D">
              <w:rPr>
                <w:rFonts w:ascii="Calibri" w:hAnsi="Calibri" w:cs="Calibri"/>
              </w:rPr>
              <w:t>1.</w:t>
            </w:r>
            <w:r>
              <w:rPr>
                <w:rFonts w:ascii="Calibri" w:hAnsi="Calibri" w:cs="Calibri"/>
              </w:rPr>
              <w:t>35</w:t>
            </w:r>
            <w:r w:rsidRPr="0063737D">
              <w:rPr>
                <w:rFonts w:ascii="Calibri" w:hAnsi="Calibri" w:cs="Calibri"/>
              </w:rPr>
              <w:t xml:space="preserve"> (</w:t>
            </w:r>
            <w:r>
              <w:rPr>
                <w:rFonts w:ascii="Calibri" w:hAnsi="Calibri" w:cs="Calibri"/>
              </w:rPr>
              <w:t>0.96</w:t>
            </w:r>
            <w:r w:rsidRPr="0063737D">
              <w:rPr>
                <w:rFonts w:ascii="Calibri" w:hAnsi="Calibri" w:cs="Calibri"/>
              </w:rPr>
              <w:t xml:space="preserve"> – </w:t>
            </w:r>
            <w:r>
              <w:rPr>
                <w:rFonts w:ascii="Calibri" w:hAnsi="Calibri" w:cs="Calibri"/>
              </w:rPr>
              <w:t>1</w:t>
            </w:r>
            <w:r w:rsidRPr="0063737D">
              <w:rPr>
                <w:rFonts w:ascii="Calibri" w:hAnsi="Calibri" w:cs="Calibri"/>
              </w:rPr>
              <w:t>.</w:t>
            </w:r>
            <w:r>
              <w:rPr>
                <w:rFonts w:ascii="Calibri" w:hAnsi="Calibri" w:cs="Calibri"/>
              </w:rPr>
              <w:t>79</w:t>
            </w:r>
            <w:r w:rsidRPr="0063737D">
              <w:rPr>
                <w:rFonts w:ascii="Calibri" w:hAnsi="Calibri" w:cs="Calibri"/>
              </w:rPr>
              <w:t>)</w:t>
            </w:r>
          </w:p>
          <w:p w14:paraId="6736DE5D" w14:textId="1E9BDC6C" w:rsidR="00153B07" w:rsidRPr="0063737D" w:rsidRDefault="00153B07" w:rsidP="00153B07">
            <w:pPr>
              <w:spacing w:after="120"/>
              <w:rPr>
                <w:rFonts w:ascii="Calibri" w:hAnsi="Calibri" w:cs="Calibri"/>
              </w:rPr>
            </w:pPr>
            <w:r w:rsidRPr="0063737D">
              <w:rPr>
                <w:rFonts w:ascii="Calibri" w:hAnsi="Calibri" w:cs="Calibri"/>
              </w:rPr>
              <w:t>0.</w:t>
            </w:r>
            <w:r>
              <w:rPr>
                <w:rFonts w:ascii="Calibri" w:hAnsi="Calibri" w:cs="Calibri"/>
              </w:rPr>
              <w:t>49</w:t>
            </w:r>
            <w:r w:rsidRPr="0063737D">
              <w:rPr>
                <w:rFonts w:ascii="Calibri" w:hAnsi="Calibri" w:cs="Calibri"/>
              </w:rPr>
              <w:t xml:space="preserve"> (0.</w:t>
            </w:r>
            <w:r>
              <w:rPr>
                <w:rFonts w:ascii="Calibri" w:hAnsi="Calibri" w:cs="Calibri"/>
              </w:rPr>
              <w:t>35</w:t>
            </w:r>
            <w:r w:rsidRPr="0063737D">
              <w:rPr>
                <w:rFonts w:ascii="Calibri" w:hAnsi="Calibri" w:cs="Calibri"/>
              </w:rPr>
              <w:t xml:space="preserve"> – 0.</w:t>
            </w:r>
            <w:r>
              <w:rPr>
                <w:rFonts w:ascii="Calibri" w:hAnsi="Calibri" w:cs="Calibri"/>
              </w:rPr>
              <w:t>66</w:t>
            </w:r>
            <w:r w:rsidRPr="0063737D">
              <w:rPr>
                <w:rFonts w:ascii="Calibri" w:hAnsi="Calibri" w:cs="Calibri"/>
              </w:rPr>
              <w:t>)</w:t>
            </w:r>
          </w:p>
        </w:tc>
        <w:tc>
          <w:tcPr>
            <w:tcW w:w="1848" w:type="dxa"/>
            <w:vMerge/>
            <w:tcBorders>
              <w:bottom w:val="single" w:sz="4" w:space="0" w:color="auto"/>
            </w:tcBorders>
            <w:shd w:val="clear" w:color="auto" w:fill="FFC000"/>
            <w:vAlign w:val="center"/>
          </w:tcPr>
          <w:p w14:paraId="3EFD8833" w14:textId="77777777" w:rsidR="00153B07" w:rsidRPr="0063737D" w:rsidRDefault="00153B07" w:rsidP="00153B07">
            <w:pPr>
              <w:keepNext/>
              <w:keepLines/>
              <w:numPr>
                <w:ilvl w:val="1"/>
                <w:numId w:val="15"/>
              </w:numPr>
              <w:spacing w:before="240" w:after="60"/>
              <w:jc w:val="center"/>
              <w:outlineLvl w:val="0"/>
              <w:rPr>
                <w:rFonts w:ascii="Calibri" w:hAnsi="Calibri" w:cs="Calibri"/>
                <w:lang w:val="it-IT"/>
              </w:rPr>
            </w:pPr>
          </w:p>
        </w:tc>
      </w:tr>
    </w:tbl>
    <w:p w14:paraId="18D1FDA4" w14:textId="77777777" w:rsidR="00BB41F2" w:rsidRPr="0063737D" w:rsidRDefault="00BB41F2" w:rsidP="00BB41F2">
      <w:pPr>
        <w:ind w:left="720"/>
        <w:rPr>
          <w:rFonts w:ascii="Calibri" w:hAnsi="Calibri" w:cs="Calibri"/>
          <w:sz w:val="20"/>
          <w:szCs w:val="20"/>
        </w:rPr>
      </w:pPr>
      <w:r w:rsidRPr="0063737D">
        <w:rPr>
          <w:rFonts w:ascii="Calibri" w:hAnsi="Calibri" w:cs="Calibri"/>
          <w:sz w:val="20"/>
          <w:szCs w:val="20"/>
          <w:vertAlign w:val="superscript"/>
        </w:rPr>
        <w:t xml:space="preserve">1 </w:t>
      </w:r>
      <w:r w:rsidRPr="0063737D">
        <w:rPr>
          <w:rFonts w:ascii="Calibri" w:hAnsi="Calibri" w:cs="Calibri"/>
          <w:sz w:val="20"/>
          <w:szCs w:val="20"/>
        </w:rPr>
        <w:t>Boundaries for the Indian Ocean stock assessment are defined as the IOTC area of competence</w:t>
      </w:r>
    </w:p>
    <w:p w14:paraId="4AFC2C3B" w14:textId="36C4FF5F" w:rsidR="00BB41F2" w:rsidRDefault="00BB41F2" w:rsidP="00BB41F2">
      <w:pPr>
        <w:ind w:left="720"/>
        <w:rPr>
          <w:rFonts w:ascii="Calibri" w:hAnsi="Calibri" w:cs="Calibri"/>
          <w:color w:val="000000"/>
          <w:sz w:val="20"/>
          <w:szCs w:val="20"/>
        </w:rPr>
      </w:pPr>
      <w:r w:rsidRPr="0063737D">
        <w:rPr>
          <w:rFonts w:ascii="Calibri" w:hAnsi="Calibri" w:cs="Calibri"/>
          <w:bCs/>
          <w:smallCaps/>
          <w:color w:val="000000"/>
          <w:kern w:val="32"/>
          <w:sz w:val="20"/>
          <w:szCs w:val="20"/>
          <w:vertAlign w:val="superscript"/>
        </w:rPr>
        <w:t xml:space="preserve">2 </w:t>
      </w:r>
      <w:r w:rsidRPr="0063737D">
        <w:rPr>
          <w:rFonts w:ascii="Calibri" w:hAnsi="Calibri" w:cs="Calibri"/>
          <w:color w:val="000000"/>
          <w:sz w:val="20"/>
          <w:szCs w:val="20"/>
        </w:rPr>
        <w:t>Proportion of 202</w:t>
      </w:r>
      <w:r w:rsidR="00865F65">
        <w:rPr>
          <w:rFonts w:ascii="Calibri" w:hAnsi="Calibri" w:cs="Calibri"/>
          <w:color w:val="000000"/>
          <w:sz w:val="20"/>
          <w:szCs w:val="20"/>
        </w:rPr>
        <w:t>3</w:t>
      </w:r>
      <w:r w:rsidRPr="0063737D">
        <w:rPr>
          <w:rFonts w:ascii="Calibri" w:hAnsi="Calibri" w:cs="Calibri"/>
          <w:color w:val="000000"/>
          <w:sz w:val="20"/>
          <w:szCs w:val="20"/>
        </w:rPr>
        <w:t xml:space="preserve"> catch fully or partially estimated by the IOTC Secretariat: </w:t>
      </w:r>
      <w:r>
        <w:rPr>
          <w:rFonts w:ascii="Calibri" w:hAnsi="Calibri" w:cs="Calibri"/>
          <w:color w:val="000000"/>
          <w:sz w:val="20"/>
          <w:szCs w:val="20"/>
        </w:rPr>
        <w:t>21.7</w:t>
      </w:r>
      <w:r w:rsidRPr="0063737D">
        <w:rPr>
          <w:rFonts w:ascii="Calibri" w:hAnsi="Calibri" w:cs="Calibri"/>
          <w:color w:val="000000"/>
          <w:sz w:val="20"/>
          <w:szCs w:val="20"/>
        </w:rPr>
        <w:t>%</w:t>
      </w:r>
    </w:p>
    <w:p w14:paraId="4739C15A" w14:textId="77777777" w:rsidR="00BB41F2" w:rsidRDefault="00BB41F2" w:rsidP="00BB41F2">
      <w:pPr>
        <w:ind w:left="720"/>
        <w:rPr>
          <w:rFonts w:ascii="Calibri" w:eastAsia="Calibri" w:hAnsi="Calibri" w:cs="Calibri"/>
          <w:sz w:val="18"/>
          <w:szCs w:val="18"/>
        </w:rPr>
      </w:pPr>
      <w:r w:rsidRPr="00C250FC">
        <w:rPr>
          <w:rFonts w:ascii="Calibri" w:eastAsia="Calibri" w:hAnsi="Calibri" w:cs="Calibri"/>
          <w:sz w:val="18"/>
          <w:szCs w:val="18"/>
          <w:vertAlign w:val="superscript"/>
        </w:rPr>
        <w:t>3</w:t>
      </w:r>
      <w:r>
        <w:rPr>
          <w:rFonts w:ascii="Calibri" w:eastAsia="Calibri" w:hAnsi="Calibri" w:cs="Calibri"/>
          <w:sz w:val="18"/>
          <w:szCs w:val="18"/>
        </w:rPr>
        <w:t>2020</w:t>
      </w:r>
      <w:r w:rsidRPr="00C250FC">
        <w:rPr>
          <w:rFonts w:ascii="Calibri" w:eastAsia="Calibri" w:hAnsi="Calibri" w:cs="Calibri"/>
          <w:sz w:val="18"/>
          <w:szCs w:val="18"/>
        </w:rPr>
        <w:t xml:space="preserve"> </w:t>
      </w:r>
      <w:r>
        <w:rPr>
          <w:rFonts w:ascii="Calibri" w:eastAsia="Calibri" w:hAnsi="Calibri" w:cs="Calibri"/>
          <w:sz w:val="18"/>
          <w:szCs w:val="18"/>
        </w:rPr>
        <w:t>is</w:t>
      </w:r>
      <w:r w:rsidRPr="00C250FC">
        <w:rPr>
          <w:rFonts w:ascii="Calibri" w:eastAsia="Calibri" w:hAnsi="Calibri" w:cs="Calibri"/>
          <w:sz w:val="18"/>
          <w:szCs w:val="18"/>
        </w:rPr>
        <w:t xml:space="preserve"> the final year </w:t>
      </w:r>
      <w:r>
        <w:rPr>
          <w:rFonts w:ascii="Calibri" w:eastAsia="Calibri" w:hAnsi="Calibri" w:cs="Calibri"/>
          <w:sz w:val="18"/>
          <w:szCs w:val="18"/>
        </w:rPr>
        <w:t xml:space="preserve">that </w:t>
      </w:r>
      <w:r w:rsidRPr="00C250FC">
        <w:rPr>
          <w:rFonts w:ascii="Calibri" w:eastAsia="Calibri" w:hAnsi="Calibri" w:cs="Calibri"/>
          <w:sz w:val="18"/>
          <w:szCs w:val="18"/>
        </w:rPr>
        <w:t>data</w:t>
      </w:r>
      <w:r>
        <w:rPr>
          <w:rFonts w:ascii="Calibri" w:eastAsia="Calibri" w:hAnsi="Calibri" w:cs="Calibri"/>
          <w:sz w:val="18"/>
          <w:szCs w:val="18"/>
        </w:rPr>
        <w:t xml:space="preserve"> were</w:t>
      </w:r>
      <w:r w:rsidRPr="00C250FC">
        <w:rPr>
          <w:rFonts w:ascii="Calibri" w:eastAsia="Calibri" w:hAnsi="Calibri" w:cs="Calibri"/>
          <w:sz w:val="18"/>
          <w:szCs w:val="18"/>
        </w:rPr>
        <w:t xml:space="preserve"> available for </w:t>
      </w:r>
      <w:r>
        <w:rPr>
          <w:rFonts w:ascii="Calibri" w:eastAsia="Calibri" w:hAnsi="Calibri" w:cs="Calibri"/>
          <w:sz w:val="18"/>
          <w:szCs w:val="18"/>
        </w:rPr>
        <w:t xml:space="preserve">this </w:t>
      </w:r>
      <w:r w:rsidRPr="00C250FC">
        <w:rPr>
          <w:rFonts w:ascii="Calibri" w:eastAsia="Calibri" w:hAnsi="Calibri" w:cs="Calibri"/>
          <w:sz w:val="18"/>
          <w:szCs w:val="18"/>
        </w:rPr>
        <w:t>assessment</w:t>
      </w:r>
    </w:p>
    <w:p w14:paraId="0DBB8572" w14:textId="77777777" w:rsidR="00BB41F2" w:rsidRPr="0063737D" w:rsidRDefault="00BB41F2" w:rsidP="00BB41F2">
      <w:pPr>
        <w:rPr>
          <w:rFonts w:ascii="Calibri" w:hAnsi="Calibri" w:cs="Calibri"/>
        </w:rPr>
      </w:pPr>
      <w:r w:rsidRPr="0063737D">
        <w:rPr>
          <w:rFonts w:ascii="Calibri" w:eastAsia="Malgun Gothic" w:hAnsi="Calibri" w:cs="Calibri"/>
          <w:lang w:eastAsia="ko-KR"/>
        </w:rPr>
        <w:t xml:space="preserve">  </w:t>
      </w:r>
    </w:p>
    <w:p w14:paraId="6DFB2188" w14:textId="77777777" w:rsidR="00BB41F2" w:rsidRPr="0063737D" w:rsidRDefault="00BB41F2" w:rsidP="00BB41F2">
      <w:pPr>
        <w:rPr>
          <w:rFonts w:ascii="Calibri" w:hAnsi="Calibri" w:cs="Calibri"/>
        </w:rPr>
      </w:pPr>
    </w:p>
    <w:tbl>
      <w:tblPr>
        <w:tblStyle w:val="TableGrid3152103"/>
        <w:tblW w:w="0" w:type="auto"/>
        <w:jc w:val="center"/>
        <w:shd w:val="clear" w:color="auto" w:fill="FFFFFF"/>
        <w:tblLook w:val="04A0" w:firstRow="1" w:lastRow="0" w:firstColumn="1" w:lastColumn="0" w:noHBand="0" w:noVBand="1"/>
      </w:tblPr>
      <w:tblGrid>
        <w:gridCol w:w="3685"/>
        <w:gridCol w:w="2761"/>
        <w:gridCol w:w="2904"/>
      </w:tblGrid>
      <w:tr w:rsidR="00BB41F2" w:rsidRPr="0063737D" w14:paraId="2454FD7A"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5642444F" w14:textId="77777777" w:rsidR="00BB41F2" w:rsidRPr="0063737D" w:rsidRDefault="00BB41F2" w:rsidP="00444A1C">
            <w:pPr>
              <w:keepNext/>
              <w:keepLines/>
              <w:spacing w:after="20"/>
              <w:jc w:val="center"/>
              <w:rPr>
                <w:rFonts w:ascii="Calibri" w:hAnsi="Calibri" w:cs="Calibri"/>
                <w:b/>
                <w:sz w:val="18"/>
                <w:szCs w:val="18"/>
              </w:rPr>
            </w:pPr>
            <w:r w:rsidRPr="0063737D">
              <w:rPr>
                <w:rFonts w:ascii="Calibri" w:hAnsi="Calibri" w:cs="Calibri"/>
                <w:b/>
                <w:sz w:val="18"/>
                <w:szCs w:val="18"/>
              </w:rPr>
              <w:t>Colour key</w:t>
            </w:r>
          </w:p>
        </w:tc>
        <w:tc>
          <w:tcPr>
            <w:tcW w:w="2761" w:type="dxa"/>
            <w:tcBorders>
              <w:top w:val="single" w:sz="4" w:space="0" w:color="auto"/>
              <w:left w:val="single" w:sz="4" w:space="0" w:color="auto"/>
              <w:bottom w:val="single" w:sz="4" w:space="0" w:color="auto"/>
              <w:right w:val="single" w:sz="4" w:space="0" w:color="auto"/>
            </w:tcBorders>
            <w:shd w:val="clear" w:color="auto" w:fill="FFFFFF"/>
            <w:vAlign w:val="center"/>
          </w:tcPr>
          <w:p w14:paraId="474365BD" w14:textId="77777777" w:rsidR="00BB41F2" w:rsidRPr="0063737D" w:rsidRDefault="00BB41F2" w:rsidP="00444A1C">
            <w:pPr>
              <w:keepNext/>
              <w:keepLines/>
              <w:spacing w:after="20"/>
              <w:jc w:val="center"/>
              <w:rPr>
                <w:rFonts w:ascii="Calibri" w:hAnsi="Calibri" w:cs="Calibri"/>
                <w:sz w:val="18"/>
                <w:szCs w:val="18"/>
              </w:rPr>
            </w:pPr>
            <w:r w:rsidRPr="0063737D">
              <w:rPr>
                <w:rFonts w:ascii="Calibri" w:hAnsi="Calibri" w:cs="Calibri"/>
                <w:sz w:val="18"/>
                <w:szCs w:val="18"/>
              </w:rPr>
              <w:t>Stock overfished (B</w:t>
            </w:r>
            <w:r w:rsidRPr="0063737D">
              <w:rPr>
                <w:rFonts w:ascii="Calibri" w:hAnsi="Calibri" w:cs="Calibri"/>
                <w:sz w:val="18"/>
                <w:szCs w:val="18"/>
                <w:vertAlign w:val="subscript"/>
              </w:rPr>
              <w:t>year</w:t>
            </w:r>
            <w:r w:rsidRPr="0063737D">
              <w:rPr>
                <w:rFonts w:ascii="Calibri" w:hAnsi="Calibri" w:cs="Calibri"/>
                <w:sz w:val="18"/>
                <w:szCs w:val="18"/>
              </w:rPr>
              <w:t>/B</w:t>
            </w:r>
            <w:r w:rsidRPr="0063737D">
              <w:rPr>
                <w:rFonts w:ascii="Calibri" w:hAnsi="Calibri" w:cs="Calibri"/>
                <w:sz w:val="18"/>
                <w:szCs w:val="18"/>
                <w:vertAlign w:val="subscript"/>
              </w:rPr>
              <w:t>MSY</w:t>
            </w:r>
            <w:r w:rsidRPr="0063737D">
              <w:rPr>
                <w:rFonts w:ascii="Calibri" w:hAnsi="Calibri" w:cs="Calibri"/>
                <w:sz w:val="18"/>
                <w:szCs w:val="18"/>
              </w:rPr>
              <w:t>&lt; 1)</w:t>
            </w:r>
          </w:p>
        </w:tc>
        <w:tc>
          <w:tcPr>
            <w:tcW w:w="2904" w:type="dxa"/>
            <w:tcBorders>
              <w:top w:val="single" w:sz="4" w:space="0" w:color="auto"/>
              <w:left w:val="single" w:sz="4" w:space="0" w:color="auto"/>
              <w:bottom w:val="single" w:sz="4" w:space="0" w:color="auto"/>
              <w:right w:val="single" w:sz="4" w:space="0" w:color="auto"/>
            </w:tcBorders>
            <w:shd w:val="clear" w:color="auto" w:fill="FFFFFF"/>
            <w:vAlign w:val="center"/>
          </w:tcPr>
          <w:p w14:paraId="7FA2D1BB" w14:textId="77777777" w:rsidR="00BB41F2" w:rsidRPr="0063737D" w:rsidRDefault="00BB41F2" w:rsidP="00444A1C">
            <w:pPr>
              <w:keepNext/>
              <w:keepLines/>
              <w:spacing w:after="20"/>
              <w:jc w:val="center"/>
              <w:rPr>
                <w:rFonts w:ascii="Calibri" w:hAnsi="Calibri" w:cs="Calibri"/>
                <w:sz w:val="18"/>
                <w:szCs w:val="18"/>
              </w:rPr>
            </w:pPr>
            <w:r w:rsidRPr="0063737D">
              <w:rPr>
                <w:rFonts w:ascii="Calibri" w:hAnsi="Calibri" w:cs="Calibri"/>
                <w:sz w:val="18"/>
                <w:szCs w:val="18"/>
              </w:rPr>
              <w:t>Stock not overfished (B</w:t>
            </w:r>
            <w:r w:rsidRPr="0063737D">
              <w:rPr>
                <w:rFonts w:ascii="Calibri" w:hAnsi="Calibri" w:cs="Calibri"/>
                <w:sz w:val="18"/>
                <w:szCs w:val="18"/>
                <w:vertAlign w:val="subscript"/>
              </w:rPr>
              <w:t>year</w:t>
            </w:r>
            <w:r w:rsidRPr="0063737D">
              <w:rPr>
                <w:rFonts w:ascii="Calibri" w:hAnsi="Calibri" w:cs="Calibri"/>
                <w:sz w:val="18"/>
                <w:szCs w:val="18"/>
              </w:rPr>
              <w:t>/B</w:t>
            </w:r>
            <w:r w:rsidRPr="0063737D">
              <w:rPr>
                <w:rFonts w:ascii="Calibri" w:hAnsi="Calibri" w:cs="Calibri"/>
                <w:sz w:val="18"/>
                <w:szCs w:val="18"/>
                <w:vertAlign w:val="subscript"/>
              </w:rPr>
              <w:t>MSY</w:t>
            </w:r>
            <w:r w:rsidRPr="0063737D">
              <w:rPr>
                <w:rFonts w:ascii="Calibri" w:hAnsi="Calibri" w:cs="Calibri"/>
                <w:sz w:val="18"/>
                <w:szCs w:val="18"/>
              </w:rPr>
              <w:t>≥ 1)</w:t>
            </w:r>
          </w:p>
        </w:tc>
      </w:tr>
      <w:tr w:rsidR="00BB41F2" w:rsidRPr="0063737D" w14:paraId="4B624C65"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6B8D059D" w14:textId="77777777" w:rsidR="00BB41F2" w:rsidRPr="0063737D" w:rsidRDefault="00BB41F2" w:rsidP="00444A1C">
            <w:pPr>
              <w:keepNext/>
              <w:keepLines/>
              <w:spacing w:after="20"/>
              <w:rPr>
                <w:rFonts w:ascii="Calibri" w:hAnsi="Calibri" w:cs="Calibri"/>
                <w:sz w:val="18"/>
                <w:szCs w:val="18"/>
              </w:rPr>
            </w:pPr>
            <w:r w:rsidRPr="0063737D">
              <w:rPr>
                <w:rFonts w:ascii="Calibri" w:hAnsi="Calibri" w:cs="Calibri"/>
                <w:sz w:val="18"/>
                <w:szCs w:val="18"/>
              </w:rPr>
              <w:t>Stock subject to overfishing (F</w:t>
            </w:r>
            <w:r w:rsidRPr="0063737D">
              <w:rPr>
                <w:rFonts w:ascii="Calibri" w:hAnsi="Calibri" w:cs="Calibri"/>
                <w:sz w:val="18"/>
                <w:szCs w:val="18"/>
                <w:vertAlign w:val="subscript"/>
              </w:rPr>
              <w:t>year</w:t>
            </w:r>
            <w:r w:rsidRPr="0063737D">
              <w:rPr>
                <w:rFonts w:ascii="Calibri" w:hAnsi="Calibri" w:cs="Calibri"/>
                <w:sz w:val="18"/>
                <w:szCs w:val="18"/>
              </w:rPr>
              <w:t>/F</w:t>
            </w:r>
            <w:r w:rsidRPr="0063737D">
              <w:rPr>
                <w:rFonts w:ascii="Calibri" w:hAnsi="Calibri" w:cs="Calibri"/>
                <w:sz w:val="18"/>
                <w:szCs w:val="18"/>
                <w:vertAlign w:val="subscript"/>
              </w:rPr>
              <w:t>MSY</w:t>
            </w:r>
            <w:r w:rsidRPr="0063737D">
              <w:rPr>
                <w:rFonts w:ascii="Calibri" w:hAnsi="Calibri" w:cs="Calibri"/>
                <w:sz w:val="18"/>
                <w:szCs w:val="18"/>
              </w:rPr>
              <w:t>&gt; 1)</w:t>
            </w:r>
          </w:p>
        </w:tc>
        <w:tc>
          <w:tcPr>
            <w:tcW w:w="2761" w:type="dxa"/>
            <w:tcBorders>
              <w:top w:val="single" w:sz="4" w:space="0" w:color="auto"/>
              <w:left w:val="single" w:sz="4" w:space="0" w:color="auto"/>
              <w:bottom w:val="single" w:sz="4" w:space="0" w:color="auto"/>
              <w:right w:val="single" w:sz="4" w:space="0" w:color="auto"/>
            </w:tcBorders>
            <w:shd w:val="clear" w:color="auto" w:fill="FF0000"/>
            <w:vAlign w:val="center"/>
          </w:tcPr>
          <w:p w14:paraId="1C1D3F24" w14:textId="77777777" w:rsidR="00BB41F2" w:rsidRPr="0063737D" w:rsidRDefault="00BB41F2" w:rsidP="00444A1C">
            <w:pPr>
              <w:keepNext/>
              <w:keepLines/>
              <w:jc w:val="center"/>
              <w:rPr>
                <w:rFonts w:ascii="Calibri" w:hAnsi="Calibri" w:cs="Calibri"/>
                <w:sz w:val="18"/>
                <w:szCs w:val="18"/>
              </w:rPr>
            </w:pPr>
            <w:r>
              <w:rPr>
                <w:rFonts w:ascii="Calibri" w:hAnsi="Calibri" w:cs="Calibri"/>
                <w:sz w:val="18"/>
                <w:szCs w:val="18"/>
              </w:rPr>
              <w:t>12.5%</w:t>
            </w:r>
          </w:p>
        </w:tc>
        <w:tc>
          <w:tcPr>
            <w:tcW w:w="2904" w:type="dxa"/>
            <w:tcBorders>
              <w:top w:val="single" w:sz="4" w:space="0" w:color="auto"/>
              <w:left w:val="single" w:sz="4" w:space="0" w:color="auto"/>
              <w:bottom w:val="single" w:sz="4" w:space="0" w:color="auto"/>
              <w:right w:val="single" w:sz="4" w:space="0" w:color="auto"/>
            </w:tcBorders>
            <w:shd w:val="clear" w:color="auto" w:fill="FFC000"/>
            <w:vAlign w:val="center"/>
          </w:tcPr>
          <w:p w14:paraId="290BF928" w14:textId="77777777" w:rsidR="00BB41F2" w:rsidRPr="005B670B" w:rsidRDefault="00BB41F2" w:rsidP="00444A1C">
            <w:pPr>
              <w:keepNext/>
              <w:keepLines/>
              <w:jc w:val="center"/>
              <w:rPr>
                <w:rFonts w:ascii="Calibri" w:hAnsi="Calibri" w:cs="Calibri"/>
                <w:b/>
                <w:bCs/>
                <w:sz w:val="18"/>
                <w:szCs w:val="18"/>
              </w:rPr>
            </w:pPr>
            <w:r w:rsidRPr="005B670B">
              <w:rPr>
                <w:rFonts w:ascii="Calibri" w:hAnsi="Calibri" w:cs="Calibri"/>
                <w:b/>
                <w:bCs/>
                <w:sz w:val="18"/>
                <w:szCs w:val="18"/>
              </w:rPr>
              <w:t>62.2%</w:t>
            </w:r>
          </w:p>
        </w:tc>
      </w:tr>
      <w:tr w:rsidR="00BB41F2" w:rsidRPr="0063737D" w14:paraId="25EBC276"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1519A8DE" w14:textId="77777777" w:rsidR="00BB41F2" w:rsidRPr="0063737D" w:rsidRDefault="00BB41F2" w:rsidP="00444A1C">
            <w:pPr>
              <w:keepNext/>
              <w:keepLines/>
              <w:spacing w:after="20"/>
              <w:rPr>
                <w:rFonts w:ascii="Calibri" w:hAnsi="Calibri" w:cs="Calibri"/>
                <w:sz w:val="18"/>
                <w:szCs w:val="18"/>
              </w:rPr>
            </w:pPr>
            <w:r w:rsidRPr="0063737D">
              <w:rPr>
                <w:rFonts w:ascii="Calibri" w:hAnsi="Calibri" w:cs="Calibri"/>
                <w:sz w:val="18"/>
                <w:szCs w:val="18"/>
              </w:rPr>
              <w:t>Stock not subject to overfishing (F</w:t>
            </w:r>
            <w:r w:rsidRPr="0063737D">
              <w:rPr>
                <w:rFonts w:ascii="Calibri" w:hAnsi="Calibri" w:cs="Calibri"/>
                <w:sz w:val="18"/>
                <w:szCs w:val="18"/>
                <w:vertAlign w:val="subscript"/>
              </w:rPr>
              <w:t>year</w:t>
            </w:r>
            <w:r w:rsidRPr="0063737D">
              <w:rPr>
                <w:rFonts w:ascii="Calibri" w:hAnsi="Calibri" w:cs="Calibri"/>
                <w:sz w:val="18"/>
                <w:szCs w:val="18"/>
              </w:rPr>
              <w:t>/F</w:t>
            </w:r>
            <w:r w:rsidRPr="0063737D">
              <w:rPr>
                <w:rFonts w:ascii="Calibri" w:hAnsi="Calibri" w:cs="Calibri"/>
                <w:sz w:val="18"/>
                <w:szCs w:val="18"/>
                <w:vertAlign w:val="subscript"/>
              </w:rPr>
              <w:t>MSY</w:t>
            </w:r>
            <w:r w:rsidRPr="0063737D">
              <w:rPr>
                <w:rFonts w:ascii="Calibri" w:hAnsi="Calibri" w:cs="Calibri"/>
                <w:sz w:val="18"/>
                <w:szCs w:val="18"/>
              </w:rPr>
              <w:t>≤ 1)</w:t>
            </w:r>
          </w:p>
        </w:tc>
        <w:tc>
          <w:tcPr>
            <w:tcW w:w="2761" w:type="dxa"/>
            <w:tcBorders>
              <w:top w:val="single" w:sz="4" w:space="0" w:color="auto"/>
              <w:left w:val="single" w:sz="4" w:space="0" w:color="auto"/>
              <w:bottom w:val="single" w:sz="4" w:space="0" w:color="auto"/>
              <w:right w:val="single" w:sz="4" w:space="0" w:color="auto"/>
            </w:tcBorders>
            <w:shd w:val="clear" w:color="auto" w:fill="FFFF00"/>
            <w:vAlign w:val="center"/>
          </w:tcPr>
          <w:p w14:paraId="14700EE3" w14:textId="77777777" w:rsidR="00BB41F2" w:rsidRPr="0063737D" w:rsidRDefault="00BB41F2" w:rsidP="00444A1C">
            <w:pPr>
              <w:keepNext/>
              <w:keepLines/>
              <w:jc w:val="center"/>
              <w:rPr>
                <w:rFonts w:ascii="Calibri" w:hAnsi="Calibri" w:cs="Calibri"/>
                <w:sz w:val="18"/>
                <w:szCs w:val="18"/>
              </w:rPr>
            </w:pPr>
            <w:r>
              <w:rPr>
                <w:rFonts w:ascii="Calibri" w:hAnsi="Calibri" w:cs="Calibri"/>
                <w:sz w:val="18"/>
                <w:szCs w:val="18"/>
              </w:rPr>
              <w:t>0</w:t>
            </w:r>
          </w:p>
        </w:tc>
        <w:tc>
          <w:tcPr>
            <w:tcW w:w="2904" w:type="dxa"/>
            <w:tcBorders>
              <w:top w:val="single" w:sz="4" w:space="0" w:color="auto"/>
              <w:left w:val="single" w:sz="4" w:space="0" w:color="auto"/>
              <w:bottom w:val="single" w:sz="4" w:space="0" w:color="auto"/>
              <w:right w:val="single" w:sz="4" w:space="0" w:color="auto"/>
            </w:tcBorders>
            <w:shd w:val="clear" w:color="auto" w:fill="92D050"/>
            <w:vAlign w:val="center"/>
          </w:tcPr>
          <w:p w14:paraId="29F7E3D2" w14:textId="77777777" w:rsidR="00BB41F2" w:rsidRPr="0063737D" w:rsidRDefault="00BB41F2" w:rsidP="00444A1C">
            <w:pPr>
              <w:keepNext/>
              <w:keepLines/>
              <w:jc w:val="center"/>
              <w:rPr>
                <w:rFonts w:ascii="Calibri" w:hAnsi="Calibri" w:cs="Calibri"/>
                <w:sz w:val="18"/>
                <w:szCs w:val="18"/>
              </w:rPr>
            </w:pPr>
            <w:r>
              <w:rPr>
                <w:rFonts w:ascii="Calibri" w:hAnsi="Calibri" w:cs="Calibri"/>
                <w:sz w:val="18"/>
                <w:szCs w:val="18"/>
              </w:rPr>
              <w:t>25.3%</w:t>
            </w:r>
          </w:p>
        </w:tc>
      </w:tr>
      <w:tr w:rsidR="00BB41F2" w:rsidRPr="0063737D" w14:paraId="75950F32"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608FF42B" w14:textId="77777777" w:rsidR="00BB41F2" w:rsidRPr="0063737D" w:rsidRDefault="00BB41F2" w:rsidP="00444A1C">
            <w:pPr>
              <w:keepNext/>
              <w:keepLines/>
              <w:spacing w:after="20"/>
              <w:rPr>
                <w:rFonts w:ascii="Calibri" w:hAnsi="Calibri" w:cs="Calibri"/>
                <w:sz w:val="18"/>
                <w:szCs w:val="18"/>
              </w:rPr>
            </w:pPr>
            <w:r w:rsidRPr="0063737D">
              <w:rPr>
                <w:rFonts w:ascii="Calibri" w:hAnsi="Calibri" w:cs="Calibri"/>
                <w:sz w:val="18"/>
                <w:szCs w:val="18"/>
              </w:rPr>
              <w:t>Not assessed/Uncertain</w:t>
            </w:r>
            <w:r>
              <w:rPr>
                <w:rFonts w:ascii="Calibri" w:hAnsi="Calibri" w:cs="Calibri"/>
                <w:sz w:val="18"/>
                <w:szCs w:val="18"/>
              </w:rPr>
              <w:t>/Unknown</w:t>
            </w:r>
          </w:p>
        </w:tc>
        <w:tc>
          <w:tcPr>
            <w:tcW w:w="566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0D970485" w14:textId="77777777" w:rsidR="00BB41F2" w:rsidRPr="0063737D" w:rsidRDefault="00BB41F2" w:rsidP="00444A1C">
            <w:pPr>
              <w:keepNext/>
              <w:keepLines/>
              <w:jc w:val="center"/>
              <w:rPr>
                <w:rFonts w:ascii="Calibri" w:hAnsi="Calibri" w:cs="Calibri"/>
                <w:sz w:val="18"/>
                <w:szCs w:val="18"/>
              </w:rPr>
            </w:pPr>
          </w:p>
        </w:tc>
      </w:tr>
    </w:tbl>
    <w:p w14:paraId="7274E9CC" w14:textId="77777777" w:rsidR="00BB41F2" w:rsidRPr="0063737D" w:rsidRDefault="00BB41F2" w:rsidP="00BB41F2">
      <w:pPr>
        <w:spacing w:before="240" w:after="240"/>
        <w:rPr>
          <w:rFonts w:ascii="Calibri" w:hAnsi="Calibri" w:cs="Calibri"/>
          <w:b/>
          <w:smallCaps/>
        </w:rPr>
      </w:pPr>
      <w:r w:rsidRPr="0063737D">
        <w:rPr>
          <w:rFonts w:ascii="Calibri" w:hAnsi="Calibri" w:cs="Calibri"/>
          <w:b/>
          <w:smallCaps/>
        </w:rPr>
        <w:t>Indian Ocean stock – Management Advice</w:t>
      </w:r>
    </w:p>
    <w:p w14:paraId="0A3A2209" w14:textId="098CC304" w:rsidR="00BB41F2" w:rsidRPr="0063737D" w:rsidRDefault="00BB41F2" w:rsidP="00BB41F2">
      <w:pPr>
        <w:tabs>
          <w:tab w:val="left" w:pos="5166"/>
        </w:tabs>
        <w:autoSpaceDE w:val="0"/>
        <w:autoSpaceDN w:val="0"/>
        <w:adjustRightInd w:val="0"/>
        <w:jc w:val="both"/>
        <w:rPr>
          <w:rFonts w:ascii="Calibri" w:hAnsi="Calibri" w:cs="Calibri"/>
          <w:bCs/>
          <w:lang w:val="en-US" w:eastAsia="en-US"/>
        </w:rPr>
      </w:pPr>
      <w:r w:rsidRPr="0063737D">
        <w:rPr>
          <w:rFonts w:ascii="Calibri" w:hAnsi="Calibri" w:cs="Calibri"/>
          <w:b/>
          <w:bCs/>
          <w:i/>
          <w:color w:val="000000"/>
          <w:lang w:val="en-AU" w:eastAsia="en-US"/>
        </w:rPr>
        <w:t>Stock status.</w:t>
      </w:r>
      <w:r w:rsidRPr="0063737D">
        <w:rPr>
          <w:rFonts w:ascii="Calibri" w:hAnsi="Calibri" w:cs="Calibri"/>
          <w:color w:val="000000"/>
          <w:sz w:val="24"/>
          <w:szCs w:val="24"/>
          <w:lang w:val="en-US" w:eastAsia="en-US"/>
        </w:rPr>
        <w:t xml:space="preserve"> </w:t>
      </w:r>
      <w:r w:rsidR="00975902" w:rsidRPr="008F7D8C">
        <w:rPr>
          <w:rFonts w:ascii="Calibri" w:hAnsi="Calibri" w:cs="Calibri"/>
          <w:szCs w:val="40"/>
          <w:lang w:val="en-US"/>
        </w:rPr>
        <w:t>No new stock assessment was carried out for black marlin in 2025, thus, the stock status estimates are based on the stock assessment in 2024 using JABBA, a Bayesian state-space production model (using data up to 2022)</w:t>
      </w:r>
      <w:r w:rsidRPr="0063737D">
        <w:rPr>
          <w:rFonts w:ascii="Calibri" w:hAnsi="Calibri" w:cs="Calibri"/>
          <w:szCs w:val="40"/>
        </w:rPr>
        <w:t>. The relative point estimates for this assessment are F/FMSY=</w:t>
      </w:r>
      <w:r>
        <w:rPr>
          <w:rFonts w:ascii="Calibri" w:hAnsi="Calibri" w:cs="Calibri"/>
          <w:szCs w:val="40"/>
        </w:rPr>
        <w:t>1</w:t>
      </w:r>
      <w:r w:rsidRPr="0063737D">
        <w:rPr>
          <w:rFonts w:ascii="Calibri" w:hAnsi="Calibri" w:cs="Calibri"/>
          <w:szCs w:val="40"/>
        </w:rPr>
        <w:t>.</w:t>
      </w:r>
      <w:r>
        <w:rPr>
          <w:rFonts w:ascii="Calibri" w:hAnsi="Calibri" w:cs="Calibri"/>
          <w:szCs w:val="40"/>
        </w:rPr>
        <w:t>39</w:t>
      </w:r>
      <w:r w:rsidRPr="0063737D">
        <w:rPr>
          <w:rFonts w:ascii="Calibri" w:hAnsi="Calibri" w:cs="Calibri"/>
          <w:szCs w:val="40"/>
        </w:rPr>
        <w:t xml:space="preserve"> (0.</w:t>
      </w:r>
      <w:r>
        <w:rPr>
          <w:rFonts w:ascii="Calibri" w:hAnsi="Calibri" w:cs="Calibri"/>
          <w:szCs w:val="40"/>
        </w:rPr>
        <w:t>7</w:t>
      </w:r>
      <w:r w:rsidRPr="0063737D">
        <w:rPr>
          <w:rFonts w:ascii="Calibri" w:hAnsi="Calibri" w:cs="Calibri"/>
          <w:szCs w:val="40"/>
        </w:rPr>
        <w:t>2-</w:t>
      </w:r>
      <w:r>
        <w:rPr>
          <w:rFonts w:ascii="Calibri" w:hAnsi="Calibri" w:cs="Calibri"/>
          <w:szCs w:val="40"/>
        </w:rPr>
        <w:t>2</w:t>
      </w:r>
      <w:r w:rsidRPr="0063737D">
        <w:rPr>
          <w:rFonts w:ascii="Calibri" w:hAnsi="Calibri" w:cs="Calibri"/>
          <w:szCs w:val="40"/>
        </w:rPr>
        <w:t>.</w:t>
      </w:r>
      <w:r>
        <w:rPr>
          <w:rFonts w:ascii="Calibri" w:hAnsi="Calibri" w:cs="Calibri"/>
          <w:szCs w:val="40"/>
        </w:rPr>
        <w:t>45</w:t>
      </w:r>
      <w:r w:rsidRPr="0063737D">
        <w:rPr>
          <w:rFonts w:ascii="Calibri" w:hAnsi="Calibri" w:cs="Calibri"/>
          <w:szCs w:val="40"/>
        </w:rPr>
        <w:t>) and B/BMSY=1.</w:t>
      </w:r>
      <w:r>
        <w:rPr>
          <w:rFonts w:ascii="Calibri" w:hAnsi="Calibri" w:cs="Calibri"/>
          <w:szCs w:val="40"/>
        </w:rPr>
        <w:t>35</w:t>
      </w:r>
      <w:r w:rsidRPr="0063737D">
        <w:rPr>
          <w:rFonts w:ascii="Calibri" w:hAnsi="Calibri" w:cs="Calibri"/>
          <w:szCs w:val="40"/>
        </w:rPr>
        <w:t xml:space="preserve"> (</w:t>
      </w:r>
      <w:r>
        <w:rPr>
          <w:rFonts w:ascii="Calibri" w:hAnsi="Calibri" w:cs="Calibri"/>
          <w:szCs w:val="40"/>
        </w:rPr>
        <w:t>0.96</w:t>
      </w:r>
      <w:r w:rsidRPr="0063737D" w:rsidDel="00C35048">
        <w:rPr>
          <w:rFonts w:ascii="Calibri" w:hAnsi="Calibri" w:cs="Calibri"/>
          <w:szCs w:val="40"/>
        </w:rPr>
        <w:t xml:space="preserve"> </w:t>
      </w:r>
      <w:r w:rsidRPr="0063737D">
        <w:rPr>
          <w:rFonts w:ascii="Calibri" w:hAnsi="Calibri" w:cs="Calibri"/>
          <w:szCs w:val="40"/>
        </w:rPr>
        <w:t>-</w:t>
      </w:r>
      <w:r>
        <w:rPr>
          <w:rFonts w:ascii="Calibri" w:hAnsi="Calibri" w:cs="Calibri"/>
          <w:szCs w:val="40"/>
        </w:rPr>
        <w:t>1</w:t>
      </w:r>
      <w:r w:rsidRPr="0063737D">
        <w:rPr>
          <w:rFonts w:ascii="Calibri" w:hAnsi="Calibri" w:cs="Calibri"/>
          <w:szCs w:val="40"/>
        </w:rPr>
        <w:t>.</w:t>
      </w:r>
      <w:r>
        <w:rPr>
          <w:rFonts w:ascii="Calibri" w:hAnsi="Calibri" w:cs="Calibri"/>
          <w:szCs w:val="40"/>
        </w:rPr>
        <w:t>79</w:t>
      </w:r>
      <w:r w:rsidRPr="0063737D">
        <w:rPr>
          <w:rFonts w:ascii="Calibri" w:hAnsi="Calibri" w:cs="Calibri"/>
          <w:szCs w:val="40"/>
        </w:rPr>
        <w:t>). The Kobe plot indicated that the stock is currently not overfished</w:t>
      </w:r>
      <w:r>
        <w:rPr>
          <w:rFonts w:ascii="Calibri" w:hAnsi="Calibri" w:cs="Calibri"/>
          <w:szCs w:val="40"/>
        </w:rPr>
        <w:t xml:space="preserve"> but is subject overfishing </w:t>
      </w:r>
      <w:r w:rsidRPr="0063737D">
        <w:rPr>
          <w:rFonts w:ascii="Calibri" w:hAnsi="Calibri" w:cs="Calibri"/>
          <w:szCs w:val="40"/>
        </w:rPr>
        <w:t xml:space="preserve">(Table 1; Fig. 3). </w:t>
      </w:r>
      <w:r w:rsidRPr="00470944">
        <w:rPr>
          <w:rFonts w:ascii="Calibri" w:hAnsi="Calibri" w:cs="Calibri"/>
          <w:szCs w:val="40"/>
        </w:rPr>
        <w:t xml:space="preserve">In 2022, the catch of </w:t>
      </w:r>
      <w:r>
        <w:rPr>
          <w:rFonts w:ascii="Calibri" w:hAnsi="Calibri" w:cs="Calibri"/>
          <w:szCs w:val="40"/>
        </w:rPr>
        <w:t>black marlin</w:t>
      </w:r>
      <w:r w:rsidRPr="00470944">
        <w:rPr>
          <w:rFonts w:ascii="Calibri" w:hAnsi="Calibri" w:cs="Calibri"/>
          <w:szCs w:val="40"/>
        </w:rPr>
        <w:t xml:space="preserve"> surged to 26,320 tons. Until </w:t>
      </w:r>
      <w:r>
        <w:rPr>
          <w:rFonts w:ascii="Calibri" w:hAnsi="Calibri" w:cs="Calibri"/>
          <w:szCs w:val="40"/>
        </w:rPr>
        <w:t>2024</w:t>
      </w:r>
      <w:r w:rsidRPr="00470944">
        <w:rPr>
          <w:rFonts w:ascii="Calibri" w:hAnsi="Calibri" w:cs="Calibri"/>
          <w:szCs w:val="40"/>
        </w:rPr>
        <w:t xml:space="preserve">, fish stock status </w:t>
      </w:r>
      <w:r>
        <w:rPr>
          <w:rFonts w:ascii="Calibri" w:hAnsi="Calibri" w:cs="Calibri"/>
          <w:szCs w:val="40"/>
        </w:rPr>
        <w:t xml:space="preserve">was characterised as “uncertain” </w:t>
      </w:r>
      <w:r w:rsidRPr="00470944">
        <w:rPr>
          <w:rFonts w:ascii="Calibri" w:hAnsi="Calibri" w:cs="Calibri"/>
          <w:szCs w:val="40"/>
        </w:rPr>
        <w:t xml:space="preserve">due to significant uncertainties in past </w:t>
      </w:r>
      <w:r>
        <w:rPr>
          <w:rFonts w:ascii="Calibri" w:hAnsi="Calibri" w:cs="Calibri"/>
          <w:szCs w:val="40"/>
        </w:rPr>
        <w:t>assessments</w:t>
      </w:r>
      <w:r w:rsidRPr="00470944">
        <w:rPr>
          <w:rFonts w:ascii="Calibri" w:hAnsi="Calibri" w:cs="Calibri"/>
          <w:szCs w:val="40"/>
        </w:rPr>
        <w:t xml:space="preserve"> (like those from 2018 and 2021). These uncertainties </w:t>
      </w:r>
      <w:r>
        <w:rPr>
          <w:rFonts w:ascii="Calibri" w:hAnsi="Calibri" w:cs="Calibri"/>
          <w:szCs w:val="40"/>
        </w:rPr>
        <w:t>were attributed to</w:t>
      </w:r>
      <w:r w:rsidRPr="00470944">
        <w:rPr>
          <w:rFonts w:ascii="Calibri" w:hAnsi="Calibri" w:cs="Calibri"/>
          <w:szCs w:val="40"/>
        </w:rPr>
        <w:t xml:space="preserve"> both </w:t>
      </w:r>
      <w:r>
        <w:rPr>
          <w:rFonts w:ascii="Calibri" w:hAnsi="Calibri" w:cs="Calibri"/>
          <w:szCs w:val="40"/>
        </w:rPr>
        <w:t xml:space="preserve">historical </w:t>
      </w:r>
      <w:r w:rsidRPr="00470944">
        <w:rPr>
          <w:rFonts w:ascii="Calibri" w:hAnsi="Calibri" w:cs="Calibri"/>
          <w:szCs w:val="40"/>
        </w:rPr>
        <w:t xml:space="preserve">catch </w:t>
      </w:r>
      <w:r>
        <w:rPr>
          <w:rFonts w:ascii="Calibri" w:hAnsi="Calibri" w:cs="Calibri"/>
          <w:szCs w:val="40"/>
        </w:rPr>
        <w:t>reporting from key fishing state</w:t>
      </w:r>
      <w:r w:rsidRPr="00470944">
        <w:rPr>
          <w:rFonts w:ascii="Calibri" w:hAnsi="Calibri" w:cs="Calibri"/>
          <w:szCs w:val="40"/>
        </w:rPr>
        <w:t xml:space="preserve"> and </w:t>
      </w:r>
      <w:r>
        <w:rPr>
          <w:rFonts w:ascii="Calibri" w:hAnsi="Calibri" w:cs="Calibri"/>
          <w:szCs w:val="40"/>
        </w:rPr>
        <w:t>poor</w:t>
      </w:r>
      <w:r w:rsidRPr="00470944">
        <w:rPr>
          <w:rFonts w:ascii="Calibri" w:hAnsi="Calibri" w:cs="Calibri"/>
          <w:szCs w:val="40"/>
        </w:rPr>
        <w:t xml:space="preserve"> assessment </w:t>
      </w:r>
      <w:r>
        <w:rPr>
          <w:rFonts w:ascii="Calibri" w:hAnsi="Calibri" w:cs="Calibri"/>
          <w:szCs w:val="40"/>
        </w:rPr>
        <w:t>diagnostics</w:t>
      </w:r>
      <w:r w:rsidRPr="00470944">
        <w:rPr>
          <w:rFonts w:ascii="Calibri" w:hAnsi="Calibri" w:cs="Calibri"/>
          <w:szCs w:val="40"/>
        </w:rPr>
        <w:t>. However, there's been progress recently with black marlin catch data,</w:t>
      </w:r>
      <w:r>
        <w:rPr>
          <w:rFonts w:ascii="Calibri" w:hAnsi="Calibri" w:cs="Calibri"/>
          <w:szCs w:val="40"/>
        </w:rPr>
        <w:t xml:space="preserve"> particularly from coastal countries in the northern Indian Ocean,</w:t>
      </w:r>
      <w:r w:rsidRPr="00470944">
        <w:rPr>
          <w:rFonts w:ascii="Calibri" w:hAnsi="Calibri" w:cs="Calibri"/>
          <w:szCs w:val="40"/>
        </w:rPr>
        <w:t xml:space="preserve"> and the latest JABBA assessment shows it's now more reliable</w:t>
      </w:r>
      <w:r>
        <w:rPr>
          <w:rFonts w:ascii="Calibri" w:hAnsi="Calibri" w:cs="Calibri"/>
          <w:szCs w:val="40"/>
        </w:rPr>
        <w:t xml:space="preserve"> (with improved model fitting to the abundance indices and acceptable level of retrospective patterns). The assessment relied on CPUE indices from longline fisheries in which the black marlin is a bycatch species. </w:t>
      </w:r>
      <w:r w:rsidRPr="003247AB">
        <w:rPr>
          <w:rFonts w:ascii="Calibri" w:hAnsi="Calibri" w:cs="Calibri"/>
          <w:szCs w:val="40"/>
        </w:rPr>
        <w:t xml:space="preserve">On the weight-of-evidence available in 2024, the stock status of </w:t>
      </w:r>
      <w:r>
        <w:rPr>
          <w:rFonts w:ascii="Calibri" w:hAnsi="Calibri" w:cs="Calibri"/>
          <w:szCs w:val="40"/>
        </w:rPr>
        <w:t>black</w:t>
      </w:r>
      <w:r w:rsidRPr="003247AB">
        <w:rPr>
          <w:rFonts w:ascii="Calibri" w:hAnsi="Calibri" w:cs="Calibri"/>
          <w:szCs w:val="40"/>
        </w:rPr>
        <w:t xml:space="preserve"> marlin is determined to be</w:t>
      </w:r>
      <w:r>
        <w:rPr>
          <w:rFonts w:ascii="Calibri" w:hAnsi="Calibri" w:cs="Calibri"/>
          <w:szCs w:val="40"/>
        </w:rPr>
        <w:t xml:space="preserve"> not</w:t>
      </w:r>
      <w:r w:rsidRPr="003247AB">
        <w:rPr>
          <w:rFonts w:ascii="Calibri" w:hAnsi="Calibri" w:cs="Calibri"/>
          <w:szCs w:val="40"/>
        </w:rPr>
        <w:t xml:space="preserve"> overfished </w:t>
      </w:r>
      <w:r>
        <w:rPr>
          <w:rFonts w:ascii="Calibri" w:hAnsi="Calibri" w:cs="Calibri"/>
          <w:szCs w:val="40"/>
        </w:rPr>
        <w:t>but</w:t>
      </w:r>
      <w:r w:rsidRPr="003247AB">
        <w:rPr>
          <w:rFonts w:ascii="Calibri" w:hAnsi="Calibri" w:cs="Calibri"/>
          <w:szCs w:val="40"/>
        </w:rPr>
        <w:t xml:space="preserve"> subject to overfishing (Table 1; Fig. 3).</w:t>
      </w:r>
    </w:p>
    <w:p w14:paraId="73386E89" w14:textId="77777777" w:rsidR="00BB41F2" w:rsidRPr="0063737D" w:rsidRDefault="00BB41F2" w:rsidP="00BB41F2">
      <w:pPr>
        <w:spacing w:before="100" w:beforeAutospacing="1" w:after="100" w:afterAutospacing="1"/>
        <w:jc w:val="both"/>
        <w:rPr>
          <w:rFonts w:ascii="Calibri" w:hAnsi="Calibri" w:cs="Calibri"/>
          <w:szCs w:val="40"/>
        </w:rPr>
      </w:pPr>
      <w:r w:rsidRPr="0063737D">
        <w:rPr>
          <w:rFonts w:ascii="Calibri" w:hAnsi="Calibri" w:cs="Calibri"/>
          <w:b/>
          <w:i/>
          <w:snapToGrid w:val="0"/>
          <w:szCs w:val="20"/>
        </w:rPr>
        <w:t xml:space="preserve">Outlook. </w:t>
      </w:r>
      <w:r w:rsidRPr="0063737D">
        <w:rPr>
          <w:rFonts w:ascii="Calibri" w:hAnsi="Calibri" w:cs="Calibri"/>
          <w:szCs w:val="40"/>
        </w:rPr>
        <w:t xml:space="preserve">While the recent high catches seem to be mainly due to developing coastal fisheries operating in the core habitat of the species (mainly IR.Iran, India and Sri Lanka), the CPUE indicators are from industrial fleets </w:t>
      </w:r>
      <w:r>
        <w:rPr>
          <w:rFonts w:ascii="Calibri" w:hAnsi="Calibri" w:cs="Calibri"/>
          <w:szCs w:val="40"/>
        </w:rPr>
        <w:t xml:space="preserve">with lower catches of black marlin </w:t>
      </w:r>
      <w:r w:rsidRPr="0063737D">
        <w:rPr>
          <w:rFonts w:ascii="Calibri" w:hAnsi="Calibri" w:cs="Calibri"/>
          <w:szCs w:val="40"/>
        </w:rPr>
        <w:t xml:space="preserve">operating mostly offshore. </w:t>
      </w:r>
      <w:r>
        <w:rPr>
          <w:rFonts w:ascii="Calibri" w:hAnsi="Calibri" w:cs="Calibri"/>
          <w:szCs w:val="40"/>
        </w:rPr>
        <w:t xml:space="preserve">There has been a substantial increase of catches of black marlin </w:t>
      </w:r>
      <w:r>
        <w:rPr>
          <w:rFonts w:ascii="Calibri" w:hAnsi="Calibri" w:cs="Calibri"/>
          <w:szCs w:val="40"/>
        </w:rPr>
        <w:lastRenderedPageBreak/>
        <w:t xml:space="preserve">from coastal countries. </w:t>
      </w:r>
      <w:r w:rsidRPr="0063737D">
        <w:rPr>
          <w:rFonts w:ascii="Calibri" w:hAnsi="Calibri" w:cs="Calibri"/>
          <w:szCs w:val="40"/>
        </w:rPr>
        <w:t xml:space="preserve"> The outlook is likely to remain uncertain in the absence of CPUE indices from gillnet and coastal longline fleets to inform stock assessment models. Moreover, catches remain substantially higher than the limits stipulated in Res 18/05 and are a cause for concern as this will likely continue to drive the population towards overfished status.</w:t>
      </w:r>
    </w:p>
    <w:p w14:paraId="56F5719C" w14:textId="77777777" w:rsidR="00BB41F2" w:rsidRPr="00A26537" w:rsidRDefault="00BB41F2" w:rsidP="00BB41F2">
      <w:pPr>
        <w:spacing w:after="140"/>
        <w:jc w:val="both"/>
        <w:rPr>
          <w:rFonts w:ascii="Calibri" w:hAnsi="Calibri" w:cs="Calibri"/>
          <w:sz w:val="20"/>
        </w:rPr>
      </w:pPr>
      <w:r w:rsidRPr="00A26537">
        <w:rPr>
          <w:rFonts w:ascii="Calibri" w:hAnsi="Calibri" w:cs="Calibri"/>
          <w:b/>
          <w:bCs/>
          <w:i/>
          <w:szCs w:val="20"/>
          <w:lang w:eastAsia="es-ES"/>
        </w:rPr>
        <w:t xml:space="preserve">Management advice. </w:t>
      </w:r>
      <w:r w:rsidRPr="00A26537">
        <w:rPr>
          <w:rFonts w:ascii="Calibri" w:hAnsi="Calibri" w:cs="Calibri"/>
          <w:lang w:eastAsia="es-ES"/>
        </w:rPr>
        <w:t xml:space="preserve">The catch limits (9932 t) as stipulated in Resolution 18/05 have been exceeded for three consecutive years since 2020, which as per resolution 18/05, requires a review of the resolution. Furthermore, these limits are not based on estimates of most recent stock assessment. Thus, it is recommended that the Commission urgently revise 18/05 to incorporate limits that reflect the most recent stock assessment and projections and review and where necessary revise the implementation and effectiveness of the measures contained in this Resolution. </w:t>
      </w:r>
      <w:r w:rsidRPr="00A26537">
        <w:rPr>
          <w:rFonts w:ascii="Calibri" w:hAnsi="Calibri" w:cs="Calibri"/>
        </w:rPr>
        <w:t xml:space="preserve">The stock is now subject to overfishing. If the Commission wishes to recover the stock to the green quadrant of the Kobe plot with a probability ranging from 60% to 90% by 2026 as per Resolution 18/05, it needs to provide mechanisms to ensure the maximum annual catches remain less than </w:t>
      </w:r>
      <w:r w:rsidRPr="00A26537">
        <w:rPr>
          <w:rFonts w:ascii="Calibri" w:hAnsi="Calibri" w:cs="Calibri"/>
          <w:color w:val="000000"/>
          <w:sz w:val="20"/>
          <w:szCs w:val="20"/>
        </w:rPr>
        <w:t xml:space="preserve">10 626 </w:t>
      </w:r>
      <w:r w:rsidRPr="00A26537">
        <w:rPr>
          <w:rFonts w:ascii="Calibri" w:hAnsi="Calibri" w:cs="Calibri"/>
        </w:rPr>
        <w:t>t (</w:t>
      </w:r>
      <w:r w:rsidRPr="00A26537">
        <w:rPr>
          <w:rFonts w:ascii="Calibri" w:hAnsi="Calibri" w:cs="Calibri"/>
          <w:b/>
          <w:bCs/>
        </w:rPr>
        <w:t>Table 3</w:t>
      </w:r>
      <w:r w:rsidRPr="00A26537">
        <w:rPr>
          <w:rFonts w:ascii="Calibri" w:hAnsi="Calibri" w:cs="Calibri"/>
        </w:rPr>
        <w:t>)</w:t>
      </w:r>
      <w:r w:rsidRPr="00A26537">
        <w:rPr>
          <w:rFonts w:ascii="Calibri" w:hAnsi="Calibri" w:cs="Calibri"/>
          <w:bCs/>
        </w:rPr>
        <w:t>.</w:t>
      </w:r>
    </w:p>
    <w:p w14:paraId="2114409F" w14:textId="77777777" w:rsidR="00BB41F2" w:rsidRPr="0063737D" w:rsidRDefault="00BB41F2" w:rsidP="00BB41F2">
      <w:pPr>
        <w:spacing w:before="278" w:after="278"/>
        <w:jc w:val="both"/>
        <w:rPr>
          <w:rFonts w:ascii="Calibri" w:hAnsi="Calibri" w:cs="Calibri"/>
          <w:lang w:eastAsia="es-ES"/>
        </w:rPr>
      </w:pPr>
      <w:r w:rsidRPr="0063737D">
        <w:rPr>
          <w:rFonts w:ascii="Calibri" w:hAnsi="Calibri" w:cs="Calibri"/>
          <w:lang w:eastAsia="es-ES"/>
        </w:rPr>
        <w:t>.</w:t>
      </w:r>
    </w:p>
    <w:p w14:paraId="20FFCA29" w14:textId="77777777" w:rsidR="00BB41F2" w:rsidRPr="0063737D" w:rsidRDefault="00BB41F2" w:rsidP="00BB41F2">
      <w:pPr>
        <w:spacing w:before="120"/>
        <w:jc w:val="both"/>
        <w:rPr>
          <w:rFonts w:ascii="Calibri" w:hAnsi="Calibri" w:cs="Calibri"/>
          <w:snapToGrid w:val="0"/>
          <w:szCs w:val="20"/>
        </w:rPr>
      </w:pPr>
      <w:r w:rsidRPr="0063737D">
        <w:rPr>
          <w:rFonts w:ascii="Calibri" w:hAnsi="Calibri" w:cs="Calibri"/>
          <w:snapToGrid w:val="0"/>
          <w:szCs w:val="20"/>
        </w:rPr>
        <w:t>The following key points should be noted:</w:t>
      </w:r>
    </w:p>
    <w:p w14:paraId="0FFB5BCB" w14:textId="77777777" w:rsidR="00BB41F2" w:rsidRPr="0063737D" w:rsidRDefault="00BB41F2" w:rsidP="00BB41F2">
      <w:pPr>
        <w:numPr>
          <w:ilvl w:val="0"/>
          <w:numId w:val="13"/>
        </w:numPr>
        <w:ind w:left="1080" w:right="432" w:hanging="374"/>
        <w:jc w:val="both"/>
        <w:rPr>
          <w:rFonts w:ascii="Calibri" w:hAnsi="Calibri" w:cs="Calibri"/>
          <w:snapToGrid w:val="0"/>
          <w:szCs w:val="20"/>
        </w:rPr>
      </w:pPr>
      <w:r w:rsidRPr="0063737D">
        <w:rPr>
          <w:rFonts w:ascii="Calibri" w:hAnsi="Calibri" w:cs="Calibri"/>
          <w:b/>
          <w:szCs w:val="20"/>
        </w:rPr>
        <w:t>Maximum Sustainable Yield (MSY)</w:t>
      </w:r>
      <w:r w:rsidRPr="0063737D">
        <w:rPr>
          <w:rFonts w:ascii="Calibri" w:hAnsi="Calibri" w:cs="Calibri"/>
          <w:szCs w:val="20"/>
        </w:rPr>
        <w:t>: estimate for the whole Indian Ocean is 1</w:t>
      </w:r>
      <w:r>
        <w:rPr>
          <w:rFonts w:ascii="Calibri" w:hAnsi="Calibri" w:cs="Calibri"/>
          <w:szCs w:val="20"/>
        </w:rPr>
        <w:t>3</w:t>
      </w:r>
      <w:r w:rsidRPr="0063737D">
        <w:rPr>
          <w:rFonts w:ascii="Calibri" w:hAnsi="Calibri" w:cs="Calibri"/>
          <w:szCs w:val="20"/>
        </w:rPr>
        <w:t>,</w:t>
      </w:r>
      <w:r>
        <w:rPr>
          <w:rFonts w:ascii="Calibri" w:hAnsi="Calibri" w:cs="Calibri"/>
          <w:szCs w:val="20"/>
        </w:rPr>
        <w:t>9</w:t>
      </w:r>
      <w:r w:rsidRPr="0063737D">
        <w:rPr>
          <w:rFonts w:ascii="Calibri" w:hAnsi="Calibri" w:cs="Calibri"/>
          <w:szCs w:val="20"/>
        </w:rPr>
        <w:t>00 t.</w:t>
      </w:r>
    </w:p>
    <w:p w14:paraId="38FD2681" w14:textId="77777777" w:rsidR="00BB41F2" w:rsidRPr="0063737D" w:rsidRDefault="00BB41F2" w:rsidP="00BB41F2">
      <w:pPr>
        <w:numPr>
          <w:ilvl w:val="0"/>
          <w:numId w:val="13"/>
        </w:numPr>
        <w:ind w:left="1080" w:right="432" w:hanging="374"/>
        <w:jc w:val="both"/>
        <w:rPr>
          <w:rFonts w:ascii="Calibri" w:hAnsi="Calibri" w:cs="Calibri"/>
          <w:szCs w:val="24"/>
        </w:rPr>
      </w:pPr>
      <w:r w:rsidRPr="0063737D">
        <w:rPr>
          <w:rFonts w:ascii="Calibri" w:hAnsi="Calibri" w:cs="Calibri"/>
          <w:b/>
          <w:snapToGrid w:val="0"/>
        </w:rPr>
        <w:t>Provisional reference points</w:t>
      </w:r>
      <w:r w:rsidRPr="0063737D">
        <w:rPr>
          <w:rFonts w:ascii="Calibri" w:hAnsi="Calibri" w:cs="Calibri"/>
          <w:snapToGrid w:val="0"/>
        </w:rPr>
        <w:t xml:space="preserve">: Although the Commission adopted reference points for swordfish in </w:t>
      </w:r>
      <w:hyperlink r:id="rId77" w:history="1">
        <w:r w:rsidRPr="0063737D">
          <w:rPr>
            <w:rFonts w:ascii="Calibri" w:hAnsi="Calibri" w:cs="Calibri"/>
            <w:snapToGrid w:val="0"/>
            <w:color w:val="0000FF"/>
            <w:u w:val="single"/>
          </w:rPr>
          <w:t>Resolution 15/10</w:t>
        </w:r>
      </w:hyperlink>
      <w:r w:rsidRPr="0063737D">
        <w:rPr>
          <w:rFonts w:ascii="Calibri" w:hAnsi="Calibri" w:cs="Calibri"/>
          <w:snapToGrid w:val="0"/>
        </w:rPr>
        <w:t xml:space="preserve"> </w:t>
      </w:r>
      <w:r w:rsidRPr="0063737D">
        <w:rPr>
          <w:rFonts w:ascii="Calibri" w:hAnsi="Calibri" w:cs="Calibri"/>
          <w:i/>
          <w:snapToGrid w:val="0"/>
        </w:rPr>
        <w:t>on target and limit reference points and a decision framework</w:t>
      </w:r>
      <w:r w:rsidRPr="0063737D">
        <w:rPr>
          <w:rFonts w:ascii="Calibri" w:hAnsi="Calibri" w:cs="Calibri"/>
          <w:snapToGrid w:val="0"/>
        </w:rPr>
        <w:t>, no such interim reference points nor harvest control rules have been established for black marlin.</w:t>
      </w:r>
    </w:p>
    <w:p w14:paraId="62BAFFB3" w14:textId="77777777" w:rsidR="00BB41F2" w:rsidRPr="0063737D" w:rsidRDefault="00BB41F2" w:rsidP="00BB41F2">
      <w:pPr>
        <w:numPr>
          <w:ilvl w:val="0"/>
          <w:numId w:val="13"/>
        </w:numPr>
        <w:ind w:left="1080" w:right="432" w:hanging="374"/>
        <w:jc w:val="both"/>
        <w:rPr>
          <w:rFonts w:ascii="Calibri" w:hAnsi="Calibri" w:cs="Calibri"/>
          <w:szCs w:val="24"/>
        </w:rPr>
      </w:pPr>
      <w:r w:rsidRPr="0063737D">
        <w:rPr>
          <w:rFonts w:ascii="Calibri" w:hAnsi="Calibri" w:cs="Calibri"/>
          <w:b/>
          <w:szCs w:val="20"/>
        </w:rPr>
        <w:t>Main</w:t>
      </w:r>
      <w:r w:rsidRPr="0063737D">
        <w:rPr>
          <w:rFonts w:ascii="Calibri" w:hAnsi="Calibri" w:cs="Calibri"/>
          <w:b/>
          <w:szCs w:val="24"/>
        </w:rPr>
        <w:t xml:space="preserve"> fisheries</w:t>
      </w:r>
      <w:r w:rsidRPr="0063737D">
        <w:rPr>
          <w:rFonts w:ascii="Calibri" w:hAnsi="Calibri" w:cs="Calibri"/>
          <w:szCs w:val="24"/>
        </w:rPr>
        <w:t xml:space="preserve"> (mean annual catch 201</w:t>
      </w:r>
      <w:r>
        <w:rPr>
          <w:rFonts w:ascii="Calibri" w:hAnsi="Calibri" w:cs="Calibri"/>
          <w:szCs w:val="24"/>
        </w:rPr>
        <w:t>8</w:t>
      </w:r>
      <w:r w:rsidRPr="0063737D">
        <w:rPr>
          <w:rFonts w:ascii="Calibri" w:hAnsi="Calibri" w:cs="Calibri"/>
          <w:szCs w:val="24"/>
        </w:rPr>
        <w:t>-202</w:t>
      </w:r>
      <w:r>
        <w:rPr>
          <w:rFonts w:ascii="Calibri" w:hAnsi="Calibri" w:cs="Calibri"/>
          <w:szCs w:val="24"/>
        </w:rPr>
        <w:t>2</w:t>
      </w:r>
      <w:r w:rsidRPr="0063737D">
        <w:rPr>
          <w:rFonts w:ascii="Calibri" w:hAnsi="Calibri" w:cs="Calibri"/>
          <w:szCs w:val="24"/>
        </w:rPr>
        <w:t>): black marlin are caught using gillnet (</w:t>
      </w:r>
      <w:r>
        <w:rPr>
          <w:rFonts w:ascii="Calibri" w:hAnsi="Calibri" w:cs="Calibri"/>
          <w:szCs w:val="24"/>
        </w:rPr>
        <w:t>63.3</w:t>
      </w:r>
      <w:r w:rsidRPr="0063737D">
        <w:rPr>
          <w:rFonts w:ascii="Calibri" w:hAnsi="Calibri" w:cs="Calibri"/>
          <w:szCs w:val="24"/>
        </w:rPr>
        <w:t>%), followed by line (</w:t>
      </w:r>
      <w:r>
        <w:rPr>
          <w:rFonts w:ascii="Calibri" w:hAnsi="Calibri" w:cs="Calibri"/>
          <w:szCs w:val="24"/>
        </w:rPr>
        <w:t>25</w:t>
      </w:r>
      <w:r w:rsidRPr="0063737D">
        <w:rPr>
          <w:rFonts w:ascii="Calibri" w:hAnsi="Calibri" w:cs="Calibri"/>
          <w:szCs w:val="24"/>
        </w:rPr>
        <w:t>%) and longline (</w:t>
      </w:r>
      <w:r>
        <w:rPr>
          <w:rFonts w:ascii="Calibri" w:hAnsi="Calibri" w:cs="Calibri"/>
          <w:szCs w:val="24"/>
        </w:rPr>
        <w:t>7</w:t>
      </w:r>
      <w:r w:rsidRPr="0063737D">
        <w:rPr>
          <w:rFonts w:ascii="Calibri" w:hAnsi="Calibri" w:cs="Calibri"/>
          <w:szCs w:val="24"/>
        </w:rPr>
        <w:t xml:space="preserve">%). The remaining catches taken with other gears contributed to </w:t>
      </w:r>
      <w:r>
        <w:rPr>
          <w:rFonts w:ascii="Calibri" w:hAnsi="Calibri" w:cs="Calibri"/>
          <w:szCs w:val="24"/>
        </w:rPr>
        <w:t>4.7</w:t>
      </w:r>
      <w:r w:rsidRPr="0063737D">
        <w:rPr>
          <w:rFonts w:ascii="Calibri" w:hAnsi="Calibri" w:cs="Calibri"/>
          <w:szCs w:val="24"/>
        </w:rPr>
        <w:t>% of the total catches in recent years (</w:t>
      </w:r>
      <w:r w:rsidRPr="0063737D">
        <w:rPr>
          <w:rFonts w:ascii="Calibri" w:hAnsi="Calibri" w:cs="Calibri"/>
          <w:b/>
          <w:bCs/>
          <w:szCs w:val="24"/>
        </w:rPr>
        <w:t>Fig. 1</w:t>
      </w:r>
      <w:r w:rsidRPr="0063737D">
        <w:rPr>
          <w:rFonts w:ascii="Calibri" w:hAnsi="Calibri" w:cs="Calibri"/>
          <w:szCs w:val="24"/>
        </w:rPr>
        <w:t>).</w:t>
      </w:r>
    </w:p>
    <w:p w14:paraId="3AF051E4" w14:textId="77777777" w:rsidR="00BB41F2" w:rsidRPr="0063737D" w:rsidRDefault="00BB41F2" w:rsidP="00BB41F2">
      <w:pPr>
        <w:numPr>
          <w:ilvl w:val="0"/>
          <w:numId w:val="13"/>
        </w:numPr>
        <w:ind w:left="1080" w:right="432" w:hanging="371"/>
        <w:jc w:val="both"/>
        <w:rPr>
          <w:rFonts w:ascii="Calibri" w:hAnsi="Calibri" w:cs="Calibri"/>
          <w:szCs w:val="20"/>
        </w:rPr>
      </w:pPr>
      <w:r w:rsidRPr="0063737D">
        <w:rPr>
          <w:rFonts w:ascii="Calibri" w:hAnsi="Calibri" w:cs="Calibri"/>
          <w:b/>
          <w:bCs/>
          <w:szCs w:val="24"/>
        </w:rPr>
        <w:t>Main fleets</w:t>
      </w:r>
      <w:r w:rsidRPr="0063737D">
        <w:rPr>
          <w:rFonts w:ascii="Calibri" w:hAnsi="Calibri" w:cs="Calibri"/>
          <w:szCs w:val="24"/>
        </w:rPr>
        <w:t xml:space="preserve"> (mean annual catch 201</w:t>
      </w:r>
      <w:r>
        <w:rPr>
          <w:rFonts w:ascii="Calibri" w:hAnsi="Calibri" w:cs="Calibri"/>
          <w:szCs w:val="24"/>
        </w:rPr>
        <w:t>8</w:t>
      </w:r>
      <w:r w:rsidRPr="0063737D">
        <w:rPr>
          <w:rFonts w:ascii="Calibri" w:hAnsi="Calibri" w:cs="Calibri"/>
          <w:szCs w:val="24"/>
        </w:rPr>
        <w:t>-202</w:t>
      </w:r>
      <w:r>
        <w:rPr>
          <w:rFonts w:ascii="Calibri" w:hAnsi="Calibri" w:cs="Calibri"/>
          <w:szCs w:val="24"/>
        </w:rPr>
        <w:t>2</w:t>
      </w:r>
      <w:r w:rsidRPr="0063737D">
        <w:rPr>
          <w:rFonts w:ascii="Calibri" w:hAnsi="Calibri" w:cs="Calibri"/>
          <w:szCs w:val="24"/>
        </w:rPr>
        <w:t>): the majority of black marlin catches are attributed to flagged to I. R. Iran (</w:t>
      </w:r>
      <w:r>
        <w:rPr>
          <w:rFonts w:ascii="Calibri" w:hAnsi="Calibri" w:cs="Calibri"/>
          <w:szCs w:val="24"/>
        </w:rPr>
        <w:t>42.7</w:t>
      </w:r>
      <w:r w:rsidRPr="0063737D">
        <w:rPr>
          <w:rFonts w:ascii="Calibri" w:hAnsi="Calibri" w:cs="Calibri"/>
          <w:szCs w:val="24"/>
        </w:rPr>
        <w:t>%) followed by India (</w:t>
      </w:r>
      <w:r>
        <w:rPr>
          <w:rFonts w:ascii="Calibri" w:hAnsi="Calibri" w:cs="Calibri"/>
          <w:szCs w:val="24"/>
        </w:rPr>
        <w:t>19.4</w:t>
      </w:r>
      <w:r w:rsidRPr="0063737D">
        <w:rPr>
          <w:rFonts w:ascii="Calibri" w:hAnsi="Calibri" w:cs="Calibri"/>
          <w:szCs w:val="24"/>
        </w:rPr>
        <w:t>%) and Sri Lanka (</w:t>
      </w:r>
      <w:r>
        <w:rPr>
          <w:rFonts w:ascii="Calibri" w:hAnsi="Calibri" w:cs="Calibri"/>
          <w:szCs w:val="24"/>
        </w:rPr>
        <w:t>12.2</w:t>
      </w:r>
      <w:r w:rsidRPr="0063737D">
        <w:rPr>
          <w:rFonts w:ascii="Calibri" w:hAnsi="Calibri" w:cs="Calibri"/>
          <w:szCs w:val="24"/>
        </w:rPr>
        <w:t>%). The 2</w:t>
      </w:r>
      <w:r>
        <w:rPr>
          <w:rFonts w:ascii="Calibri" w:hAnsi="Calibri" w:cs="Calibri"/>
          <w:szCs w:val="24"/>
        </w:rPr>
        <w:t>7</w:t>
      </w:r>
      <w:r w:rsidRPr="0063737D">
        <w:rPr>
          <w:rFonts w:ascii="Calibri" w:hAnsi="Calibri" w:cs="Calibri"/>
          <w:szCs w:val="24"/>
        </w:rPr>
        <w:t xml:space="preserve"> other fleets catching black marlin contributed to </w:t>
      </w:r>
      <w:r>
        <w:rPr>
          <w:rFonts w:ascii="Calibri" w:hAnsi="Calibri" w:cs="Calibri"/>
          <w:szCs w:val="24"/>
        </w:rPr>
        <w:t>25.4</w:t>
      </w:r>
      <w:r w:rsidRPr="0063737D">
        <w:rPr>
          <w:rFonts w:ascii="Calibri" w:hAnsi="Calibri" w:cs="Calibri"/>
          <w:szCs w:val="24"/>
        </w:rPr>
        <w:t>% of the total catch in recent years (</w:t>
      </w:r>
      <w:r w:rsidRPr="0063737D">
        <w:rPr>
          <w:rFonts w:ascii="Calibri" w:hAnsi="Calibri" w:cs="Calibri"/>
          <w:b/>
          <w:bCs/>
          <w:szCs w:val="24"/>
        </w:rPr>
        <w:t>Fig. 2</w:t>
      </w:r>
      <w:r w:rsidRPr="0063737D">
        <w:rPr>
          <w:rFonts w:ascii="Calibri" w:hAnsi="Calibri" w:cs="Calibri"/>
          <w:szCs w:val="24"/>
        </w:rPr>
        <w:t>).</w:t>
      </w:r>
    </w:p>
    <w:p w14:paraId="308265D4" w14:textId="77777777" w:rsidR="00BB41F2" w:rsidRPr="0063737D" w:rsidRDefault="00BB41F2" w:rsidP="00BB41F2">
      <w:pPr>
        <w:rPr>
          <w:rFonts w:ascii="Calibri" w:hAnsi="Calibri" w:cs="Calibri"/>
          <w:szCs w:val="20"/>
          <w:highlight w:val="yellow"/>
        </w:rPr>
      </w:pPr>
      <w:r w:rsidRPr="0063737D">
        <w:rPr>
          <w:rFonts w:ascii="Calibri" w:hAnsi="Calibri" w:cs="Calibri"/>
          <w:szCs w:val="20"/>
          <w:highlight w:val="yellow"/>
        </w:rPr>
        <w:br w:type="page"/>
      </w:r>
    </w:p>
    <w:p w14:paraId="1589533B" w14:textId="77777777" w:rsidR="00BB41F2" w:rsidRPr="0063737D" w:rsidRDefault="00BB41F2" w:rsidP="00BB41F2">
      <w:pPr>
        <w:widowControl w:val="0"/>
        <w:rPr>
          <w:rFonts w:ascii="Calibri" w:hAnsi="Calibri" w:cs="Calibri"/>
          <w:b/>
          <w:sz w:val="18"/>
          <w:szCs w:val="18"/>
          <w:highlight w:val="yellow"/>
        </w:rPr>
      </w:pPr>
    </w:p>
    <w:p w14:paraId="504AB069" w14:textId="77777777" w:rsidR="00BB41F2" w:rsidRPr="0063737D" w:rsidRDefault="00BB41F2" w:rsidP="00BB41F2">
      <w:pPr>
        <w:widowControl w:val="0"/>
        <w:rPr>
          <w:rFonts w:ascii="Calibri" w:hAnsi="Calibri" w:cs="Calibri"/>
          <w:b/>
          <w:sz w:val="18"/>
          <w:szCs w:val="18"/>
        </w:rPr>
      </w:pPr>
      <w:r>
        <w:rPr>
          <w:noProof/>
        </w:rPr>
        <w:drawing>
          <wp:inline distT="0" distB="0" distL="0" distR="0" wp14:anchorId="3987FA4C" wp14:editId="309A088E">
            <wp:extent cx="5943600" cy="2495958"/>
            <wp:effectExtent l="0" t="0" r="0" b="0"/>
            <wp:docPr id="546805380" name="Picture 546805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a:picLocks noChangeAspect="1" noChangeArrowheads="1"/>
                    </pic:cNvPicPr>
                  </pic:nvPicPr>
                  <pic:blipFill>
                    <a:blip r:embed="rId78" cstate="print"/>
                    <a:stretch>
                      <a:fillRect/>
                    </a:stretch>
                  </pic:blipFill>
                  <pic:spPr bwMode="auto">
                    <a:xfrm>
                      <a:off x="0" y="0"/>
                      <a:ext cx="5943600" cy="2495958"/>
                    </a:xfrm>
                    <a:prstGeom prst="rect">
                      <a:avLst/>
                    </a:prstGeom>
                    <a:noFill/>
                  </pic:spPr>
                </pic:pic>
              </a:graphicData>
            </a:graphic>
          </wp:inline>
        </w:drawing>
      </w:r>
    </w:p>
    <w:p w14:paraId="5C5E8BE7" w14:textId="77777777" w:rsidR="00BB41F2" w:rsidRPr="0063737D" w:rsidRDefault="00BB41F2" w:rsidP="00BB41F2">
      <w:pPr>
        <w:widowControl w:val="0"/>
        <w:ind w:left="720"/>
        <w:contextualSpacing/>
        <w:jc w:val="both"/>
        <w:rPr>
          <w:rFonts w:ascii="Calibri" w:hAnsi="Calibri" w:cs="Calibri"/>
          <w:b/>
          <w:sz w:val="18"/>
          <w:szCs w:val="18"/>
        </w:rPr>
      </w:pPr>
    </w:p>
    <w:p w14:paraId="3229FC01" w14:textId="77777777" w:rsidR="00BB41F2" w:rsidRPr="0063737D" w:rsidRDefault="00BB41F2" w:rsidP="00BB41F2">
      <w:pPr>
        <w:widowControl w:val="0"/>
        <w:jc w:val="both"/>
        <w:rPr>
          <w:rFonts w:ascii="Calibri" w:hAnsi="Calibri" w:cs="Calibri"/>
          <w:sz w:val="18"/>
          <w:szCs w:val="18"/>
        </w:rPr>
      </w:pPr>
      <w:r w:rsidRPr="0063737D">
        <w:rPr>
          <w:rFonts w:ascii="Calibri" w:hAnsi="Calibri" w:cs="Calibri"/>
          <w:b/>
          <w:sz w:val="18"/>
          <w:szCs w:val="18"/>
        </w:rPr>
        <w:t>Fig. 1.</w:t>
      </w:r>
      <w:r w:rsidRPr="0063737D">
        <w:rPr>
          <w:rFonts w:ascii="Calibri" w:hAnsi="Calibri" w:cs="Calibri"/>
          <w:sz w:val="18"/>
          <w:szCs w:val="18"/>
        </w:rPr>
        <w:t xml:space="preserve"> Annual time series of (a) cumulative nominal catches (metric tons; t) by fishery and (b) individual nominal catches (metric tons; t) by fishery group for black marlin during 1950-202</w:t>
      </w:r>
      <w:r>
        <w:rPr>
          <w:rFonts w:ascii="Calibri" w:hAnsi="Calibri" w:cs="Calibri"/>
          <w:sz w:val="18"/>
          <w:szCs w:val="18"/>
        </w:rPr>
        <w:t>2</w:t>
      </w:r>
      <w:r w:rsidRPr="0063737D">
        <w:rPr>
          <w:rFonts w:ascii="Calibri" w:hAnsi="Calibri" w:cs="Calibri"/>
          <w:sz w:val="18"/>
          <w:szCs w:val="18"/>
        </w:rPr>
        <w:t xml:space="preserve">. </w:t>
      </w:r>
      <w:r w:rsidRPr="0063737D">
        <w:rPr>
          <w:rFonts w:ascii="Calibri" w:hAnsi="Calibri" w:cs="Calibri"/>
          <w:sz w:val="18"/>
          <w:szCs w:val="18"/>
          <w:u w:val="single"/>
        </w:rPr>
        <w:t>Longline | Other</w:t>
      </w:r>
      <w:r w:rsidRPr="0063737D">
        <w:rPr>
          <w:rFonts w:ascii="Calibri" w:hAnsi="Calibri" w:cs="Calibri"/>
          <w:sz w:val="18"/>
          <w:szCs w:val="18"/>
        </w:rPr>
        <w:t xml:space="preserve">: swordfish and sharks-targeted longlines; </w:t>
      </w:r>
      <w:r w:rsidRPr="0063737D">
        <w:rPr>
          <w:rFonts w:ascii="Calibri" w:hAnsi="Calibri" w:cs="Calibri"/>
          <w:sz w:val="18"/>
          <w:szCs w:val="18"/>
          <w:u w:val="single"/>
        </w:rPr>
        <w:t>Other</w:t>
      </w:r>
      <w:r w:rsidRPr="0063737D">
        <w:rPr>
          <w:rFonts w:ascii="Calibri" w:hAnsi="Calibri" w:cs="Calibri"/>
          <w:sz w:val="18"/>
          <w:szCs w:val="18"/>
        </w:rPr>
        <w:t>: all remaining fishing gears</w:t>
      </w:r>
    </w:p>
    <w:p w14:paraId="0FB57919" w14:textId="77777777" w:rsidR="00BB41F2" w:rsidRPr="0063737D" w:rsidRDefault="00BB41F2" w:rsidP="00BB41F2">
      <w:pPr>
        <w:widowControl w:val="0"/>
        <w:jc w:val="both"/>
        <w:rPr>
          <w:rFonts w:ascii="Calibri" w:hAnsi="Calibri" w:cs="Calibri"/>
          <w:sz w:val="18"/>
          <w:szCs w:val="18"/>
        </w:rPr>
      </w:pPr>
    </w:p>
    <w:p w14:paraId="3FF3798A" w14:textId="77777777" w:rsidR="00BB41F2" w:rsidRPr="0063737D" w:rsidRDefault="00BB41F2" w:rsidP="00BB41F2">
      <w:pPr>
        <w:widowControl w:val="0"/>
        <w:jc w:val="both"/>
        <w:rPr>
          <w:rFonts w:ascii="Calibri" w:hAnsi="Calibri" w:cs="Calibri"/>
          <w:sz w:val="18"/>
          <w:szCs w:val="18"/>
        </w:rPr>
      </w:pPr>
      <w:r>
        <w:rPr>
          <w:noProof/>
        </w:rPr>
        <w:drawing>
          <wp:inline distT="0" distB="0" distL="0" distR="0" wp14:anchorId="20470C59" wp14:editId="60B18739">
            <wp:extent cx="5943600" cy="3327944"/>
            <wp:effectExtent l="0" t="0" r="0" b="6350"/>
            <wp:docPr id="2112029697" name="Picture 2112029697" descr="A graph with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aph with different colored bars&#10;&#10;Description automatically generated with medium confidence"/>
                    <pic:cNvPicPr>
                      <a:picLocks noChangeAspect="1" noChangeArrowheads="1"/>
                    </pic:cNvPicPr>
                  </pic:nvPicPr>
                  <pic:blipFill>
                    <a:blip r:embed="rId79" cstate="print"/>
                    <a:stretch>
                      <a:fillRect/>
                    </a:stretch>
                  </pic:blipFill>
                  <pic:spPr bwMode="auto">
                    <a:xfrm>
                      <a:off x="0" y="0"/>
                      <a:ext cx="5943600" cy="3327944"/>
                    </a:xfrm>
                    <a:prstGeom prst="rect">
                      <a:avLst/>
                    </a:prstGeom>
                    <a:noFill/>
                  </pic:spPr>
                </pic:pic>
              </a:graphicData>
            </a:graphic>
          </wp:inline>
        </w:drawing>
      </w:r>
    </w:p>
    <w:p w14:paraId="7A8A8B94" w14:textId="77777777" w:rsidR="00BB41F2" w:rsidRPr="0063737D" w:rsidRDefault="00BB41F2" w:rsidP="00BB41F2">
      <w:pPr>
        <w:widowControl w:val="0"/>
        <w:jc w:val="both"/>
        <w:rPr>
          <w:rFonts w:ascii="Calibri" w:hAnsi="Calibri" w:cs="Calibri"/>
          <w:sz w:val="18"/>
          <w:szCs w:val="18"/>
        </w:rPr>
      </w:pPr>
    </w:p>
    <w:p w14:paraId="3019B4E9" w14:textId="77777777" w:rsidR="00BB41F2" w:rsidRPr="0063737D" w:rsidRDefault="00BB41F2" w:rsidP="00BB41F2">
      <w:pPr>
        <w:widowControl w:val="0"/>
        <w:jc w:val="both"/>
        <w:rPr>
          <w:rFonts w:ascii="Calibri" w:hAnsi="Calibri" w:cs="Calibri"/>
          <w:sz w:val="18"/>
          <w:szCs w:val="18"/>
        </w:rPr>
      </w:pPr>
      <w:r w:rsidRPr="0063737D">
        <w:rPr>
          <w:rFonts w:ascii="Calibri" w:hAnsi="Calibri" w:cs="Calibri"/>
          <w:b/>
          <w:sz w:val="18"/>
          <w:szCs w:val="18"/>
        </w:rPr>
        <w:t>Fig. 2.</w:t>
      </w:r>
      <w:r w:rsidRPr="0063737D">
        <w:rPr>
          <w:rFonts w:ascii="Calibri" w:hAnsi="Calibri" w:cs="Calibri"/>
          <w:sz w:val="18"/>
          <w:szCs w:val="18"/>
        </w:rPr>
        <w:t xml:space="preserve"> Mean annual catches (metric tons; t) of black marlin by fleet and fishery between 201</w:t>
      </w:r>
      <w:r>
        <w:rPr>
          <w:rFonts w:ascii="Calibri" w:hAnsi="Calibri" w:cs="Calibri"/>
          <w:sz w:val="18"/>
          <w:szCs w:val="18"/>
        </w:rPr>
        <w:t>8</w:t>
      </w:r>
      <w:r w:rsidRPr="0063737D">
        <w:rPr>
          <w:rFonts w:ascii="Calibri" w:hAnsi="Calibri" w:cs="Calibri"/>
          <w:sz w:val="18"/>
          <w:szCs w:val="18"/>
        </w:rPr>
        <w:t xml:space="preserve"> and 202</w:t>
      </w:r>
      <w:r>
        <w:rPr>
          <w:rFonts w:ascii="Calibri" w:hAnsi="Calibri" w:cs="Calibri"/>
          <w:sz w:val="18"/>
          <w:szCs w:val="18"/>
        </w:rPr>
        <w:t>2</w:t>
      </w:r>
      <w:r w:rsidRPr="0063737D">
        <w:rPr>
          <w:rFonts w:ascii="Calibri" w:hAnsi="Calibri" w:cs="Calibri"/>
          <w:sz w:val="18"/>
          <w:szCs w:val="18"/>
        </w:rPr>
        <w:t xml:space="preserve">, with indication of cumulative catches by fleet. </w:t>
      </w:r>
      <w:r w:rsidRPr="0063737D">
        <w:rPr>
          <w:rFonts w:ascii="Calibri" w:hAnsi="Calibri" w:cs="Calibri"/>
          <w:sz w:val="18"/>
          <w:szCs w:val="18"/>
          <w:u w:val="single"/>
        </w:rPr>
        <w:t>Longline | Other</w:t>
      </w:r>
      <w:r w:rsidRPr="0063737D">
        <w:rPr>
          <w:rFonts w:ascii="Calibri" w:hAnsi="Calibri" w:cs="Calibri"/>
          <w:sz w:val="18"/>
          <w:szCs w:val="18"/>
        </w:rPr>
        <w:t xml:space="preserve">: swordfish and sharks-targeted longlines; </w:t>
      </w:r>
      <w:r w:rsidRPr="0063737D">
        <w:rPr>
          <w:rFonts w:ascii="Calibri" w:hAnsi="Calibri" w:cs="Calibri"/>
          <w:sz w:val="18"/>
          <w:szCs w:val="18"/>
          <w:u w:val="single"/>
        </w:rPr>
        <w:t>Other</w:t>
      </w:r>
      <w:r w:rsidRPr="0063737D">
        <w:rPr>
          <w:rFonts w:ascii="Calibri" w:hAnsi="Calibri" w:cs="Calibri"/>
          <w:sz w:val="18"/>
          <w:szCs w:val="18"/>
        </w:rPr>
        <w:t>: all remaining fishing gears</w:t>
      </w:r>
    </w:p>
    <w:p w14:paraId="653E2A21" w14:textId="77777777" w:rsidR="00BB41F2" w:rsidRPr="0063737D" w:rsidRDefault="00BB41F2" w:rsidP="00BB41F2">
      <w:pPr>
        <w:widowControl w:val="0"/>
        <w:ind w:left="720"/>
        <w:contextualSpacing/>
        <w:jc w:val="both"/>
        <w:rPr>
          <w:rFonts w:ascii="Calibri" w:hAnsi="Calibri" w:cs="Calibri"/>
          <w:sz w:val="18"/>
          <w:szCs w:val="18"/>
          <w:highlight w:val="yellow"/>
        </w:rPr>
      </w:pPr>
    </w:p>
    <w:p w14:paraId="1CE32BE0" w14:textId="77777777" w:rsidR="00BB41F2" w:rsidRPr="0063737D" w:rsidRDefault="00BB41F2" w:rsidP="00BB41F2">
      <w:pPr>
        <w:widowControl w:val="0"/>
        <w:ind w:left="720"/>
        <w:contextualSpacing/>
        <w:rPr>
          <w:rFonts w:ascii="Calibri" w:hAnsi="Calibri" w:cs="Calibri"/>
          <w:noProof/>
          <w:highlight w:val="yellow"/>
        </w:rPr>
      </w:pPr>
    </w:p>
    <w:p w14:paraId="5216FBD4" w14:textId="77777777" w:rsidR="00BB41F2" w:rsidRPr="0063737D" w:rsidRDefault="00BB41F2" w:rsidP="00BB41F2">
      <w:pPr>
        <w:widowControl w:val="0"/>
        <w:ind w:left="720"/>
        <w:contextualSpacing/>
        <w:jc w:val="center"/>
        <w:rPr>
          <w:rFonts w:ascii="Calibri" w:eastAsia="MS Mincho" w:hAnsi="Calibri" w:cs="Calibri"/>
          <w:b/>
          <w:snapToGrid w:val="0"/>
          <w:sz w:val="18"/>
          <w:szCs w:val="18"/>
        </w:rPr>
      </w:pPr>
      <w:r>
        <w:rPr>
          <w:rFonts w:ascii="Calibri" w:hAnsi="Calibri" w:cs="Calibri"/>
          <w:b/>
          <w:bCs/>
          <w:i/>
          <w:noProof/>
          <w:lang w:val="en-ZA" w:eastAsia="en-ZA"/>
        </w:rPr>
        <w:lastRenderedPageBreak/>
        <w:drawing>
          <wp:inline distT="0" distB="0" distL="0" distR="0" wp14:anchorId="159D8E32" wp14:editId="5864CAA3">
            <wp:extent cx="3063240" cy="2783154"/>
            <wp:effectExtent l="0" t="0" r="3810" b="0"/>
            <wp:docPr id="715248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24896" name="Picture 71524896"/>
                    <pic:cNvPicPr/>
                  </pic:nvPicPr>
                  <pic:blipFill rotWithShape="1">
                    <a:blip r:embed="rId80" cstate="print">
                      <a:extLst>
                        <a:ext uri="{28A0092B-C50C-407E-A947-70E740481C1C}">
                          <a14:useLocalDpi xmlns:a14="http://schemas.microsoft.com/office/drawing/2010/main" val="0"/>
                        </a:ext>
                      </a:extLst>
                    </a:blip>
                    <a:srcRect t="9144"/>
                    <a:stretch/>
                  </pic:blipFill>
                  <pic:spPr bwMode="auto">
                    <a:xfrm>
                      <a:off x="0" y="0"/>
                      <a:ext cx="3063240" cy="2783154"/>
                    </a:xfrm>
                    <a:prstGeom prst="rect">
                      <a:avLst/>
                    </a:prstGeom>
                    <a:ln>
                      <a:noFill/>
                    </a:ln>
                    <a:extLst>
                      <a:ext uri="{53640926-AAD7-44D8-BBD7-CCE9431645EC}">
                        <a14:shadowObscured xmlns:a14="http://schemas.microsoft.com/office/drawing/2010/main"/>
                      </a:ext>
                    </a:extLst>
                  </pic:spPr>
                </pic:pic>
              </a:graphicData>
            </a:graphic>
          </wp:inline>
        </w:drawing>
      </w:r>
    </w:p>
    <w:p w14:paraId="56C7CA7B" w14:textId="77777777" w:rsidR="00BB41F2" w:rsidRPr="0063737D" w:rsidRDefault="00BB41F2" w:rsidP="00BB41F2">
      <w:pPr>
        <w:widowControl w:val="0"/>
        <w:ind w:left="720"/>
        <w:contextualSpacing/>
        <w:jc w:val="center"/>
        <w:rPr>
          <w:rFonts w:ascii="Calibri" w:eastAsia="MS Mincho" w:hAnsi="Calibri" w:cs="Calibri"/>
          <w:b/>
          <w:snapToGrid w:val="0"/>
          <w:sz w:val="18"/>
          <w:szCs w:val="18"/>
        </w:rPr>
      </w:pPr>
    </w:p>
    <w:p w14:paraId="49AFC20D" w14:textId="77777777" w:rsidR="00BB41F2" w:rsidRPr="00552774" w:rsidRDefault="00BB41F2" w:rsidP="00BB41F2">
      <w:pPr>
        <w:pStyle w:val="ListParagraph"/>
        <w:widowControl w:val="0"/>
        <w:jc w:val="both"/>
        <w:rPr>
          <w:rFonts w:ascii="Calibri" w:eastAsia="MS Mincho" w:hAnsi="Calibri" w:cs="Calibri"/>
          <w:b/>
          <w:bCs/>
          <w:smallCaps/>
          <w:sz w:val="18"/>
          <w:szCs w:val="18"/>
          <w:lang w:eastAsia="en-US"/>
        </w:rPr>
      </w:pPr>
      <w:r w:rsidRPr="0063737D">
        <w:rPr>
          <w:rFonts w:ascii="Calibri" w:eastAsia="MS Mincho" w:hAnsi="Calibri" w:cs="Calibri"/>
          <w:b/>
          <w:snapToGrid w:val="0"/>
          <w:sz w:val="18"/>
          <w:szCs w:val="18"/>
        </w:rPr>
        <w:t xml:space="preserve">Fig. </w:t>
      </w:r>
      <w:r>
        <w:rPr>
          <w:rFonts w:ascii="Calibri" w:eastAsia="MS Mincho" w:hAnsi="Calibri" w:cs="Calibri"/>
          <w:b/>
          <w:snapToGrid w:val="0"/>
          <w:sz w:val="18"/>
          <w:szCs w:val="18"/>
        </w:rPr>
        <w:t>3</w:t>
      </w:r>
      <w:r w:rsidRPr="0063737D">
        <w:rPr>
          <w:rFonts w:ascii="Calibri" w:eastAsia="MS Mincho" w:hAnsi="Calibri" w:cs="Calibri"/>
          <w:snapToGrid w:val="0"/>
          <w:sz w:val="18"/>
          <w:szCs w:val="18"/>
        </w:rPr>
        <w:t>.</w:t>
      </w:r>
      <w:r w:rsidRPr="0063737D">
        <w:rPr>
          <w:rFonts w:ascii="Calibri" w:eastAsia="MS Mincho" w:hAnsi="Calibri" w:cs="Calibri"/>
          <w:sz w:val="18"/>
          <w:szCs w:val="18"/>
          <w:lang w:eastAsia="ja-JP"/>
        </w:rPr>
        <w:t xml:space="preserve"> JABBA Indian Ocean assessment Kobe plots for black marlin (contours are the 50, 80 and 95 percentiles of the 20</w:t>
      </w:r>
      <w:r>
        <w:rPr>
          <w:rFonts w:ascii="Calibri" w:eastAsia="MS Mincho" w:hAnsi="Calibri" w:cs="Calibri"/>
          <w:sz w:val="18"/>
          <w:szCs w:val="18"/>
          <w:lang w:eastAsia="ja-JP"/>
        </w:rPr>
        <w:t xml:space="preserve">22 </w:t>
      </w:r>
      <w:r w:rsidRPr="0063737D">
        <w:rPr>
          <w:rFonts w:ascii="Calibri" w:eastAsia="MS Mincho" w:hAnsi="Calibri" w:cs="Calibri"/>
          <w:sz w:val="18"/>
          <w:szCs w:val="18"/>
          <w:lang w:eastAsia="ja-JP"/>
        </w:rPr>
        <w:t>estimate). Black line indicates the trajectory of the point estimates for the total biomass ratio (B/B</w:t>
      </w:r>
      <w:r w:rsidRPr="0063737D">
        <w:rPr>
          <w:rFonts w:ascii="Calibri" w:eastAsia="MS Mincho" w:hAnsi="Calibri" w:cs="Calibri"/>
          <w:sz w:val="18"/>
          <w:szCs w:val="18"/>
          <w:vertAlign w:val="subscript"/>
          <w:lang w:eastAsia="ja-JP"/>
        </w:rPr>
        <w:t>MSY</w:t>
      </w:r>
      <w:r w:rsidRPr="0063737D">
        <w:rPr>
          <w:rFonts w:ascii="Calibri" w:eastAsia="MS Mincho" w:hAnsi="Calibri" w:cs="Calibri"/>
          <w:sz w:val="18"/>
          <w:szCs w:val="18"/>
          <w:lang w:eastAsia="ja-JP"/>
        </w:rPr>
        <w:t>) and fishing mortality ratio (F/F</w:t>
      </w:r>
      <w:r w:rsidRPr="0063737D">
        <w:rPr>
          <w:rFonts w:ascii="Calibri" w:eastAsia="MS Mincho" w:hAnsi="Calibri" w:cs="Calibri"/>
          <w:sz w:val="18"/>
          <w:szCs w:val="18"/>
          <w:vertAlign w:val="subscript"/>
          <w:lang w:eastAsia="ja-JP"/>
        </w:rPr>
        <w:t>MSY</w:t>
      </w:r>
      <w:r w:rsidRPr="0063737D">
        <w:rPr>
          <w:rFonts w:ascii="Calibri" w:eastAsia="MS Mincho" w:hAnsi="Calibri" w:cs="Calibri"/>
          <w:sz w:val="18"/>
          <w:szCs w:val="18"/>
          <w:lang w:eastAsia="ja-JP"/>
        </w:rPr>
        <w:t>) for each year 1950–20</w:t>
      </w:r>
      <w:r>
        <w:rPr>
          <w:rFonts w:ascii="Calibri" w:eastAsia="MS Mincho" w:hAnsi="Calibri" w:cs="Calibri"/>
          <w:sz w:val="18"/>
          <w:szCs w:val="18"/>
          <w:lang w:eastAsia="ja-JP"/>
        </w:rPr>
        <w:t>22</w:t>
      </w:r>
      <w:r w:rsidRPr="0063737D">
        <w:rPr>
          <w:rFonts w:ascii="Calibri" w:eastAsia="MS Mincho" w:hAnsi="Calibri" w:cs="Calibri"/>
          <w:sz w:val="18"/>
          <w:szCs w:val="18"/>
          <w:lang w:eastAsia="ja-JP"/>
        </w:rPr>
        <w:t>.</w:t>
      </w:r>
    </w:p>
    <w:p w14:paraId="63E09FF6" w14:textId="77777777" w:rsidR="00BB41F2" w:rsidRPr="00784C3D" w:rsidRDefault="00BB41F2" w:rsidP="00BB41F2">
      <w:pPr>
        <w:keepNext/>
        <w:keepLines/>
        <w:spacing w:before="360" w:after="120"/>
        <w:jc w:val="both"/>
        <w:rPr>
          <w:rFonts w:ascii="Calibri" w:hAnsi="Calibri" w:cs="Calibri"/>
          <w:sz w:val="18"/>
          <w:szCs w:val="18"/>
          <w:lang w:eastAsia="en-GB"/>
        </w:rPr>
      </w:pPr>
      <w:r w:rsidRPr="00784C3D">
        <w:rPr>
          <w:rFonts w:ascii="Calibri" w:hAnsi="Calibri" w:cs="Calibri"/>
          <w:b/>
          <w:sz w:val="18"/>
          <w:szCs w:val="18"/>
        </w:rPr>
        <w:t xml:space="preserve">Table 2. </w:t>
      </w:r>
      <w:r>
        <w:rPr>
          <w:rFonts w:ascii="Calibri" w:hAnsi="Calibri" w:cs="Calibri"/>
          <w:sz w:val="18"/>
          <w:szCs w:val="18"/>
        </w:rPr>
        <w:t>Black</w:t>
      </w:r>
      <w:r w:rsidRPr="00784C3D">
        <w:rPr>
          <w:rFonts w:ascii="Calibri" w:hAnsi="Calibri" w:cs="Calibri"/>
          <w:sz w:val="18"/>
          <w:szCs w:val="18"/>
        </w:rPr>
        <w:t xml:space="preserve"> marlin: JABBA Indian Ocean assessment Kobe II Strategy Matrix. </w:t>
      </w:r>
      <w:r w:rsidRPr="00784C3D">
        <w:rPr>
          <w:rFonts w:ascii="Calibri" w:hAnsi="Calibri" w:cs="Calibri"/>
          <w:sz w:val="18"/>
          <w:szCs w:val="18"/>
          <w:lang w:eastAsia="en-GB"/>
        </w:rPr>
        <w:t>Probability (</w:t>
      </w:r>
      <w:r w:rsidRPr="00784C3D">
        <w:rPr>
          <w:rFonts w:ascii="Calibri" w:hAnsi="Calibri" w:cs="Calibri"/>
          <w:kern w:val="24"/>
          <w:sz w:val="18"/>
          <w:szCs w:val="18"/>
          <w:lang w:eastAsia="en-AU"/>
        </w:rPr>
        <w:t xml:space="preserve">percentage) </w:t>
      </w:r>
      <w:r w:rsidRPr="00784C3D">
        <w:rPr>
          <w:rFonts w:ascii="Calibri" w:hAnsi="Calibri" w:cs="Calibri"/>
          <w:sz w:val="18"/>
          <w:szCs w:val="18"/>
          <w:lang w:eastAsia="en-GB"/>
        </w:rPr>
        <w:t xml:space="preserve">of violating the MSY-based target reference points for nine constant catch projections relative to the </w:t>
      </w:r>
      <w:r>
        <w:rPr>
          <w:rFonts w:ascii="Calibri" w:hAnsi="Calibri" w:cs="Calibri"/>
          <w:sz w:val="18"/>
          <w:szCs w:val="18"/>
          <w:lang w:eastAsia="en-GB"/>
        </w:rPr>
        <w:t xml:space="preserve">average catch level of 2020 – 2022 (17710 t) </w:t>
      </w:r>
      <w:r w:rsidRPr="00784C3D">
        <w:rPr>
          <w:rFonts w:ascii="Calibri" w:hAnsi="Calibri" w:cs="Calibri"/>
          <w:sz w:val="18"/>
          <w:szCs w:val="18"/>
          <w:lang w:eastAsia="en-GB"/>
        </w:rPr>
        <w:t>*  ± 20%, ± 40%</w:t>
      </w:r>
      <w:r>
        <w:rPr>
          <w:rFonts w:ascii="Calibri" w:hAnsi="Calibri" w:cs="Calibri"/>
          <w:sz w:val="18"/>
          <w:szCs w:val="18"/>
          <w:lang w:eastAsia="en-GB"/>
        </w:rPr>
        <w:t>,</w:t>
      </w:r>
      <w:r w:rsidRPr="00784C3D">
        <w:rPr>
          <w:rFonts w:ascii="Calibri" w:hAnsi="Calibri" w:cs="Calibri"/>
          <w:sz w:val="18"/>
          <w:szCs w:val="18"/>
          <w:lang w:eastAsia="en-GB"/>
        </w:rPr>
        <w:t>± </w:t>
      </w:r>
      <w:r>
        <w:rPr>
          <w:rFonts w:ascii="Calibri" w:hAnsi="Calibri" w:cs="Calibri"/>
          <w:sz w:val="18"/>
          <w:szCs w:val="18"/>
          <w:lang w:eastAsia="en-GB"/>
        </w:rPr>
        <w:t>6</w:t>
      </w:r>
      <w:r w:rsidRPr="00784C3D">
        <w:rPr>
          <w:rFonts w:ascii="Calibri" w:hAnsi="Calibri" w:cs="Calibri"/>
          <w:sz w:val="18"/>
          <w:szCs w:val="18"/>
          <w:lang w:eastAsia="en-GB"/>
        </w:rPr>
        <w:t>0%) projected for 3 and 10 years.</w:t>
      </w:r>
    </w:p>
    <w:tbl>
      <w:tblPr>
        <w:tblW w:w="10742" w:type="dxa"/>
        <w:jc w:val="center"/>
        <w:tblCellMar>
          <w:left w:w="0" w:type="dxa"/>
          <w:right w:w="0" w:type="dxa"/>
        </w:tblCellMar>
        <w:tblLook w:val="0600" w:firstRow="0" w:lastRow="0" w:firstColumn="0" w:lastColumn="0" w:noHBand="1" w:noVBand="1"/>
      </w:tblPr>
      <w:tblGrid>
        <w:gridCol w:w="1730"/>
        <w:gridCol w:w="873"/>
        <w:gridCol w:w="1092"/>
        <w:gridCol w:w="796"/>
        <w:gridCol w:w="877"/>
        <w:gridCol w:w="1225"/>
        <w:gridCol w:w="877"/>
        <w:gridCol w:w="1177"/>
        <w:gridCol w:w="1218"/>
        <w:gridCol w:w="877"/>
      </w:tblGrid>
      <w:tr w:rsidR="00BB41F2" w:rsidRPr="008F3FEE" w14:paraId="6F1FC5D2" w14:textId="77777777" w:rsidTr="00444A1C">
        <w:trPr>
          <w:trHeight w:val="808"/>
          <w:jc w:val="center"/>
        </w:trPr>
        <w:tc>
          <w:tcPr>
            <w:tcW w:w="1730" w:type="dxa"/>
            <w:tcBorders>
              <w:top w:val="single" w:sz="4" w:space="0" w:color="auto"/>
              <w:bottom w:val="single" w:sz="4" w:space="0" w:color="auto"/>
            </w:tcBorders>
            <w:tcMar>
              <w:top w:w="15" w:type="dxa"/>
              <w:left w:w="108" w:type="dxa"/>
              <w:bottom w:w="0" w:type="dxa"/>
              <w:right w:w="108" w:type="dxa"/>
            </w:tcMar>
            <w:vAlign w:val="center"/>
          </w:tcPr>
          <w:p w14:paraId="3B6579E8" w14:textId="77777777" w:rsidR="00BB41F2" w:rsidRPr="008F3FEE" w:rsidRDefault="00BB41F2" w:rsidP="00444A1C">
            <w:pPr>
              <w:jc w:val="center"/>
              <w:rPr>
                <w:rFonts w:ascii="Calibri" w:hAnsi="Calibri" w:cs="Calibri"/>
                <w:b/>
                <w:sz w:val="20"/>
                <w:szCs w:val="20"/>
                <w:lang w:eastAsia="en-AU"/>
              </w:rPr>
            </w:pPr>
            <w:r w:rsidRPr="008F3FEE">
              <w:rPr>
                <w:rFonts w:ascii="Calibri" w:hAnsi="Calibri" w:cs="Calibri"/>
                <w:b/>
                <w:sz w:val="20"/>
                <w:szCs w:val="20"/>
                <w:lang w:eastAsia="en-AU"/>
              </w:rPr>
              <w:t>Reference point and projection timeframe</w:t>
            </w:r>
          </w:p>
        </w:tc>
        <w:tc>
          <w:tcPr>
            <w:tcW w:w="9012" w:type="dxa"/>
            <w:gridSpan w:val="9"/>
            <w:tcBorders>
              <w:top w:val="single" w:sz="4" w:space="0" w:color="auto"/>
              <w:bottom w:val="single" w:sz="4" w:space="0" w:color="auto"/>
            </w:tcBorders>
            <w:vAlign w:val="center"/>
          </w:tcPr>
          <w:p w14:paraId="3F029572" w14:textId="77777777" w:rsidR="00BB41F2" w:rsidRPr="008F3FEE" w:rsidRDefault="00BB41F2" w:rsidP="00444A1C">
            <w:pPr>
              <w:jc w:val="center"/>
              <w:rPr>
                <w:rFonts w:ascii="Calibri" w:hAnsi="Calibri" w:cs="Calibri"/>
                <w:b/>
                <w:sz w:val="20"/>
                <w:szCs w:val="20"/>
                <w:lang w:eastAsia="en-AU"/>
              </w:rPr>
            </w:pPr>
            <w:r w:rsidRPr="008F3FEE">
              <w:rPr>
                <w:rFonts w:ascii="Calibri" w:hAnsi="Calibri" w:cs="Calibri"/>
                <w:b/>
                <w:sz w:val="20"/>
                <w:szCs w:val="20"/>
                <w:lang w:eastAsia="en-AU"/>
              </w:rPr>
              <w:t xml:space="preserve">Alternative catch projections (relative to the average catch level of 2020–2022 of 17710 t) </w:t>
            </w:r>
          </w:p>
          <w:p w14:paraId="612BF9EC" w14:textId="77777777" w:rsidR="00BB41F2" w:rsidRPr="008F3FEE" w:rsidRDefault="00BB41F2" w:rsidP="00444A1C">
            <w:pPr>
              <w:jc w:val="center"/>
              <w:rPr>
                <w:rFonts w:ascii="Calibri" w:hAnsi="Calibri" w:cs="Calibri"/>
                <w:b/>
                <w:sz w:val="20"/>
                <w:szCs w:val="20"/>
                <w:lang w:eastAsia="en-AU"/>
              </w:rPr>
            </w:pPr>
            <w:r w:rsidRPr="008F3FEE">
              <w:rPr>
                <w:rFonts w:ascii="Calibri" w:hAnsi="Calibri" w:cs="Calibri"/>
                <w:b/>
                <w:sz w:val="20"/>
                <w:szCs w:val="20"/>
                <w:lang w:eastAsia="en-AU"/>
              </w:rPr>
              <w:t>and probability (%) of violating MSY-based target reference points (Btarg = B</w:t>
            </w:r>
            <w:r w:rsidRPr="008F3FEE">
              <w:rPr>
                <w:rFonts w:ascii="Calibri" w:hAnsi="Calibri" w:cs="Calibri"/>
                <w:b/>
                <w:sz w:val="20"/>
                <w:szCs w:val="20"/>
                <w:vertAlign w:val="subscript"/>
                <w:lang w:eastAsia="en-AU"/>
              </w:rPr>
              <w:t>MSY</w:t>
            </w:r>
            <w:r w:rsidRPr="008F3FEE">
              <w:rPr>
                <w:rFonts w:ascii="Calibri" w:hAnsi="Calibri" w:cs="Calibri"/>
                <w:b/>
                <w:sz w:val="20"/>
                <w:szCs w:val="20"/>
                <w:lang w:eastAsia="en-AU"/>
              </w:rPr>
              <w:t>; Ftarg = F</w:t>
            </w:r>
            <w:r w:rsidRPr="008F3FEE">
              <w:rPr>
                <w:rFonts w:ascii="Calibri" w:hAnsi="Calibri" w:cs="Calibri"/>
                <w:b/>
                <w:sz w:val="20"/>
                <w:szCs w:val="20"/>
                <w:vertAlign w:val="subscript"/>
                <w:lang w:eastAsia="en-AU"/>
              </w:rPr>
              <w:t>MSY</w:t>
            </w:r>
            <w:r w:rsidRPr="008F3FEE">
              <w:rPr>
                <w:rFonts w:ascii="Calibri" w:hAnsi="Calibri" w:cs="Calibri"/>
                <w:b/>
                <w:sz w:val="20"/>
                <w:szCs w:val="20"/>
                <w:lang w:eastAsia="en-AU"/>
              </w:rPr>
              <w:t>)</w:t>
            </w:r>
          </w:p>
        </w:tc>
      </w:tr>
      <w:tr w:rsidR="00BB41F2" w:rsidRPr="008F3FEE" w14:paraId="3A33B3F7" w14:textId="77777777" w:rsidTr="00444A1C">
        <w:trPr>
          <w:trHeight w:val="690"/>
          <w:jc w:val="center"/>
        </w:trPr>
        <w:tc>
          <w:tcPr>
            <w:tcW w:w="1730" w:type="dxa"/>
            <w:tcBorders>
              <w:top w:val="single" w:sz="4" w:space="0" w:color="auto"/>
            </w:tcBorders>
            <w:tcMar>
              <w:top w:w="15" w:type="dxa"/>
              <w:left w:w="108" w:type="dxa"/>
              <w:bottom w:w="0" w:type="dxa"/>
              <w:right w:w="108" w:type="dxa"/>
            </w:tcMar>
            <w:vAlign w:val="center"/>
            <w:hideMark/>
          </w:tcPr>
          <w:p w14:paraId="30F5097E" w14:textId="77777777" w:rsidR="00BB41F2" w:rsidRPr="008F3FEE" w:rsidRDefault="00BB41F2" w:rsidP="00444A1C">
            <w:pPr>
              <w:jc w:val="center"/>
              <w:rPr>
                <w:rFonts w:ascii="Calibri" w:hAnsi="Calibri" w:cs="Calibri"/>
                <w:sz w:val="20"/>
                <w:szCs w:val="20"/>
                <w:lang w:eastAsia="en-AU"/>
              </w:rPr>
            </w:pPr>
          </w:p>
        </w:tc>
        <w:tc>
          <w:tcPr>
            <w:tcW w:w="873" w:type="dxa"/>
            <w:tcBorders>
              <w:top w:val="single" w:sz="4" w:space="0" w:color="auto"/>
              <w:bottom w:val="single" w:sz="4" w:space="0" w:color="auto"/>
            </w:tcBorders>
            <w:tcMar>
              <w:top w:w="15" w:type="dxa"/>
              <w:left w:w="108" w:type="dxa"/>
              <w:bottom w:w="0" w:type="dxa"/>
              <w:right w:w="108" w:type="dxa"/>
            </w:tcMar>
            <w:vAlign w:val="center"/>
            <w:hideMark/>
          </w:tcPr>
          <w:p w14:paraId="4379F885" w14:textId="77777777" w:rsidR="00BB41F2" w:rsidRPr="008F3FEE" w:rsidRDefault="00BB41F2" w:rsidP="00444A1C">
            <w:pPr>
              <w:jc w:val="center"/>
              <w:rPr>
                <w:rFonts w:ascii="Calibri" w:hAnsi="Calibri" w:cs="Calibri"/>
                <w:b/>
                <w:bCs/>
                <w:kern w:val="24"/>
                <w:sz w:val="20"/>
                <w:szCs w:val="20"/>
                <w:lang w:eastAsia="en-AU"/>
              </w:rPr>
            </w:pPr>
            <w:r w:rsidRPr="008F3FEE">
              <w:rPr>
                <w:rFonts w:ascii="Calibri" w:hAnsi="Calibri" w:cs="Calibri"/>
                <w:b/>
                <w:bCs/>
                <w:kern w:val="24"/>
                <w:sz w:val="20"/>
                <w:szCs w:val="20"/>
                <w:lang w:eastAsia="en-AU"/>
              </w:rPr>
              <w:t>40%</w:t>
            </w:r>
          </w:p>
          <w:p w14:paraId="393FE6AD" w14:textId="77777777" w:rsidR="00BB41F2" w:rsidRPr="008F3FEE" w:rsidRDefault="00BB41F2" w:rsidP="00444A1C">
            <w:pPr>
              <w:jc w:val="center"/>
              <w:rPr>
                <w:rFonts w:ascii="Calibri" w:hAnsi="Calibri" w:cs="Calibri"/>
                <w:sz w:val="20"/>
                <w:szCs w:val="20"/>
                <w:lang w:eastAsia="en-AU"/>
              </w:rPr>
            </w:pPr>
            <w:r w:rsidRPr="008F3FEE">
              <w:rPr>
                <w:rFonts w:ascii="Calibri" w:hAnsi="Calibri" w:cs="Calibri"/>
                <w:bCs/>
                <w:kern w:val="24"/>
                <w:sz w:val="20"/>
                <w:szCs w:val="20"/>
                <w:lang w:eastAsia="en-AU"/>
              </w:rPr>
              <w:t>(7084 t)</w:t>
            </w:r>
          </w:p>
        </w:tc>
        <w:tc>
          <w:tcPr>
            <w:tcW w:w="1092" w:type="dxa"/>
            <w:tcBorders>
              <w:top w:val="single" w:sz="4" w:space="0" w:color="auto"/>
              <w:bottom w:val="single" w:sz="4" w:space="0" w:color="auto"/>
            </w:tcBorders>
            <w:tcMar>
              <w:top w:w="15" w:type="dxa"/>
              <w:left w:w="108" w:type="dxa"/>
              <w:bottom w:w="0" w:type="dxa"/>
              <w:right w:w="108" w:type="dxa"/>
            </w:tcMar>
            <w:vAlign w:val="center"/>
          </w:tcPr>
          <w:p w14:paraId="638144F3" w14:textId="77777777" w:rsidR="00BB41F2" w:rsidRPr="008F3FEE" w:rsidRDefault="00BB41F2" w:rsidP="00444A1C">
            <w:pPr>
              <w:jc w:val="center"/>
              <w:rPr>
                <w:rFonts w:ascii="Calibri" w:hAnsi="Calibri" w:cs="Calibri"/>
                <w:b/>
                <w:bCs/>
                <w:kern w:val="24"/>
                <w:sz w:val="20"/>
                <w:szCs w:val="20"/>
                <w:lang w:eastAsia="en-AU"/>
              </w:rPr>
            </w:pPr>
            <w:r w:rsidRPr="008F3FEE">
              <w:rPr>
                <w:rFonts w:ascii="Calibri" w:hAnsi="Calibri" w:cs="Calibri"/>
                <w:b/>
                <w:bCs/>
                <w:kern w:val="24"/>
                <w:sz w:val="20"/>
                <w:szCs w:val="20"/>
                <w:lang w:eastAsia="en-AU"/>
              </w:rPr>
              <w:t>60%</w:t>
            </w:r>
          </w:p>
          <w:p w14:paraId="713F10C4" w14:textId="77777777" w:rsidR="00BB41F2" w:rsidRPr="008F3FEE" w:rsidRDefault="00BB41F2" w:rsidP="00444A1C">
            <w:pPr>
              <w:jc w:val="center"/>
              <w:rPr>
                <w:rFonts w:ascii="Calibri" w:hAnsi="Calibri" w:cs="Calibri"/>
                <w:sz w:val="20"/>
                <w:szCs w:val="20"/>
                <w:lang w:eastAsia="en-AU"/>
              </w:rPr>
            </w:pPr>
            <w:r w:rsidRPr="008F3FEE">
              <w:rPr>
                <w:rFonts w:ascii="Calibri" w:hAnsi="Calibri" w:cs="Calibri"/>
                <w:bCs/>
                <w:kern w:val="24"/>
                <w:sz w:val="20"/>
                <w:szCs w:val="20"/>
                <w:lang w:eastAsia="en-AU"/>
              </w:rPr>
              <w:t>(10626 t)</w:t>
            </w:r>
          </w:p>
        </w:tc>
        <w:tc>
          <w:tcPr>
            <w:tcW w:w="796" w:type="dxa"/>
            <w:tcBorders>
              <w:top w:val="single" w:sz="4" w:space="0" w:color="auto"/>
              <w:bottom w:val="single" w:sz="4" w:space="0" w:color="auto"/>
            </w:tcBorders>
            <w:vAlign w:val="center"/>
          </w:tcPr>
          <w:p w14:paraId="1B731E06" w14:textId="77777777" w:rsidR="00BB41F2" w:rsidRPr="008F3FEE" w:rsidRDefault="00BB41F2" w:rsidP="00444A1C">
            <w:pPr>
              <w:jc w:val="center"/>
              <w:rPr>
                <w:rFonts w:ascii="Calibri" w:hAnsi="Calibri" w:cs="Calibri"/>
                <w:b/>
                <w:bCs/>
                <w:kern w:val="24"/>
                <w:sz w:val="20"/>
                <w:szCs w:val="20"/>
                <w:lang w:eastAsia="en-AU"/>
              </w:rPr>
            </w:pPr>
            <w:r w:rsidRPr="008F3FEE">
              <w:rPr>
                <w:rFonts w:ascii="Calibri" w:hAnsi="Calibri" w:cs="Calibri"/>
                <w:b/>
                <w:bCs/>
                <w:kern w:val="24"/>
                <w:sz w:val="20"/>
                <w:szCs w:val="20"/>
                <w:lang w:eastAsia="en-AU"/>
              </w:rPr>
              <w:t>80%</w:t>
            </w:r>
          </w:p>
          <w:p w14:paraId="2A539889" w14:textId="77777777" w:rsidR="00BB41F2" w:rsidRPr="008F3FEE" w:rsidRDefault="00BB41F2" w:rsidP="00444A1C">
            <w:pPr>
              <w:jc w:val="center"/>
              <w:rPr>
                <w:rFonts w:ascii="Calibri" w:hAnsi="Calibri" w:cs="Calibri"/>
                <w:bCs/>
                <w:kern w:val="24"/>
                <w:sz w:val="20"/>
                <w:szCs w:val="20"/>
                <w:lang w:eastAsia="en-AU"/>
              </w:rPr>
            </w:pPr>
            <w:r w:rsidRPr="008F3FEE">
              <w:rPr>
                <w:rFonts w:ascii="Calibri" w:hAnsi="Calibri" w:cs="Calibri"/>
                <w:bCs/>
                <w:kern w:val="24"/>
                <w:sz w:val="20"/>
                <w:szCs w:val="20"/>
                <w:lang w:eastAsia="en-AU"/>
              </w:rPr>
              <w:t>(14168 t)</w:t>
            </w:r>
          </w:p>
        </w:tc>
        <w:tc>
          <w:tcPr>
            <w:tcW w:w="877" w:type="dxa"/>
            <w:tcBorders>
              <w:top w:val="single" w:sz="4" w:space="0" w:color="auto"/>
              <w:bottom w:val="single" w:sz="4" w:space="0" w:color="auto"/>
            </w:tcBorders>
            <w:vAlign w:val="center"/>
          </w:tcPr>
          <w:p w14:paraId="640F76C4" w14:textId="77777777" w:rsidR="00BB41F2" w:rsidRPr="008F3FEE" w:rsidRDefault="00BB41F2" w:rsidP="00444A1C">
            <w:pPr>
              <w:jc w:val="center"/>
              <w:rPr>
                <w:rFonts w:ascii="Calibri" w:hAnsi="Calibri" w:cs="Calibri"/>
                <w:b/>
                <w:bCs/>
                <w:kern w:val="24"/>
                <w:sz w:val="20"/>
                <w:szCs w:val="20"/>
                <w:lang w:eastAsia="en-AU"/>
              </w:rPr>
            </w:pPr>
            <w:r w:rsidRPr="008F3FEE">
              <w:rPr>
                <w:rFonts w:ascii="Calibri" w:hAnsi="Calibri" w:cs="Calibri"/>
                <w:b/>
                <w:bCs/>
                <w:kern w:val="24"/>
                <w:sz w:val="20"/>
                <w:szCs w:val="20"/>
                <w:lang w:eastAsia="en-AU"/>
              </w:rPr>
              <w:t>100%</w:t>
            </w:r>
          </w:p>
          <w:p w14:paraId="404C237B" w14:textId="77777777" w:rsidR="00BB41F2" w:rsidRPr="008F3FEE" w:rsidRDefault="00BB41F2" w:rsidP="00444A1C">
            <w:pPr>
              <w:jc w:val="center"/>
              <w:rPr>
                <w:rFonts w:ascii="Calibri" w:hAnsi="Calibri" w:cs="Calibri"/>
                <w:bCs/>
                <w:kern w:val="24"/>
                <w:sz w:val="20"/>
                <w:szCs w:val="20"/>
                <w:lang w:eastAsia="en-AU"/>
              </w:rPr>
            </w:pPr>
            <w:r w:rsidRPr="008F3FEE">
              <w:rPr>
                <w:rFonts w:ascii="Calibri" w:hAnsi="Calibri" w:cs="Calibri"/>
                <w:bCs/>
                <w:kern w:val="24"/>
                <w:sz w:val="20"/>
                <w:szCs w:val="20"/>
                <w:lang w:eastAsia="en-AU"/>
              </w:rPr>
              <w:t>(17710 t)</w:t>
            </w:r>
          </w:p>
        </w:tc>
        <w:tc>
          <w:tcPr>
            <w:tcW w:w="1225" w:type="dxa"/>
            <w:tcBorders>
              <w:top w:val="single" w:sz="4" w:space="0" w:color="auto"/>
              <w:bottom w:val="single" w:sz="4" w:space="0" w:color="auto"/>
            </w:tcBorders>
            <w:tcMar>
              <w:top w:w="15" w:type="dxa"/>
              <w:left w:w="108" w:type="dxa"/>
              <w:bottom w:w="0" w:type="dxa"/>
              <w:right w:w="108" w:type="dxa"/>
            </w:tcMar>
            <w:vAlign w:val="center"/>
            <w:hideMark/>
          </w:tcPr>
          <w:p w14:paraId="43F9FD33" w14:textId="77777777" w:rsidR="00BB41F2" w:rsidRPr="008F3FEE" w:rsidRDefault="00BB41F2" w:rsidP="00444A1C">
            <w:pPr>
              <w:jc w:val="center"/>
              <w:rPr>
                <w:rFonts w:ascii="Calibri" w:hAnsi="Calibri" w:cs="Calibri"/>
                <w:b/>
                <w:bCs/>
                <w:kern w:val="24"/>
                <w:sz w:val="20"/>
                <w:szCs w:val="20"/>
                <w:lang w:eastAsia="en-AU"/>
              </w:rPr>
            </w:pPr>
            <w:r w:rsidRPr="008F3FEE">
              <w:rPr>
                <w:rFonts w:ascii="Calibri" w:hAnsi="Calibri" w:cs="Calibri"/>
                <w:b/>
                <w:bCs/>
                <w:kern w:val="24"/>
                <w:sz w:val="20"/>
                <w:szCs w:val="20"/>
                <w:lang w:eastAsia="en-AU"/>
              </w:rPr>
              <w:t>120%</w:t>
            </w:r>
          </w:p>
          <w:p w14:paraId="68736D5C" w14:textId="77777777" w:rsidR="00BB41F2" w:rsidRPr="008F3FEE" w:rsidRDefault="00BB41F2" w:rsidP="00444A1C">
            <w:pPr>
              <w:jc w:val="center"/>
              <w:rPr>
                <w:rFonts w:ascii="Calibri" w:hAnsi="Calibri" w:cs="Calibri"/>
                <w:sz w:val="20"/>
                <w:szCs w:val="20"/>
                <w:lang w:eastAsia="en-AU"/>
              </w:rPr>
            </w:pPr>
            <w:r w:rsidRPr="008F3FEE">
              <w:rPr>
                <w:rFonts w:ascii="Calibri" w:hAnsi="Calibri" w:cs="Calibri"/>
                <w:bCs/>
                <w:kern w:val="24"/>
                <w:sz w:val="20"/>
                <w:szCs w:val="20"/>
                <w:lang w:eastAsia="en-AU"/>
              </w:rPr>
              <w:t>(21252 t)</w:t>
            </w:r>
          </w:p>
        </w:tc>
        <w:tc>
          <w:tcPr>
            <w:tcW w:w="877" w:type="dxa"/>
            <w:tcBorders>
              <w:top w:val="single" w:sz="4" w:space="0" w:color="auto"/>
              <w:bottom w:val="single" w:sz="4" w:space="0" w:color="auto"/>
            </w:tcBorders>
            <w:vAlign w:val="center"/>
          </w:tcPr>
          <w:p w14:paraId="2F37487A" w14:textId="77777777" w:rsidR="00BB41F2" w:rsidRPr="008F3FEE" w:rsidRDefault="00BB41F2" w:rsidP="00444A1C">
            <w:pPr>
              <w:jc w:val="center"/>
              <w:rPr>
                <w:rFonts w:ascii="Calibri" w:hAnsi="Calibri" w:cs="Calibri"/>
                <w:b/>
                <w:bCs/>
                <w:kern w:val="24"/>
                <w:sz w:val="20"/>
                <w:szCs w:val="20"/>
                <w:lang w:eastAsia="en-AU"/>
              </w:rPr>
            </w:pPr>
            <w:r w:rsidRPr="008F3FEE">
              <w:rPr>
                <w:rFonts w:ascii="Calibri" w:hAnsi="Calibri" w:cs="Calibri"/>
                <w:b/>
                <w:bCs/>
                <w:kern w:val="24"/>
                <w:sz w:val="20"/>
                <w:szCs w:val="20"/>
                <w:lang w:eastAsia="en-AU"/>
              </w:rPr>
              <w:t>140%</w:t>
            </w:r>
          </w:p>
          <w:p w14:paraId="76E432EE" w14:textId="77777777" w:rsidR="00BB41F2" w:rsidRPr="008F3FEE" w:rsidRDefault="00BB41F2" w:rsidP="00444A1C">
            <w:pPr>
              <w:jc w:val="center"/>
              <w:rPr>
                <w:rFonts w:ascii="Calibri" w:hAnsi="Calibri" w:cs="Calibri"/>
                <w:bCs/>
                <w:kern w:val="24"/>
                <w:sz w:val="20"/>
                <w:szCs w:val="20"/>
                <w:lang w:eastAsia="en-AU"/>
              </w:rPr>
            </w:pPr>
            <w:r w:rsidRPr="008F3FEE">
              <w:rPr>
                <w:rFonts w:ascii="Calibri" w:hAnsi="Calibri" w:cs="Calibri"/>
                <w:bCs/>
                <w:kern w:val="24"/>
                <w:sz w:val="20"/>
                <w:szCs w:val="20"/>
                <w:lang w:eastAsia="en-AU"/>
              </w:rPr>
              <w:t>(24794 t)</w:t>
            </w:r>
          </w:p>
        </w:tc>
        <w:tc>
          <w:tcPr>
            <w:tcW w:w="1177" w:type="dxa"/>
            <w:tcBorders>
              <w:top w:val="single" w:sz="4" w:space="0" w:color="auto"/>
              <w:bottom w:val="single" w:sz="4" w:space="0" w:color="auto"/>
            </w:tcBorders>
            <w:tcMar>
              <w:top w:w="15" w:type="dxa"/>
              <w:left w:w="108" w:type="dxa"/>
              <w:bottom w:w="0" w:type="dxa"/>
              <w:right w:w="108" w:type="dxa"/>
            </w:tcMar>
            <w:vAlign w:val="center"/>
          </w:tcPr>
          <w:p w14:paraId="2B82C0A9" w14:textId="77777777" w:rsidR="00BB41F2" w:rsidRPr="008F3FEE" w:rsidRDefault="00BB41F2" w:rsidP="00444A1C">
            <w:pPr>
              <w:jc w:val="center"/>
              <w:rPr>
                <w:rFonts w:ascii="Calibri" w:hAnsi="Calibri" w:cs="Calibri"/>
                <w:b/>
                <w:bCs/>
                <w:kern w:val="24"/>
                <w:sz w:val="20"/>
                <w:szCs w:val="20"/>
                <w:lang w:eastAsia="en-AU"/>
              </w:rPr>
            </w:pPr>
            <w:r w:rsidRPr="008F3FEE">
              <w:rPr>
                <w:rFonts w:ascii="Calibri" w:hAnsi="Calibri" w:cs="Calibri"/>
                <w:b/>
                <w:bCs/>
                <w:kern w:val="24"/>
                <w:sz w:val="20"/>
                <w:szCs w:val="20"/>
                <w:lang w:eastAsia="en-AU"/>
              </w:rPr>
              <w:t>160%</w:t>
            </w:r>
          </w:p>
          <w:p w14:paraId="5225D1F5" w14:textId="77777777" w:rsidR="00BB41F2" w:rsidRPr="008F3FEE" w:rsidRDefault="00BB41F2" w:rsidP="00444A1C">
            <w:pPr>
              <w:jc w:val="center"/>
              <w:rPr>
                <w:rFonts w:ascii="Calibri" w:hAnsi="Calibri" w:cs="Calibri"/>
                <w:sz w:val="20"/>
                <w:szCs w:val="20"/>
                <w:lang w:eastAsia="en-AU"/>
              </w:rPr>
            </w:pPr>
            <w:r w:rsidRPr="008F3FEE">
              <w:rPr>
                <w:rFonts w:ascii="Calibri" w:hAnsi="Calibri" w:cs="Calibri"/>
                <w:bCs/>
                <w:kern w:val="24"/>
                <w:sz w:val="20"/>
                <w:szCs w:val="20"/>
                <w:lang w:eastAsia="en-AU"/>
              </w:rPr>
              <w:t>(28336 t)</w:t>
            </w:r>
          </w:p>
        </w:tc>
        <w:tc>
          <w:tcPr>
            <w:tcW w:w="1218" w:type="dxa"/>
            <w:tcBorders>
              <w:top w:val="single" w:sz="4" w:space="0" w:color="auto"/>
              <w:bottom w:val="single" w:sz="4" w:space="0" w:color="auto"/>
            </w:tcBorders>
            <w:tcMar>
              <w:top w:w="15" w:type="dxa"/>
              <w:left w:w="108" w:type="dxa"/>
              <w:bottom w:w="0" w:type="dxa"/>
              <w:right w:w="108" w:type="dxa"/>
            </w:tcMar>
            <w:vAlign w:val="center"/>
          </w:tcPr>
          <w:p w14:paraId="0FF4978C" w14:textId="77777777" w:rsidR="00BB41F2" w:rsidRPr="008F3FEE" w:rsidRDefault="00BB41F2" w:rsidP="00444A1C">
            <w:pPr>
              <w:jc w:val="center"/>
              <w:rPr>
                <w:rFonts w:ascii="Calibri" w:hAnsi="Calibri" w:cs="Calibri"/>
                <w:sz w:val="20"/>
                <w:szCs w:val="20"/>
                <w:lang w:eastAsia="en-AU"/>
              </w:rPr>
            </w:pPr>
          </w:p>
        </w:tc>
        <w:tc>
          <w:tcPr>
            <w:tcW w:w="877" w:type="dxa"/>
            <w:tcBorders>
              <w:top w:val="single" w:sz="4" w:space="0" w:color="auto"/>
              <w:bottom w:val="single" w:sz="4" w:space="0" w:color="auto"/>
            </w:tcBorders>
            <w:vAlign w:val="center"/>
          </w:tcPr>
          <w:p w14:paraId="35668CC8" w14:textId="77777777" w:rsidR="00BB41F2" w:rsidRPr="008F3FEE" w:rsidRDefault="00BB41F2" w:rsidP="00444A1C">
            <w:pPr>
              <w:jc w:val="center"/>
              <w:rPr>
                <w:rFonts w:ascii="Calibri" w:hAnsi="Calibri" w:cs="Calibri"/>
                <w:bCs/>
                <w:kern w:val="24"/>
                <w:sz w:val="20"/>
                <w:szCs w:val="20"/>
                <w:lang w:eastAsia="en-AU"/>
              </w:rPr>
            </w:pPr>
          </w:p>
        </w:tc>
      </w:tr>
      <w:tr w:rsidR="00BB41F2" w:rsidRPr="008F3FEE" w14:paraId="1E34C477" w14:textId="77777777" w:rsidTr="00444A1C">
        <w:trPr>
          <w:trHeight w:val="283"/>
          <w:jc w:val="center"/>
        </w:trPr>
        <w:tc>
          <w:tcPr>
            <w:tcW w:w="1730" w:type="dxa"/>
            <w:tcMar>
              <w:top w:w="15" w:type="dxa"/>
              <w:left w:w="108" w:type="dxa"/>
              <w:bottom w:w="0" w:type="dxa"/>
              <w:right w:w="108" w:type="dxa"/>
            </w:tcMar>
            <w:vAlign w:val="center"/>
            <w:hideMark/>
          </w:tcPr>
          <w:p w14:paraId="6C8BE65E" w14:textId="77777777" w:rsidR="00BB41F2" w:rsidRPr="008F3FEE" w:rsidRDefault="00BB41F2" w:rsidP="00444A1C">
            <w:pPr>
              <w:jc w:val="center"/>
              <w:rPr>
                <w:rFonts w:ascii="Calibri" w:hAnsi="Calibri" w:cs="Calibri"/>
                <w:sz w:val="20"/>
                <w:szCs w:val="20"/>
                <w:lang w:eastAsia="en-AU"/>
              </w:rPr>
            </w:pPr>
            <w:r w:rsidRPr="008F3FEE">
              <w:rPr>
                <w:rFonts w:ascii="Calibri" w:eastAsia="PMingLiU" w:hAnsi="Calibri" w:cs="Calibri"/>
                <w:bCs/>
                <w:sz w:val="20"/>
                <w:szCs w:val="20"/>
              </w:rPr>
              <w:t>B</w:t>
            </w:r>
            <w:r w:rsidRPr="008F3FEE">
              <w:rPr>
                <w:rFonts w:ascii="Calibri" w:eastAsia="PMingLiU" w:hAnsi="Calibri" w:cs="Calibri"/>
                <w:bCs/>
                <w:sz w:val="20"/>
                <w:szCs w:val="20"/>
                <w:vertAlign w:val="subscript"/>
              </w:rPr>
              <w:t>2025</w:t>
            </w:r>
            <w:r w:rsidRPr="008F3FEE">
              <w:rPr>
                <w:rFonts w:ascii="Calibri" w:hAnsi="Calibri" w:cs="Calibri"/>
                <w:kern w:val="24"/>
                <w:sz w:val="20"/>
                <w:szCs w:val="20"/>
                <w:lang w:eastAsia="en-AU"/>
              </w:rPr>
              <w:t xml:space="preserve"> &lt; </w:t>
            </w:r>
            <w:r w:rsidRPr="008F3FEE">
              <w:rPr>
                <w:rFonts w:ascii="Calibri" w:eastAsia="PMingLiU" w:hAnsi="Calibri" w:cs="Calibri"/>
                <w:bCs/>
                <w:sz w:val="20"/>
                <w:szCs w:val="20"/>
              </w:rPr>
              <w:t>B</w:t>
            </w:r>
            <w:r w:rsidRPr="008F3FEE">
              <w:rPr>
                <w:rFonts w:ascii="Calibri" w:eastAsia="PMingLiU" w:hAnsi="Calibri" w:cs="Calibri"/>
                <w:bCs/>
                <w:sz w:val="20"/>
                <w:szCs w:val="20"/>
                <w:vertAlign w:val="subscript"/>
              </w:rPr>
              <w:t>MSY</w:t>
            </w:r>
          </w:p>
        </w:tc>
        <w:tc>
          <w:tcPr>
            <w:tcW w:w="873" w:type="dxa"/>
            <w:tcBorders>
              <w:top w:val="single" w:sz="4" w:space="0" w:color="auto"/>
            </w:tcBorders>
            <w:tcMar>
              <w:top w:w="15" w:type="dxa"/>
              <w:left w:w="15" w:type="dxa"/>
              <w:bottom w:w="0" w:type="dxa"/>
              <w:right w:w="15" w:type="dxa"/>
            </w:tcMar>
            <w:vAlign w:val="center"/>
          </w:tcPr>
          <w:p w14:paraId="4E11839B"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23</w:t>
            </w:r>
          </w:p>
        </w:tc>
        <w:tc>
          <w:tcPr>
            <w:tcW w:w="1092" w:type="dxa"/>
            <w:tcBorders>
              <w:top w:val="single" w:sz="4" w:space="0" w:color="auto"/>
            </w:tcBorders>
            <w:tcMar>
              <w:top w:w="15" w:type="dxa"/>
              <w:left w:w="15" w:type="dxa"/>
              <w:bottom w:w="0" w:type="dxa"/>
              <w:right w:w="15" w:type="dxa"/>
            </w:tcMar>
            <w:vAlign w:val="center"/>
          </w:tcPr>
          <w:p w14:paraId="10F2BB09"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31</w:t>
            </w:r>
          </w:p>
        </w:tc>
        <w:tc>
          <w:tcPr>
            <w:tcW w:w="796" w:type="dxa"/>
            <w:tcBorders>
              <w:top w:val="single" w:sz="4" w:space="0" w:color="auto"/>
            </w:tcBorders>
            <w:vAlign w:val="center"/>
          </w:tcPr>
          <w:p w14:paraId="4AFE070F"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40</w:t>
            </w:r>
          </w:p>
        </w:tc>
        <w:tc>
          <w:tcPr>
            <w:tcW w:w="877" w:type="dxa"/>
            <w:tcBorders>
              <w:top w:val="single" w:sz="4" w:space="0" w:color="auto"/>
            </w:tcBorders>
            <w:vAlign w:val="center"/>
          </w:tcPr>
          <w:p w14:paraId="0E61AC89"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49</w:t>
            </w:r>
          </w:p>
        </w:tc>
        <w:tc>
          <w:tcPr>
            <w:tcW w:w="1225" w:type="dxa"/>
            <w:tcBorders>
              <w:top w:val="single" w:sz="4" w:space="0" w:color="auto"/>
            </w:tcBorders>
            <w:tcMar>
              <w:top w:w="15" w:type="dxa"/>
              <w:left w:w="15" w:type="dxa"/>
              <w:bottom w:w="0" w:type="dxa"/>
              <w:right w:w="15" w:type="dxa"/>
            </w:tcMar>
            <w:vAlign w:val="center"/>
          </w:tcPr>
          <w:p w14:paraId="5424AE54"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57</w:t>
            </w:r>
          </w:p>
        </w:tc>
        <w:tc>
          <w:tcPr>
            <w:tcW w:w="877" w:type="dxa"/>
            <w:tcBorders>
              <w:top w:val="single" w:sz="4" w:space="0" w:color="auto"/>
            </w:tcBorders>
            <w:vAlign w:val="center"/>
          </w:tcPr>
          <w:p w14:paraId="1E40ACF3"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64</w:t>
            </w:r>
          </w:p>
        </w:tc>
        <w:tc>
          <w:tcPr>
            <w:tcW w:w="1177" w:type="dxa"/>
            <w:tcBorders>
              <w:top w:val="single" w:sz="4" w:space="0" w:color="auto"/>
            </w:tcBorders>
            <w:tcMar>
              <w:top w:w="15" w:type="dxa"/>
              <w:left w:w="15" w:type="dxa"/>
              <w:bottom w:w="0" w:type="dxa"/>
              <w:right w:w="15" w:type="dxa"/>
            </w:tcMar>
            <w:vAlign w:val="center"/>
          </w:tcPr>
          <w:p w14:paraId="3237B75A"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70</w:t>
            </w:r>
          </w:p>
        </w:tc>
        <w:tc>
          <w:tcPr>
            <w:tcW w:w="1218" w:type="dxa"/>
            <w:tcBorders>
              <w:top w:val="single" w:sz="4" w:space="0" w:color="auto"/>
            </w:tcBorders>
            <w:tcMar>
              <w:top w:w="15" w:type="dxa"/>
              <w:left w:w="15" w:type="dxa"/>
              <w:bottom w:w="0" w:type="dxa"/>
              <w:right w:w="15" w:type="dxa"/>
            </w:tcMar>
            <w:vAlign w:val="bottom"/>
          </w:tcPr>
          <w:p w14:paraId="1E81BFB4" w14:textId="77777777" w:rsidR="00BB41F2" w:rsidRPr="008F3FEE" w:rsidRDefault="00BB41F2" w:rsidP="00444A1C">
            <w:pPr>
              <w:jc w:val="center"/>
              <w:textAlignment w:val="bottom"/>
              <w:rPr>
                <w:rFonts w:ascii="Calibri" w:hAnsi="Calibri" w:cs="Calibri"/>
                <w:sz w:val="20"/>
                <w:szCs w:val="20"/>
                <w:lang w:eastAsia="en-AU"/>
              </w:rPr>
            </w:pPr>
          </w:p>
        </w:tc>
        <w:tc>
          <w:tcPr>
            <w:tcW w:w="877" w:type="dxa"/>
            <w:tcBorders>
              <w:top w:val="single" w:sz="4" w:space="0" w:color="auto"/>
            </w:tcBorders>
            <w:vAlign w:val="bottom"/>
          </w:tcPr>
          <w:p w14:paraId="72A42538" w14:textId="77777777" w:rsidR="00BB41F2" w:rsidRPr="008F3FEE" w:rsidRDefault="00BB41F2" w:rsidP="00444A1C">
            <w:pPr>
              <w:jc w:val="center"/>
              <w:textAlignment w:val="bottom"/>
              <w:rPr>
                <w:rFonts w:ascii="Calibri" w:hAnsi="Calibri" w:cs="Calibri"/>
                <w:sz w:val="20"/>
                <w:szCs w:val="20"/>
                <w:lang w:eastAsia="en-AU"/>
              </w:rPr>
            </w:pPr>
          </w:p>
        </w:tc>
      </w:tr>
      <w:tr w:rsidR="00BB41F2" w:rsidRPr="008F3FEE" w14:paraId="30D44168" w14:textId="77777777" w:rsidTr="00444A1C">
        <w:trPr>
          <w:trHeight w:val="283"/>
          <w:jc w:val="center"/>
        </w:trPr>
        <w:tc>
          <w:tcPr>
            <w:tcW w:w="1730" w:type="dxa"/>
            <w:tcMar>
              <w:top w:w="15" w:type="dxa"/>
              <w:left w:w="108" w:type="dxa"/>
              <w:bottom w:w="0" w:type="dxa"/>
              <w:right w:w="108" w:type="dxa"/>
            </w:tcMar>
            <w:vAlign w:val="center"/>
            <w:hideMark/>
          </w:tcPr>
          <w:p w14:paraId="6961CB17" w14:textId="77777777" w:rsidR="00BB41F2" w:rsidRPr="008F3FEE" w:rsidRDefault="00BB41F2" w:rsidP="00444A1C">
            <w:pPr>
              <w:jc w:val="center"/>
              <w:rPr>
                <w:rFonts w:ascii="Calibri" w:hAnsi="Calibri" w:cs="Calibri"/>
                <w:sz w:val="20"/>
                <w:szCs w:val="20"/>
                <w:lang w:eastAsia="en-AU"/>
              </w:rPr>
            </w:pPr>
            <w:r w:rsidRPr="008F3FEE">
              <w:rPr>
                <w:rFonts w:ascii="Calibri" w:eastAsia="PMingLiU" w:hAnsi="Calibri" w:cs="Calibri"/>
                <w:bCs/>
                <w:sz w:val="20"/>
                <w:szCs w:val="20"/>
              </w:rPr>
              <w:t>F</w:t>
            </w:r>
            <w:r w:rsidRPr="008F3FEE">
              <w:rPr>
                <w:rFonts w:ascii="Calibri" w:eastAsia="PMingLiU" w:hAnsi="Calibri" w:cs="Calibri"/>
                <w:bCs/>
                <w:sz w:val="20"/>
                <w:szCs w:val="20"/>
                <w:vertAlign w:val="subscript"/>
              </w:rPr>
              <w:t>2025</w:t>
            </w:r>
            <w:r w:rsidRPr="008F3FEE">
              <w:rPr>
                <w:rFonts w:ascii="Calibri" w:hAnsi="Calibri" w:cs="Calibri"/>
                <w:kern w:val="24"/>
                <w:sz w:val="20"/>
                <w:szCs w:val="20"/>
                <w:lang w:eastAsia="en-AU"/>
              </w:rPr>
              <w:t xml:space="preserve"> &gt; F</w:t>
            </w:r>
            <w:r w:rsidRPr="008F3FEE">
              <w:rPr>
                <w:rFonts w:ascii="Calibri" w:eastAsia="PMingLiU" w:hAnsi="Calibri" w:cs="Calibri"/>
                <w:bCs/>
                <w:sz w:val="20"/>
                <w:szCs w:val="20"/>
                <w:vertAlign w:val="subscript"/>
              </w:rPr>
              <w:t>MSY</w:t>
            </w:r>
          </w:p>
        </w:tc>
        <w:tc>
          <w:tcPr>
            <w:tcW w:w="873" w:type="dxa"/>
            <w:tcMar>
              <w:top w:w="15" w:type="dxa"/>
              <w:left w:w="15" w:type="dxa"/>
              <w:bottom w:w="0" w:type="dxa"/>
              <w:right w:w="15" w:type="dxa"/>
            </w:tcMar>
            <w:vAlign w:val="center"/>
          </w:tcPr>
          <w:p w14:paraId="67B92498"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6</w:t>
            </w:r>
          </w:p>
        </w:tc>
        <w:tc>
          <w:tcPr>
            <w:tcW w:w="1092" w:type="dxa"/>
            <w:tcMar>
              <w:top w:w="15" w:type="dxa"/>
              <w:left w:w="15" w:type="dxa"/>
              <w:bottom w:w="0" w:type="dxa"/>
              <w:right w:w="15" w:type="dxa"/>
            </w:tcMar>
            <w:vAlign w:val="center"/>
          </w:tcPr>
          <w:p w14:paraId="44BDC2FF"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23</w:t>
            </w:r>
          </w:p>
        </w:tc>
        <w:tc>
          <w:tcPr>
            <w:tcW w:w="796" w:type="dxa"/>
            <w:vAlign w:val="center"/>
          </w:tcPr>
          <w:p w14:paraId="3EEE7A11"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45</w:t>
            </w:r>
          </w:p>
        </w:tc>
        <w:tc>
          <w:tcPr>
            <w:tcW w:w="877" w:type="dxa"/>
            <w:vAlign w:val="center"/>
          </w:tcPr>
          <w:p w14:paraId="5DCDB850"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63</w:t>
            </w:r>
          </w:p>
        </w:tc>
        <w:tc>
          <w:tcPr>
            <w:tcW w:w="1225" w:type="dxa"/>
            <w:tcMar>
              <w:top w:w="15" w:type="dxa"/>
              <w:left w:w="15" w:type="dxa"/>
              <w:bottom w:w="0" w:type="dxa"/>
              <w:right w:w="15" w:type="dxa"/>
            </w:tcMar>
            <w:vAlign w:val="center"/>
          </w:tcPr>
          <w:p w14:paraId="3824C29C"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76</w:t>
            </w:r>
          </w:p>
        </w:tc>
        <w:tc>
          <w:tcPr>
            <w:tcW w:w="877" w:type="dxa"/>
            <w:vAlign w:val="center"/>
          </w:tcPr>
          <w:p w14:paraId="754AA393"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84</w:t>
            </w:r>
          </w:p>
        </w:tc>
        <w:tc>
          <w:tcPr>
            <w:tcW w:w="1177" w:type="dxa"/>
            <w:tcMar>
              <w:top w:w="15" w:type="dxa"/>
              <w:left w:w="15" w:type="dxa"/>
              <w:bottom w:w="0" w:type="dxa"/>
              <w:right w:w="15" w:type="dxa"/>
            </w:tcMar>
            <w:vAlign w:val="center"/>
          </w:tcPr>
          <w:p w14:paraId="4B72347D"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89</w:t>
            </w:r>
          </w:p>
        </w:tc>
        <w:tc>
          <w:tcPr>
            <w:tcW w:w="1218" w:type="dxa"/>
            <w:tcMar>
              <w:top w:w="15" w:type="dxa"/>
              <w:left w:w="15" w:type="dxa"/>
              <w:bottom w:w="0" w:type="dxa"/>
              <w:right w:w="15" w:type="dxa"/>
            </w:tcMar>
            <w:vAlign w:val="bottom"/>
          </w:tcPr>
          <w:p w14:paraId="77548370" w14:textId="77777777" w:rsidR="00BB41F2" w:rsidRPr="008F3FEE" w:rsidRDefault="00BB41F2" w:rsidP="00444A1C">
            <w:pPr>
              <w:jc w:val="center"/>
              <w:textAlignment w:val="bottom"/>
              <w:rPr>
                <w:rFonts w:ascii="Calibri" w:hAnsi="Calibri" w:cs="Calibri"/>
                <w:sz w:val="20"/>
                <w:szCs w:val="20"/>
                <w:lang w:eastAsia="en-AU"/>
              </w:rPr>
            </w:pPr>
          </w:p>
        </w:tc>
        <w:tc>
          <w:tcPr>
            <w:tcW w:w="877" w:type="dxa"/>
            <w:vAlign w:val="bottom"/>
          </w:tcPr>
          <w:p w14:paraId="00434C56" w14:textId="77777777" w:rsidR="00BB41F2" w:rsidRPr="008F3FEE" w:rsidRDefault="00BB41F2" w:rsidP="00444A1C">
            <w:pPr>
              <w:jc w:val="center"/>
              <w:textAlignment w:val="bottom"/>
              <w:rPr>
                <w:rFonts w:ascii="Calibri" w:hAnsi="Calibri" w:cs="Calibri"/>
                <w:sz w:val="20"/>
                <w:szCs w:val="20"/>
                <w:lang w:eastAsia="en-AU"/>
              </w:rPr>
            </w:pPr>
          </w:p>
        </w:tc>
      </w:tr>
      <w:tr w:rsidR="00BB41F2" w:rsidRPr="008F3FEE" w14:paraId="23CBC4C7" w14:textId="77777777" w:rsidTr="00444A1C">
        <w:trPr>
          <w:trHeight w:val="138"/>
          <w:jc w:val="center"/>
        </w:trPr>
        <w:tc>
          <w:tcPr>
            <w:tcW w:w="1730" w:type="dxa"/>
            <w:tcMar>
              <w:top w:w="15" w:type="dxa"/>
              <w:left w:w="108" w:type="dxa"/>
              <w:bottom w:w="0" w:type="dxa"/>
              <w:right w:w="108" w:type="dxa"/>
            </w:tcMar>
            <w:vAlign w:val="center"/>
            <w:hideMark/>
          </w:tcPr>
          <w:p w14:paraId="59DDF52B" w14:textId="77777777" w:rsidR="00BB41F2" w:rsidRPr="008F3FEE" w:rsidRDefault="00BB41F2" w:rsidP="00444A1C">
            <w:pPr>
              <w:jc w:val="center"/>
              <w:rPr>
                <w:rFonts w:ascii="Calibri" w:hAnsi="Calibri" w:cs="Calibri"/>
                <w:sz w:val="20"/>
                <w:szCs w:val="20"/>
                <w:lang w:eastAsia="en-AU"/>
              </w:rPr>
            </w:pPr>
          </w:p>
        </w:tc>
        <w:tc>
          <w:tcPr>
            <w:tcW w:w="873" w:type="dxa"/>
            <w:tcMar>
              <w:top w:w="15" w:type="dxa"/>
              <w:left w:w="15" w:type="dxa"/>
              <w:bottom w:w="0" w:type="dxa"/>
              <w:right w:w="15" w:type="dxa"/>
            </w:tcMar>
            <w:vAlign w:val="center"/>
          </w:tcPr>
          <w:p w14:paraId="3313584D" w14:textId="77777777" w:rsidR="00BB41F2" w:rsidRPr="008F3FEE" w:rsidRDefault="00BB41F2" w:rsidP="00444A1C">
            <w:pPr>
              <w:jc w:val="center"/>
              <w:rPr>
                <w:rFonts w:ascii="Calibri" w:hAnsi="Calibri" w:cs="Calibri"/>
                <w:sz w:val="20"/>
                <w:szCs w:val="20"/>
                <w:lang w:eastAsia="en-AU"/>
              </w:rPr>
            </w:pPr>
          </w:p>
        </w:tc>
        <w:tc>
          <w:tcPr>
            <w:tcW w:w="1092" w:type="dxa"/>
            <w:tcMar>
              <w:top w:w="15" w:type="dxa"/>
              <w:left w:w="15" w:type="dxa"/>
              <w:bottom w:w="0" w:type="dxa"/>
              <w:right w:w="15" w:type="dxa"/>
            </w:tcMar>
            <w:vAlign w:val="center"/>
          </w:tcPr>
          <w:p w14:paraId="082F481C" w14:textId="77777777" w:rsidR="00BB41F2" w:rsidRPr="008F3FEE" w:rsidRDefault="00BB41F2" w:rsidP="00444A1C">
            <w:pPr>
              <w:jc w:val="center"/>
              <w:rPr>
                <w:rFonts w:ascii="Calibri" w:hAnsi="Calibri" w:cs="Calibri"/>
                <w:sz w:val="20"/>
                <w:szCs w:val="20"/>
                <w:lang w:eastAsia="en-AU"/>
              </w:rPr>
            </w:pPr>
          </w:p>
        </w:tc>
        <w:tc>
          <w:tcPr>
            <w:tcW w:w="796" w:type="dxa"/>
            <w:vAlign w:val="center"/>
          </w:tcPr>
          <w:p w14:paraId="18EE0E40" w14:textId="77777777" w:rsidR="00BB41F2" w:rsidRPr="008F3FEE" w:rsidRDefault="00BB41F2" w:rsidP="00444A1C">
            <w:pPr>
              <w:jc w:val="center"/>
              <w:rPr>
                <w:rFonts w:ascii="Calibri" w:hAnsi="Calibri" w:cs="Calibri"/>
                <w:sz w:val="20"/>
                <w:szCs w:val="20"/>
                <w:lang w:eastAsia="en-AU"/>
              </w:rPr>
            </w:pPr>
          </w:p>
        </w:tc>
        <w:tc>
          <w:tcPr>
            <w:tcW w:w="877" w:type="dxa"/>
            <w:vAlign w:val="center"/>
          </w:tcPr>
          <w:p w14:paraId="7FA569F0" w14:textId="77777777" w:rsidR="00BB41F2" w:rsidRPr="008F3FEE" w:rsidRDefault="00BB41F2" w:rsidP="00444A1C">
            <w:pPr>
              <w:jc w:val="center"/>
              <w:rPr>
                <w:rFonts w:ascii="Calibri" w:hAnsi="Calibri" w:cs="Calibri"/>
                <w:sz w:val="20"/>
                <w:szCs w:val="20"/>
                <w:lang w:eastAsia="en-AU"/>
              </w:rPr>
            </w:pPr>
          </w:p>
        </w:tc>
        <w:tc>
          <w:tcPr>
            <w:tcW w:w="1225" w:type="dxa"/>
            <w:tcMar>
              <w:top w:w="15" w:type="dxa"/>
              <w:left w:w="15" w:type="dxa"/>
              <w:bottom w:w="0" w:type="dxa"/>
              <w:right w:w="15" w:type="dxa"/>
            </w:tcMar>
            <w:vAlign w:val="center"/>
          </w:tcPr>
          <w:p w14:paraId="07DE2157" w14:textId="77777777" w:rsidR="00BB41F2" w:rsidRPr="008F3FEE" w:rsidRDefault="00BB41F2" w:rsidP="00444A1C">
            <w:pPr>
              <w:jc w:val="center"/>
              <w:rPr>
                <w:rFonts w:ascii="Calibri" w:hAnsi="Calibri" w:cs="Calibri"/>
                <w:sz w:val="20"/>
                <w:szCs w:val="20"/>
                <w:lang w:eastAsia="en-AU"/>
              </w:rPr>
            </w:pPr>
          </w:p>
        </w:tc>
        <w:tc>
          <w:tcPr>
            <w:tcW w:w="877" w:type="dxa"/>
            <w:vAlign w:val="center"/>
          </w:tcPr>
          <w:p w14:paraId="6FB1B189" w14:textId="77777777" w:rsidR="00BB41F2" w:rsidRPr="008F3FEE" w:rsidRDefault="00BB41F2" w:rsidP="00444A1C">
            <w:pPr>
              <w:jc w:val="center"/>
              <w:rPr>
                <w:rFonts w:ascii="Calibri" w:hAnsi="Calibri" w:cs="Calibri"/>
                <w:sz w:val="20"/>
                <w:szCs w:val="20"/>
                <w:lang w:eastAsia="en-AU"/>
              </w:rPr>
            </w:pPr>
          </w:p>
        </w:tc>
        <w:tc>
          <w:tcPr>
            <w:tcW w:w="1177" w:type="dxa"/>
            <w:tcMar>
              <w:top w:w="15" w:type="dxa"/>
              <w:left w:w="15" w:type="dxa"/>
              <w:bottom w:w="0" w:type="dxa"/>
              <w:right w:w="15" w:type="dxa"/>
            </w:tcMar>
            <w:vAlign w:val="center"/>
          </w:tcPr>
          <w:p w14:paraId="0EF4D80C" w14:textId="77777777" w:rsidR="00BB41F2" w:rsidRPr="008F3FEE" w:rsidRDefault="00BB41F2" w:rsidP="00444A1C">
            <w:pPr>
              <w:jc w:val="center"/>
              <w:rPr>
                <w:rFonts w:ascii="Calibri" w:hAnsi="Calibri" w:cs="Calibri"/>
                <w:sz w:val="20"/>
                <w:szCs w:val="20"/>
                <w:lang w:eastAsia="en-AU"/>
              </w:rPr>
            </w:pPr>
          </w:p>
        </w:tc>
        <w:tc>
          <w:tcPr>
            <w:tcW w:w="1218" w:type="dxa"/>
            <w:tcMar>
              <w:top w:w="15" w:type="dxa"/>
              <w:left w:w="15" w:type="dxa"/>
              <w:bottom w:w="0" w:type="dxa"/>
              <w:right w:w="15" w:type="dxa"/>
            </w:tcMar>
            <w:vAlign w:val="center"/>
          </w:tcPr>
          <w:p w14:paraId="621100D3" w14:textId="77777777" w:rsidR="00BB41F2" w:rsidRPr="008F3FEE" w:rsidRDefault="00BB41F2" w:rsidP="00444A1C">
            <w:pPr>
              <w:jc w:val="center"/>
              <w:rPr>
                <w:rFonts w:ascii="Calibri" w:hAnsi="Calibri" w:cs="Calibri"/>
                <w:sz w:val="20"/>
                <w:szCs w:val="20"/>
                <w:lang w:eastAsia="en-AU"/>
              </w:rPr>
            </w:pPr>
          </w:p>
        </w:tc>
        <w:tc>
          <w:tcPr>
            <w:tcW w:w="877" w:type="dxa"/>
            <w:vAlign w:val="center"/>
          </w:tcPr>
          <w:p w14:paraId="41598EE5" w14:textId="77777777" w:rsidR="00BB41F2" w:rsidRPr="008F3FEE" w:rsidRDefault="00BB41F2" w:rsidP="00444A1C">
            <w:pPr>
              <w:jc w:val="center"/>
              <w:rPr>
                <w:rFonts w:ascii="Calibri" w:hAnsi="Calibri" w:cs="Calibri"/>
                <w:sz w:val="20"/>
                <w:szCs w:val="20"/>
                <w:lang w:eastAsia="en-AU"/>
              </w:rPr>
            </w:pPr>
          </w:p>
        </w:tc>
      </w:tr>
      <w:tr w:rsidR="00BB41F2" w:rsidRPr="008F3FEE" w14:paraId="11D7B1D4" w14:textId="77777777" w:rsidTr="00444A1C">
        <w:trPr>
          <w:trHeight w:val="283"/>
          <w:jc w:val="center"/>
        </w:trPr>
        <w:tc>
          <w:tcPr>
            <w:tcW w:w="1730" w:type="dxa"/>
            <w:tcMar>
              <w:top w:w="15" w:type="dxa"/>
              <w:left w:w="108" w:type="dxa"/>
              <w:bottom w:w="0" w:type="dxa"/>
              <w:right w:w="108" w:type="dxa"/>
            </w:tcMar>
            <w:vAlign w:val="center"/>
            <w:hideMark/>
          </w:tcPr>
          <w:p w14:paraId="5B48DB1C" w14:textId="77777777" w:rsidR="00BB41F2" w:rsidRPr="008F3FEE" w:rsidRDefault="00BB41F2" w:rsidP="00444A1C">
            <w:pPr>
              <w:jc w:val="center"/>
              <w:rPr>
                <w:rFonts w:ascii="Calibri" w:hAnsi="Calibri" w:cs="Calibri"/>
                <w:sz w:val="20"/>
                <w:szCs w:val="20"/>
                <w:lang w:eastAsia="en-AU"/>
              </w:rPr>
            </w:pPr>
            <w:r w:rsidRPr="008F3FEE">
              <w:rPr>
                <w:rFonts w:ascii="Calibri" w:eastAsia="PMingLiU" w:hAnsi="Calibri" w:cs="Calibri"/>
                <w:bCs/>
                <w:sz w:val="20"/>
                <w:szCs w:val="20"/>
              </w:rPr>
              <w:t>B</w:t>
            </w:r>
            <w:r w:rsidRPr="008F3FEE">
              <w:rPr>
                <w:rFonts w:ascii="Calibri" w:eastAsia="PMingLiU" w:hAnsi="Calibri" w:cs="Calibri"/>
                <w:bCs/>
                <w:sz w:val="20"/>
                <w:szCs w:val="20"/>
                <w:vertAlign w:val="subscript"/>
              </w:rPr>
              <w:t>2032</w:t>
            </w:r>
            <w:r w:rsidRPr="008F3FEE">
              <w:rPr>
                <w:rFonts w:ascii="Calibri" w:hAnsi="Calibri" w:cs="Calibri"/>
                <w:kern w:val="24"/>
                <w:sz w:val="20"/>
                <w:szCs w:val="20"/>
                <w:lang w:eastAsia="en-AU"/>
              </w:rPr>
              <w:t xml:space="preserve"> &lt; </w:t>
            </w:r>
            <w:r w:rsidRPr="008F3FEE">
              <w:rPr>
                <w:rFonts w:ascii="Calibri" w:eastAsia="PMingLiU" w:hAnsi="Calibri" w:cs="Calibri"/>
                <w:bCs/>
                <w:sz w:val="20"/>
                <w:szCs w:val="20"/>
              </w:rPr>
              <w:t>B</w:t>
            </w:r>
            <w:r w:rsidRPr="008F3FEE">
              <w:rPr>
                <w:rFonts w:ascii="Calibri" w:eastAsia="PMingLiU" w:hAnsi="Calibri" w:cs="Calibri"/>
                <w:bCs/>
                <w:sz w:val="20"/>
                <w:szCs w:val="20"/>
                <w:vertAlign w:val="subscript"/>
              </w:rPr>
              <w:t>MSY</w:t>
            </w:r>
          </w:p>
        </w:tc>
        <w:tc>
          <w:tcPr>
            <w:tcW w:w="873" w:type="dxa"/>
            <w:tcMar>
              <w:top w:w="15" w:type="dxa"/>
              <w:left w:w="15" w:type="dxa"/>
              <w:bottom w:w="0" w:type="dxa"/>
              <w:right w:w="15" w:type="dxa"/>
            </w:tcMar>
            <w:vAlign w:val="center"/>
          </w:tcPr>
          <w:p w14:paraId="150AB2B1"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8</w:t>
            </w:r>
          </w:p>
        </w:tc>
        <w:tc>
          <w:tcPr>
            <w:tcW w:w="1092" w:type="dxa"/>
            <w:tcMar>
              <w:top w:w="15" w:type="dxa"/>
              <w:left w:w="15" w:type="dxa"/>
              <w:bottom w:w="0" w:type="dxa"/>
              <w:right w:w="15" w:type="dxa"/>
            </w:tcMar>
            <w:vAlign w:val="center"/>
          </w:tcPr>
          <w:p w14:paraId="5675EAE5"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25</w:t>
            </w:r>
          </w:p>
        </w:tc>
        <w:tc>
          <w:tcPr>
            <w:tcW w:w="796" w:type="dxa"/>
            <w:vAlign w:val="center"/>
          </w:tcPr>
          <w:p w14:paraId="04C12EAF"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48</w:t>
            </w:r>
          </w:p>
        </w:tc>
        <w:tc>
          <w:tcPr>
            <w:tcW w:w="877" w:type="dxa"/>
            <w:vAlign w:val="center"/>
          </w:tcPr>
          <w:p w14:paraId="02289ABD"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67</w:t>
            </w:r>
          </w:p>
        </w:tc>
        <w:tc>
          <w:tcPr>
            <w:tcW w:w="1225" w:type="dxa"/>
            <w:tcMar>
              <w:top w:w="15" w:type="dxa"/>
              <w:left w:w="15" w:type="dxa"/>
              <w:bottom w:w="0" w:type="dxa"/>
              <w:right w:w="15" w:type="dxa"/>
            </w:tcMar>
            <w:vAlign w:val="center"/>
          </w:tcPr>
          <w:p w14:paraId="6AC4E9BF"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80</w:t>
            </w:r>
          </w:p>
        </w:tc>
        <w:tc>
          <w:tcPr>
            <w:tcW w:w="877" w:type="dxa"/>
            <w:vAlign w:val="center"/>
          </w:tcPr>
          <w:p w14:paraId="1F484139"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88</w:t>
            </w:r>
          </w:p>
        </w:tc>
        <w:tc>
          <w:tcPr>
            <w:tcW w:w="1177" w:type="dxa"/>
            <w:tcMar>
              <w:top w:w="15" w:type="dxa"/>
              <w:left w:w="15" w:type="dxa"/>
              <w:bottom w:w="0" w:type="dxa"/>
              <w:right w:w="15" w:type="dxa"/>
            </w:tcMar>
            <w:vAlign w:val="center"/>
          </w:tcPr>
          <w:p w14:paraId="31FAE36D"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92</w:t>
            </w:r>
          </w:p>
        </w:tc>
        <w:tc>
          <w:tcPr>
            <w:tcW w:w="1218" w:type="dxa"/>
            <w:tcMar>
              <w:top w:w="15" w:type="dxa"/>
              <w:left w:w="15" w:type="dxa"/>
              <w:bottom w:w="0" w:type="dxa"/>
              <w:right w:w="15" w:type="dxa"/>
            </w:tcMar>
            <w:vAlign w:val="bottom"/>
          </w:tcPr>
          <w:p w14:paraId="00F39D86" w14:textId="77777777" w:rsidR="00BB41F2" w:rsidRPr="008F3FEE" w:rsidRDefault="00BB41F2" w:rsidP="00444A1C">
            <w:pPr>
              <w:jc w:val="center"/>
              <w:textAlignment w:val="bottom"/>
              <w:rPr>
                <w:rFonts w:ascii="Calibri" w:hAnsi="Calibri" w:cs="Calibri"/>
                <w:sz w:val="20"/>
                <w:szCs w:val="20"/>
                <w:lang w:eastAsia="en-AU"/>
              </w:rPr>
            </w:pPr>
          </w:p>
        </w:tc>
        <w:tc>
          <w:tcPr>
            <w:tcW w:w="877" w:type="dxa"/>
            <w:vAlign w:val="bottom"/>
          </w:tcPr>
          <w:p w14:paraId="1CEED7C0" w14:textId="77777777" w:rsidR="00BB41F2" w:rsidRPr="008F3FEE" w:rsidRDefault="00BB41F2" w:rsidP="00444A1C">
            <w:pPr>
              <w:jc w:val="center"/>
              <w:textAlignment w:val="bottom"/>
              <w:rPr>
                <w:rFonts w:ascii="Calibri" w:hAnsi="Calibri" w:cs="Calibri"/>
                <w:sz w:val="20"/>
                <w:szCs w:val="20"/>
                <w:lang w:eastAsia="en-AU"/>
              </w:rPr>
            </w:pPr>
          </w:p>
        </w:tc>
      </w:tr>
      <w:tr w:rsidR="00BB41F2" w:rsidRPr="008F3FEE" w14:paraId="3FCB1DF1" w14:textId="77777777" w:rsidTr="00444A1C">
        <w:trPr>
          <w:trHeight w:val="283"/>
          <w:jc w:val="center"/>
        </w:trPr>
        <w:tc>
          <w:tcPr>
            <w:tcW w:w="1730" w:type="dxa"/>
            <w:tcBorders>
              <w:bottom w:val="single" w:sz="4" w:space="0" w:color="auto"/>
            </w:tcBorders>
            <w:tcMar>
              <w:top w:w="15" w:type="dxa"/>
              <w:left w:w="108" w:type="dxa"/>
              <w:bottom w:w="0" w:type="dxa"/>
              <w:right w:w="108" w:type="dxa"/>
            </w:tcMar>
            <w:vAlign w:val="center"/>
            <w:hideMark/>
          </w:tcPr>
          <w:p w14:paraId="1ACDBF2A" w14:textId="77777777" w:rsidR="00BB41F2" w:rsidRPr="008F3FEE" w:rsidRDefault="00BB41F2" w:rsidP="00444A1C">
            <w:pPr>
              <w:jc w:val="center"/>
              <w:rPr>
                <w:rFonts w:ascii="Calibri" w:hAnsi="Calibri" w:cs="Calibri"/>
                <w:sz w:val="20"/>
                <w:szCs w:val="20"/>
                <w:lang w:eastAsia="en-AU"/>
              </w:rPr>
            </w:pPr>
            <w:r w:rsidRPr="008F3FEE">
              <w:rPr>
                <w:rFonts w:ascii="Calibri" w:eastAsia="PMingLiU" w:hAnsi="Calibri" w:cs="Calibri"/>
                <w:bCs/>
                <w:sz w:val="20"/>
                <w:szCs w:val="20"/>
              </w:rPr>
              <w:t>F</w:t>
            </w:r>
            <w:r w:rsidRPr="008F3FEE">
              <w:rPr>
                <w:rFonts w:ascii="Calibri" w:eastAsia="PMingLiU" w:hAnsi="Calibri" w:cs="Calibri"/>
                <w:bCs/>
                <w:sz w:val="20"/>
                <w:szCs w:val="20"/>
                <w:vertAlign w:val="subscript"/>
              </w:rPr>
              <w:t>2032</w:t>
            </w:r>
            <w:r w:rsidRPr="008F3FEE">
              <w:rPr>
                <w:rFonts w:ascii="Calibri" w:hAnsi="Calibri" w:cs="Calibri"/>
                <w:kern w:val="24"/>
                <w:sz w:val="20"/>
                <w:szCs w:val="20"/>
                <w:lang w:eastAsia="en-AU"/>
              </w:rPr>
              <w:t xml:space="preserve"> &gt; F</w:t>
            </w:r>
            <w:r w:rsidRPr="008F3FEE">
              <w:rPr>
                <w:rFonts w:ascii="Calibri" w:eastAsia="PMingLiU" w:hAnsi="Calibri" w:cs="Calibri"/>
                <w:bCs/>
                <w:sz w:val="20"/>
                <w:szCs w:val="20"/>
                <w:vertAlign w:val="subscript"/>
              </w:rPr>
              <w:t>MSY</w:t>
            </w:r>
          </w:p>
        </w:tc>
        <w:tc>
          <w:tcPr>
            <w:tcW w:w="873" w:type="dxa"/>
            <w:tcBorders>
              <w:bottom w:val="single" w:sz="4" w:space="0" w:color="auto"/>
            </w:tcBorders>
            <w:tcMar>
              <w:top w:w="15" w:type="dxa"/>
              <w:left w:w="15" w:type="dxa"/>
              <w:bottom w:w="0" w:type="dxa"/>
              <w:right w:w="15" w:type="dxa"/>
            </w:tcMar>
            <w:vAlign w:val="center"/>
          </w:tcPr>
          <w:p w14:paraId="622B5F5F"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4</w:t>
            </w:r>
          </w:p>
        </w:tc>
        <w:tc>
          <w:tcPr>
            <w:tcW w:w="1092" w:type="dxa"/>
            <w:tcBorders>
              <w:bottom w:val="single" w:sz="4" w:space="0" w:color="auto"/>
            </w:tcBorders>
            <w:tcMar>
              <w:top w:w="15" w:type="dxa"/>
              <w:left w:w="15" w:type="dxa"/>
              <w:bottom w:w="0" w:type="dxa"/>
              <w:right w:w="15" w:type="dxa"/>
            </w:tcMar>
            <w:vAlign w:val="center"/>
          </w:tcPr>
          <w:p w14:paraId="34F6AF0B"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21</w:t>
            </w:r>
          </w:p>
        </w:tc>
        <w:tc>
          <w:tcPr>
            <w:tcW w:w="796" w:type="dxa"/>
            <w:tcBorders>
              <w:bottom w:val="single" w:sz="4" w:space="0" w:color="auto"/>
            </w:tcBorders>
            <w:vAlign w:val="center"/>
          </w:tcPr>
          <w:p w14:paraId="76A60DF6"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49</w:t>
            </w:r>
          </w:p>
        </w:tc>
        <w:tc>
          <w:tcPr>
            <w:tcW w:w="877" w:type="dxa"/>
            <w:tcBorders>
              <w:bottom w:val="single" w:sz="4" w:space="0" w:color="auto"/>
            </w:tcBorders>
            <w:vAlign w:val="center"/>
          </w:tcPr>
          <w:p w14:paraId="5B7295D2"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71</w:t>
            </w:r>
          </w:p>
        </w:tc>
        <w:tc>
          <w:tcPr>
            <w:tcW w:w="1225" w:type="dxa"/>
            <w:tcBorders>
              <w:bottom w:val="single" w:sz="4" w:space="0" w:color="auto"/>
            </w:tcBorders>
            <w:tcMar>
              <w:top w:w="15" w:type="dxa"/>
              <w:left w:w="15" w:type="dxa"/>
              <w:bottom w:w="0" w:type="dxa"/>
              <w:right w:w="15" w:type="dxa"/>
            </w:tcMar>
            <w:vAlign w:val="center"/>
          </w:tcPr>
          <w:p w14:paraId="55EA7214"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84</w:t>
            </w:r>
          </w:p>
        </w:tc>
        <w:tc>
          <w:tcPr>
            <w:tcW w:w="877" w:type="dxa"/>
            <w:tcBorders>
              <w:bottom w:val="single" w:sz="4" w:space="0" w:color="auto"/>
            </w:tcBorders>
            <w:vAlign w:val="center"/>
          </w:tcPr>
          <w:p w14:paraId="1E274C79" w14:textId="77777777" w:rsidR="00BB41F2" w:rsidRPr="008F3FEE" w:rsidRDefault="00BB41F2" w:rsidP="00444A1C">
            <w:pPr>
              <w:jc w:val="center"/>
              <w:textAlignment w:val="bottom"/>
              <w:rPr>
                <w:rFonts w:ascii="Calibri" w:hAnsi="Calibri" w:cs="Calibri"/>
                <w:sz w:val="20"/>
                <w:szCs w:val="20"/>
                <w:lang w:eastAsia="ja-JP"/>
              </w:rPr>
            </w:pPr>
            <w:r w:rsidRPr="008F3FEE">
              <w:rPr>
                <w:rFonts w:ascii="Calibri" w:hAnsi="Calibri" w:cs="Calibri"/>
                <w:color w:val="000000"/>
                <w:sz w:val="20"/>
                <w:szCs w:val="20"/>
              </w:rPr>
              <w:t>91</w:t>
            </w:r>
          </w:p>
        </w:tc>
        <w:tc>
          <w:tcPr>
            <w:tcW w:w="1177" w:type="dxa"/>
            <w:tcBorders>
              <w:bottom w:val="single" w:sz="4" w:space="0" w:color="auto"/>
            </w:tcBorders>
            <w:tcMar>
              <w:top w:w="15" w:type="dxa"/>
              <w:left w:w="15" w:type="dxa"/>
              <w:bottom w:w="0" w:type="dxa"/>
              <w:right w:w="15" w:type="dxa"/>
            </w:tcMar>
            <w:vAlign w:val="center"/>
          </w:tcPr>
          <w:p w14:paraId="64AD8450" w14:textId="77777777" w:rsidR="00BB41F2" w:rsidRPr="008F3FEE" w:rsidRDefault="00BB41F2" w:rsidP="00444A1C">
            <w:pPr>
              <w:jc w:val="center"/>
              <w:textAlignment w:val="bottom"/>
              <w:rPr>
                <w:rFonts w:ascii="Calibri" w:hAnsi="Calibri" w:cs="Calibri"/>
                <w:sz w:val="20"/>
                <w:szCs w:val="20"/>
                <w:lang w:eastAsia="en-AU"/>
              </w:rPr>
            </w:pPr>
            <w:r w:rsidRPr="008F3FEE">
              <w:rPr>
                <w:rFonts w:ascii="Calibri" w:hAnsi="Calibri" w:cs="Calibri"/>
                <w:color w:val="000000"/>
                <w:sz w:val="20"/>
                <w:szCs w:val="20"/>
              </w:rPr>
              <w:t>95</w:t>
            </w:r>
          </w:p>
        </w:tc>
        <w:tc>
          <w:tcPr>
            <w:tcW w:w="1218" w:type="dxa"/>
            <w:tcBorders>
              <w:bottom w:val="single" w:sz="4" w:space="0" w:color="auto"/>
            </w:tcBorders>
            <w:tcMar>
              <w:top w:w="15" w:type="dxa"/>
              <w:left w:w="15" w:type="dxa"/>
              <w:bottom w:w="0" w:type="dxa"/>
              <w:right w:w="15" w:type="dxa"/>
            </w:tcMar>
            <w:vAlign w:val="bottom"/>
          </w:tcPr>
          <w:p w14:paraId="6FB9E067" w14:textId="77777777" w:rsidR="00BB41F2" w:rsidRPr="008F3FEE" w:rsidRDefault="00BB41F2" w:rsidP="00444A1C">
            <w:pPr>
              <w:jc w:val="center"/>
              <w:textAlignment w:val="bottom"/>
              <w:rPr>
                <w:rFonts w:ascii="Calibri" w:hAnsi="Calibri" w:cs="Calibri"/>
                <w:sz w:val="20"/>
                <w:szCs w:val="20"/>
                <w:lang w:eastAsia="en-AU"/>
              </w:rPr>
            </w:pPr>
          </w:p>
        </w:tc>
        <w:tc>
          <w:tcPr>
            <w:tcW w:w="877" w:type="dxa"/>
            <w:tcBorders>
              <w:bottom w:val="single" w:sz="4" w:space="0" w:color="auto"/>
            </w:tcBorders>
            <w:vAlign w:val="bottom"/>
          </w:tcPr>
          <w:p w14:paraId="48E2CC79" w14:textId="77777777" w:rsidR="00BB41F2" w:rsidRPr="008F3FEE" w:rsidRDefault="00BB41F2" w:rsidP="00444A1C">
            <w:pPr>
              <w:jc w:val="center"/>
              <w:textAlignment w:val="bottom"/>
              <w:rPr>
                <w:rFonts w:ascii="Calibri" w:hAnsi="Calibri" w:cs="Calibri"/>
                <w:sz w:val="20"/>
                <w:szCs w:val="20"/>
                <w:lang w:eastAsia="en-AU"/>
              </w:rPr>
            </w:pPr>
          </w:p>
        </w:tc>
      </w:tr>
    </w:tbl>
    <w:p w14:paraId="6E48742D" w14:textId="77777777" w:rsidR="00BB41F2" w:rsidRPr="008F3FEE" w:rsidRDefault="00BB41F2" w:rsidP="00BB41F2">
      <w:pPr>
        <w:rPr>
          <w:rFonts w:ascii="Calibri" w:hAnsi="Calibri" w:cs="Calibri"/>
          <w:i/>
          <w:iCs/>
          <w:sz w:val="20"/>
          <w:szCs w:val="20"/>
        </w:rPr>
      </w:pPr>
    </w:p>
    <w:p w14:paraId="6C9DC314" w14:textId="77777777" w:rsidR="00BB41F2" w:rsidRPr="008F3FEE" w:rsidRDefault="00BB41F2" w:rsidP="00BB41F2">
      <w:pPr>
        <w:ind w:right="90"/>
        <w:rPr>
          <w:rFonts w:ascii="Calibri" w:hAnsi="Calibri" w:cs="Calibri"/>
          <w:b/>
          <w:sz w:val="20"/>
          <w:szCs w:val="20"/>
        </w:rPr>
      </w:pPr>
    </w:p>
    <w:p w14:paraId="7B51C348" w14:textId="77777777" w:rsidR="00BB41F2" w:rsidRPr="008F3FEE" w:rsidRDefault="00BB41F2" w:rsidP="00BB41F2">
      <w:pPr>
        <w:ind w:right="90"/>
        <w:rPr>
          <w:rFonts w:ascii="Calibri" w:hAnsi="Calibri" w:cs="Calibri"/>
          <w:b/>
          <w:sz w:val="20"/>
          <w:szCs w:val="20"/>
        </w:rPr>
      </w:pPr>
    </w:p>
    <w:p w14:paraId="3BC7E51F" w14:textId="77777777" w:rsidR="00BB41F2" w:rsidRPr="008F3FEE" w:rsidRDefault="00BB41F2" w:rsidP="00BB41F2">
      <w:pPr>
        <w:keepNext/>
        <w:ind w:right="91"/>
        <w:rPr>
          <w:rFonts w:ascii="Calibri" w:hAnsi="Calibri" w:cs="Calibri"/>
          <w:sz w:val="20"/>
          <w:szCs w:val="20"/>
          <w:lang w:eastAsia="en-GB"/>
        </w:rPr>
      </w:pPr>
      <w:r w:rsidRPr="008F3FEE">
        <w:rPr>
          <w:rFonts w:ascii="Calibri" w:hAnsi="Calibri" w:cs="Calibri"/>
          <w:b/>
          <w:sz w:val="20"/>
          <w:szCs w:val="20"/>
        </w:rPr>
        <w:t>Table 3.</w:t>
      </w:r>
      <w:r w:rsidRPr="008F3FEE">
        <w:rPr>
          <w:rFonts w:ascii="Calibri" w:hAnsi="Calibri" w:cs="Calibri"/>
          <w:sz w:val="20"/>
          <w:szCs w:val="20"/>
        </w:rPr>
        <w:t xml:space="preserve"> Black marlin: </w:t>
      </w:r>
      <w:r w:rsidRPr="008F3FEE">
        <w:rPr>
          <w:rFonts w:ascii="Calibri" w:hAnsi="Calibri" w:cs="Calibri"/>
          <w:sz w:val="20"/>
          <w:szCs w:val="20"/>
          <w:lang w:eastAsia="en-GB"/>
        </w:rPr>
        <w:t>Probability (</w:t>
      </w:r>
      <w:r w:rsidRPr="008F3FEE">
        <w:rPr>
          <w:rFonts w:ascii="Calibri" w:hAnsi="Calibri" w:cs="Calibri"/>
          <w:kern w:val="24"/>
          <w:sz w:val="20"/>
          <w:szCs w:val="20"/>
          <w:lang w:eastAsia="en-AU"/>
        </w:rPr>
        <w:t xml:space="preserve">percentage) </w:t>
      </w:r>
      <w:r w:rsidRPr="008F3FEE">
        <w:rPr>
          <w:rFonts w:ascii="Calibri" w:hAnsi="Calibri" w:cs="Calibri"/>
          <w:sz w:val="20"/>
          <w:szCs w:val="20"/>
          <w:lang w:eastAsia="en-GB"/>
        </w:rPr>
        <w:t>of achieving the KOBE green quadrat from 2023-2032 for a range of constant catch projections (JABBA).</w:t>
      </w:r>
    </w:p>
    <w:p w14:paraId="7EAD9BA4" w14:textId="77777777" w:rsidR="00BB41F2" w:rsidRPr="008F3FEE" w:rsidRDefault="00BB41F2" w:rsidP="00BB41F2">
      <w:pPr>
        <w:keepNext/>
        <w:ind w:right="91"/>
        <w:rPr>
          <w:rFonts w:ascii="Calibri" w:hAnsi="Calibri" w:cs="Calibri"/>
          <w:sz w:val="20"/>
          <w:szCs w:val="20"/>
          <w:lang w:eastAsia="en-GB"/>
        </w:rPr>
      </w:pPr>
    </w:p>
    <w:tbl>
      <w:tblPr>
        <w:tblW w:w="9946" w:type="dxa"/>
        <w:tblLook w:val="04A0" w:firstRow="1" w:lastRow="0" w:firstColumn="1" w:lastColumn="0" w:noHBand="0" w:noVBand="1"/>
      </w:tblPr>
      <w:tblGrid>
        <w:gridCol w:w="1906"/>
        <w:gridCol w:w="800"/>
        <w:gridCol w:w="800"/>
        <w:gridCol w:w="800"/>
        <w:gridCol w:w="800"/>
        <w:gridCol w:w="820"/>
        <w:gridCol w:w="800"/>
        <w:gridCol w:w="800"/>
        <w:gridCol w:w="820"/>
        <w:gridCol w:w="800"/>
        <w:gridCol w:w="800"/>
      </w:tblGrid>
      <w:tr w:rsidR="00BB41F2" w:rsidRPr="008F3FEE" w14:paraId="51E731A0" w14:textId="77777777" w:rsidTr="3F1DEBE1">
        <w:trPr>
          <w:trHeight w:val="310"/>
        </w:trPr>
        <w:tc>
          <w:tcPr>
            <w:tcW w:w="1906" w:type="dxa"/>
            <w:tcBorders>
              <w:top w:val="nil"/>
              <w:left w:val="nil"/>
              <w:bottom w:val="nil"/>
              <w:right w:val="nil"/>
            </w:tcBorders>
            <w:noWrap/>
            <w:vAlign w:val="center"/>
            <w:hideMark/>
          </w:tcPr>
          <w:p w14:paraId="6538EA6C" w14:textId="77777777" w:rsidR="00BB41F2" w:rsidRPr="008F3FEE" w:rsidRDefault="00BB41F2" w:rsidP="00444A1C">
            <w:pPr>
              <w:rPr>
                <w:rFonts w:ascii="Calibri" w:hAnsi="Calibri" w:cs="Calibri"/>
                <w:color w:val="000000"/>
                <w:sz w:val="20"/>
                <w:szCs w:val="20"/>
                <w:lang w:val="en-US" w:eastAsia="zh-CN" w:bidi="he-IL"/>
              </w:rPr>
            </w:pPr>
            <w:r w:rsidRPr="008F3FEE">
              <w:rPr>
                <w:rFonts w:ascii="Calibri" w:hAnsi="Calibri" w:cs="Calibri"/>
                <w:color w:val="000000"/>
                <w:sz w:val="20"/>
                <w:szCs w:val="20"/>
                <w:lang w:val="en-US" w:eastAsia="zh-CN" w:bidi="he-IL"/>
              </w:rPr>
              <w:t>Catch (t)| Year</w:t>
            </w:r>
          </w:p>
        </w:tc>
        <w:tc>
          <w:tcPr>
            <w:tcW w:w="800" w:type="dxa"/>
            <w:tcBorders>
              <w:top w:val="nil"/>
              <w:left w:val="nil"/>
              <w:bottom w:val="nil"/>
              <w:right w:val="nil"/>
            </w:tcBorders>
            <w:noWrap/>
            <w:vAlign w:val="center"/>
            <w:hideMark/>
          </w:tcPr>
          <w:p w14:paraId="53861736"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color w:val="000000"/>
                <w:sz w:val="20"/>
                <w:szCs w:val="20"/>
                <w:lang w:val="en-US" w:eastAsia="zh-CN" w:bidi="he-IL"/>
              </w:rPr>
              <w:t>2023</w:t>
            </w:r>
          </w:p>
        </w:tc>
        <w:tc>
          <w:tcPr>
            <w:tcW w:w="800" w:type="dxa"/>
            <w:tcBorders>
              <w:top w:val="nil"/>
              <w:left w:val="nil"/>
              <w:bottom w:val="nil"/>
              <w:right w:val="nil"/>
            </w:tcBorders>
            <w:noWrap/>
            <w:vAlign w:val="center"/>
            <w:hideMark/>
          </w:tcPr>
          <w:p w14:paraId="5A35549F"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color w:val="000000"/>
                <w:sz w:val="20"/>
                <w:szCs w:val="20"/>
                <w:lang w:val="en-US" w:eastAsia="zh-CN" w:bidi="he-IL"/>
              </w:rPr>
              <w:t>2024</w:t>
            </w:r>
          </w:p>
        </w:tc>
        <w:tc>
          <w:tcPr>
            <w:tcW w:w="800" w:type="dxa"/>
            <w:tcBorders>
              <w:top w:val="nil"/>
              <w:left w:val="nil"/>
              <w:bottom w:val="nil"/>
              <w:right w:val="nil"/>
            </w:tcBorders>
            <w:noWrap/>
            <w:vAlign w:val="center"/>
            <w:hideMark/>
          </w:tcPr>
          <w:p w14:paraId="4AFC4814"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color w:val="000000"/>
                <w:sz w:val="20"/>
                <w:szCs w:val="20"/>
                <w:lang w:val="en-US" w:eastAsia="zh-CN" w:bidi="he-IL"/>
              </w:rPr>
              <w:t>2025</w:t>
            </w:r>
          </w:p>
        </w:tc>
        <w:tc>
          <w:tcPr>
            <w:tcW w:w="800" w:type="dxa"/>
            <w:tcBorders>
              <w:top w:val="nil"/>
              <w:left w:val="nil"/>
              <w:bottom w:val="nil"/>
              <w:right w:val="nil"/>
            </w:tcBorders>
            <w:noWrap/>
            <w:vAlign w:val="center"/>
            <w:hideMark/>
          </w:tcPr>
          <w:p w14:paraId="4B660BD2"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color w:val="000000"/>
                <w:sz w:val="20"/>
                <w:szCs w:val="20"/>
                <w:lang w:val="en-US" w:eastAsia="zh-CN" w:bidi="he-IL"/>
              </w:rPr>
              <w:t>2026</w:t>
            </w:r>
          </w:p>
        </w:tc>
        <w:tc>
          <w:tcPr>
            <w:tcW w:w="820" w:type="dxa"/>
            <w:tcBorders>
              <w:top w:val="nil"/>
              <w:left w:val="nil"/>
              <w:bottom w:val="nil"/>
              <w:right w:val="nil"/>
            </w:tcBorders>
            <w:noWrap/>
            <w:vAlign w:val="center"/>
            <w:hideMark/>
          </w:tcPr>
          <w:p w14:paraId="24E047FD"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color w:val="000000"/>
                <w:sz w:val="20"/>
                <w:szCs w:val="20"/>
                <w:lang w:val="en-US" w:eastAsia="zh-CN" w:bidi="he-IL"/>
              </w:rPr>
              <w:t>2027</w:t>
            </w:r>
          </w:p>
        </w:tc>
        <w:tc>
          <w:tcPr>
            <w:tcW w:w="800" w:type="dxa"/>
            <w:tcBorders>
              <w:top w:val="nil"/>
              <w:left w:val="nil"/>
              <w:bottom w:val="nil"/>
              <w:right w:val="nil"/>
            </w:tcBorders>
            <w:noWrap/>
            <w:vAlign w:val="center"/>
            <w:hideMark/>
          </w:tcPr>
          <w:p w14:paraId="4B368070"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color w:val="000000"/>
                <w:sz w:val="20"/>
                <w:szCs w:val="20"/>
                <w:lang w:val="en-US" w:eastAsia="zh-CN" w:bidi="he-IL"/>
              </w:rPr>
              <w:t>2028</w:t>
            </w:r>
          </w:p>
        </w:tc>
        <w:tc>
          <w:tcPr>
            <w:tcW w:w="800" w:type="dxa"/>
            <w:tcBorders>
              <w:top w:val="nil"/>
              <w:left w:val="nil"/>
              <w:bottom w:val="nil"/>
              <w:right w:val="nil"/>
            </w:tcBorders>
            <w:noWrap/>
            <w:vAlign w:val="center"/>
            <w:hideMark/>
          </w:tcPr>
          <w:p w14:paraId="04EA2621"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color w:val="000000"/>
                <w:sz w:val="20"/>
                <w:szCs w:val="20"/>
                <w:lang w:val="en-US" w:eastAsia="zh-CN" w:bidi="he-IL"/>
              </w:rPr>
              <w:t>2029</w:t>
            </w:r>
          </w:p>
        </w:tc>
        <w:tc>
          <w:tcPr>
            <w:tcW w:w="820" w:type="dxa"/>
            <w:tcBorders>
              <w:top w:val="nil"/>
              <w:left w:val="nil"/>
              <w:bottom w:val="nil"/>
              <w:right w:val="nil"/>
            </w:tcBorders>
            <w:noWrap/>
            <w:vAlign w:val="center"/>
            <w:hideMark/>
          </w:tcPr>
          <w:p w14:paraId="25C56082"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color w:val="000000"/>
                <w:sz w:val="20"/>
                <w:szCs w:val="20"/>
                <w:lang w:val="en-US" w:eastAsia="zh-CN" w:bidi="he-IL"/>
              </w:rPr>
              <w:t>2030</w:t>
            </w:r>
          </w:p>
        </w:tc>
        <w:tc>
          <w:tcPr>
            <w:tcW w:w="800" w:type="dxa"/>
            <w:tcBorders>
              <w:top w:val="nil"/>
              <w:left w:val="nil"/>
              <w:bottom w:val="nil"/>
              <w:right w:val="nil"/>
            </w:tcBorders>
            <w:noWrap/>
            <w:vAlign w:val="center"/>
            <w:hideMark/>
          </w:tcPr>
          <w:p w14:paraId="20142EA0"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color w:val="000000"/>
                <w:sz w:val="20"/>
                <w:szCs w:val="20"/>
                <w:lang w:val="en-US" w:eastAsia="zh-CN" w:bidi="he-IL"/>
              </w:rPr>
              <w:t>2031</w:t>
            </w:r>
          </w:p>
        </w:tc>
        <w:tc>
          <w:tcPr>
            <w:tcW w:w="800" w:type="dxa"/>
            <w:tcBorders>
              <w:top w:val="nil"/>
              <w:left w:val="nil"/>
              <w:bottom w:val="nil"/>
              <w:right w:val="nil"/>
            </w:tcBorders>
            <w:noWrap/>
            <w:vAlign w:val="center"/>
            <w:hideMark/>
          </w:tcPr>
          <w:p w14:paraId="414D69F8"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color w:val="000000"/>
                <w:sz w:val="20"/>
                <w:szCs w:val="20"/>
                <w:lang w:val="en-US" w:eastAsia="zh-CN" w:bidi="he-IL"/>
              </w:rPr>
              <w:t>2032</w:t>
            </w:r>
          </w:p>
        </w:tc>
      </w:tr>
      <w:tr w:rsidR="00BB41F2" w:rsidRPr="008F3FEE" w14:paraId="744DA7B4" w14:textId="77777777" w:rsidTr="3F1DEBE1">
        <w:trPr>
          <w:trHeight w:val="300"/>
        </w:trPr>
        <w:tc>
          <w:tcPr>
            <w:tcW w:w="1906" w:type="dxa"/>
            <w:tcBorders>
              <w:top w:val="nil"/>
              <w:left w:val="nil"/>
              <w:bottom w:val="nil"/>
              <w:right w:val="nil"/>
            </w:tcBorders>
            <w:noWrap/>
            <w:vAlign w:val="center"/>
            <w:hideMark/>
          </w:tcPr>
          <w:p w14:paraId="2D679B7F" w14:textId="77777777" w:rsidR="00BB41F2" w:rsidRPr="008F3FEE" w:rsidRDefault="00BB41F2" w:rsidP="00444A1C">
            <w:pPr>
              <w:rPr>
                <w:rFonts w:ascii="Calibri" w:hAnsi="Calibri" w:cs="Calibri"/>
                <w:color w:val="000000"/>
                <w:sz w:val="20"/>
                <w:szCs w:val="20"/>
                <w:lang w:val="en-US" w:eastAsia="zh-CN" w:bidi="he-IL"/>
              </w:rPr>
            </w:pPr>
            <w:r w:rsidRPr="008F3FEE">
              <w:rPr>
                <w:rFonts w:ascii="Calibri" w:hAnsi="Calibri" w:cs="Calibri"/>
                <w:color w:val="000000"/>
                <w:sz w:val="20"/>
                <w:szCs w:val="20"/>
              </w:rPr>
              <w:t>7084 (40%)</w:t>
            </w:r>
          </w:p>
        </w:tc>
        <w:tc>
          <w:tcPr>
            <w:tcW w:w="800" w:type="dxa"/>
            <w:tcBorders>
              <w:top w:val="nil"/>
              <w:left w:val="nil"/>
              <w:bottom w:val="nil"/>
              <w:right w:val="nil"/>
            </w:tcBorders>
            <w:noWrap/>
            <w:hideMark/>
          </w:tcPr>
          <w:p w14:paraId="7AC51ED7"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65</w:t>
            </w:r>
          </w:p>
        </w:tc>
        <w:tc>
          <w:tcPr>
            <w:tcW w:w="800" w:type="dxa"/>
            <w:tcBorders>
              <w:top w:val="nil"/>
              <w:left w:val="nil"/>
              <w:bottom w:val="nil"/>
              <w:right w:val="nil"/>
            </w:tcBorders>
            <w:noWrap/>
            <w:hideMark/>
          </w:tcPr>
          <w:p w14:paraId="773D17C9"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72</w:t>
            </w:r>
          </w:p>
        </w:tc>
        <w:tc>
          <w:tcPr>
            <w:tcW w:w="800" w:type="dxa"/>
            <w:tcBorders>
              <w:top w:val="nil"/>
              <w:left w:val="nil"/>
              <w:bottom w:val="nil"/>
              <w:right w:val="nil"/>
            </w:tcBorders>
            <w:noWrap/>
            <w:hideMark/>
          </w:tcPr>
          <w:p w14:paraId="7DC6799E"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77</w:t>
            </w:r>
          </w:p>
        </w:tc>
        <w:tc>
          <w:tcPr>
            <w:tcW w:w="800" w:type="dxa"/>
            <w:tcBorders>
              <w:top w:val="nil"/>
              <w:left w:val="nil"/>
              <w:bottom w:val="nil"/>
              <w:right w:val="nil"/>
            </w:tcBorders>
            <w:noWrap/>
            <w:hideMark/>
          </w:tcPr>
          <w:p w14:paraId="4234AF7D"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81</w:t>
            </w:r>
          </w:p>
        </w:tc>
        <w:tc>
          <w:tcPr>
            <w:tcW w:w="820" w:type="dxa"/>
            <w:tcBorders>
              <w:top w:val="nil"/>
              <w:left w:val="nil"/>
              <w:bottom w:val="nil"/>
              <w:right w:val="nil"/>
            </w:tcBorders>
            <w:noWrap/>
            <w:hideMark/>
          </w:tcPr>
          <w:p w14:paraId="7A3D2972"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85</w:t>
            </w:r>
          </w:p>
        </w:tc>
        <w:tc>
          <w:tcPr>
            <w:tcW w:w="800" w:type="dxa"/>
            <w:tcBorders>
              <w:top w:val="nil"/>
              <w:left w:val="nil"/>
              <w:bottom w:val="nil"/>
              <w:right w:val="nil"/>
            </w:tcBorders>
            <w:noWrap/>
            <w:hideMark/>
          </w:tcPr>
          <w:p w14:paraId="176BEEDB"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87</w:t>
            </w:r>
          </w:p>
        </w:tc>
        <w:tc>
          <w:tcPr>
            <w:tcW w:w="800" w:type="dxa"/>
            <w:tcBorders>
              <w:top w:val="nil"/>
              <w:left w:val="nil"/>
              <w:bottom w:val="nil"/>
              <w:right w:val="nil"/>
            </w:tcBorders>
            <w:noWrap/>
            <w:hideMark/>
          </w:tcPr>
          <w:p w14:paraId="22B70587"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89</w:t>
            </w:r>
          </w:p>
        </w:tc>
        <w:tc>
          <w:tcPr>
            <w:tcW w:w="820" w:type="dxa"/>
            <w:tcBorders>
              <w:top w:val="nil"/>
              <w:left w:val="nil"/>
              <w:bottom w:val="nil"/>
              <w:right w:val="nil"/>
            </w:tcBorders>
            <w:noWrap/>
            <w:hideMark/>
          </w:tcPr>
          <w:p w14:paraId="625BC7D5"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90</w:t>
            </w:r>
          </w:p>
        </w:tc>
        <w:tc>
          <w:tcPr>
            <w:tcW w:w="800" w:type="dxa"/>
            <w:tcBorders>
              <w:top w:val="nil"/>
              <w:left w:val="nil"/>
              <w:bottom w:val="nil"/>
              <w:right w:val="nil"/>
            </w:tcBorders>
            <w:noWrap/>
            <w:hideMark/>
          </w:tcPr>
          <w:p w14:paraId="760E34A1"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91</w:t>
            </w:r>
          </w:p>
        </w:tc>
        <w:tc>
          <w:tcPr>
            <w:tcW w:w="800" w:type="dxa"/>
            <w:tcBorders>
              <w:top w:val="nil"/>
              <w:left w:val="nil"/>
              <w:bottom w:val="nil"/>
              <w:right w:val="nil"/>
            </w:tcBorders>
            <w:noWrap/>
            <w:hideMark/>
          </w:tcPr>
          <w:p w14:paraId="1A06072A"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92</w:t>
            </w:r>
          </w:p>
        </w:tc>
      </w:tr>
      <w:tr w:rsidR="00BB41F2" w:rsidRPr="008F3FEE" w14:paraId="5BF592D1" w14:textId="77777777" w:rsidTr="3F1DEBE1">
        <w:trPr>
          <w:trHeight w:val="310"/>
        </w:trPr>
        <w:tc>
          <w:tcPr>
            <w:tcW w:w="1906" w:type="dxa"/>
            <w:tcBorders>
              <w:top w:val="nil"/>
              <w:left w:val="nil"/>
              <w:bottom w:val="nil"/>
              <w:right w:val="nil"/>
            </w:tcBorders>
            <w:noWrap/>
            <w:vAlign w:val="center"/>
            <w:hideMark/>
          </w:tcPr>
          <w:p w14:paraId="62278F3D" w14:textId="77777777" w:rsidR="00BB41F2" w:rsidRPr="008F3FEE" w:rsidRDefault="00BB41F2" w:rsidP="00444A1C">
            <w:pPr>
              <w:rPr>
                <w:rFonts w:ascii="Calibri" w:hAnsi="Calibri" w:cs="Calibri"/>
                <w:color w:val="000000"/>
                <w:sz w:val="20"/>
                <w:szCs w:val="20"/>
                <w:lang w:val="en-US" w:eastAsia="zh-CN" w:bidi="he-IL"/>
              </w:rPr>
            </w:pPr>
            <w:r w:rsidRPr="008F3FEE">
              <w:rPr>
                <w:rFonts w:ascii="Calibri" w:hAnsi="Calibri" w:cs="Calibri"/>
                <w:color w:val="000000"/>
                <w:sz w:val="20"/>
                <w:szCs w:val="20"/>
              </w:rPr>
              <w:t>10626 (60%)</w:t>
            </w:r>
          </w:p>
        </w:tc>
        <w:tc>
          <w:tcPr>
            <w:tcW w:w="800" w:type="dxa"/>
            <w:tcBorders>
              <w:top w:val="nil"/>
              <w:left w:val="nil"/>
              <w:bottom w:val="nil"/>
              <w:right w:val="nil"/>
            </w:tcBorders>
            <w:noWrap/>
            <w:hideMark/>
          </w:tcPr>
          <w:p w14:paraId="22AEF1E7"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63</w:t>
            </w:r>
          </w:p>
        </w:tc>
        <w:tc>
          <w:tcPr>
            <w:tcW w:w="800" w:type="dxa"/>
            <w:tcBorders>
              <w:top w:val="nil"/>
              <w:left w:val="nil"/>
              <w:bottom w:val="nil"/>
              <w:right w:val="nil"/>
            </w:tcBorders>
            <w:noWrap/>
            <w:hideMark/>
          </w:tcPr>
          <w:p w14:paraId="2C82DD1F"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66</w:t>
            </w:r>
          </w:p>
        </w:tc>
        <w:tc>
          <w:tcPr>
            <w:tcW w:w="800" w:type="dxa"/>
            <w:tcBorders>
              <w:top w:val="nil"/>
              <w:left w:val="nil"/>
              <w:bottom w:val="nil"/>
              <w:right w:val="nil"/>
            </w:tcBorders>
            <w:noWrap/>
            <w:hideMark/>
          </w:tcPr>
          <w:p w14:paraId="3369BC90"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68</w:t>
            </w:r>
          </w:p>
        </w:tc>
        <w:tc>
          <w:tcPr>
            <w:tcW w:w="800" w:type="dxa"/>
            <w:tcBorders>
              <w:top w:val="nil"/>
              <w:left w:val="nil"/>
              <w:bottom w:val="nil"/>
              <w:right w:val="nil"/>
            </w:tcBorders>
            <w:noWrap/>
            <w:hideMark/>
          </w:tcPr>
          <w:p w14:paraId="7A73B308"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70</w:t>
            </w:r>
          </w:p>
        </w:tc>
        <w:tc>
          <w:tcPr>
            <w:tcW w:w="820" w:type="dxa"/>
            <w:tcBorders>
              <w:top w:val="nil"/>
              <w:left w:val="nil"/>
              <w:bottom w:val="nil"/>
              <w:right w:val="nil"/>
            </w:tcBorders>
            <w:noWrap/>
            <w:hideMark/>
          </w:tcPr>
          <w:p w14:paraId="43A82820"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71</w:t>
            </w:r>
          </w:p>
        </w:tc>
        <w:tc>
          <w:tcPr>
            <w:tcW w:w="800" w:type="dxa"/>
            <w:tcBorders>
              <w:top w:val="nil"/>
              <w:left w:val="nil"/>
              <w:bottom w:val="nil"/>
              <w:right w:val="nil"/>
            </w:tcBorders>
            <w:noWrap/>
            <w:hideMark/>
          </w:tcPr>
          <w:p w14:paraId="251834F5"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72</w:t>
            </w:r>
          </w:p>
        </w:tc>
        <w:tc>
          <w:tcPr>
            <w:tcW w:w="800" w:type="dxa"/>
            <w:tcBorders>
              <w:top w:val="nil"/>
              <w:left w:val="nil"/>
              <w:bottom w:val="nil"/>
              <w:right w:val="nil"/>
            </w:tcBorders>
            <w:noWrap/>
            <w:hideMark/>
          </w:tcPr>
          <w:p w14:paraId="2CB472F9"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73</w:t>
            </w:r>
          </w:p>
        </w:tc>
        <w:tc>
          <w:tcPr>
            <w:tcW w:w="820" w:type="dxa"/>
            <w:tcBorders>
              <w:top w:val="nil"/>
              <w:left w:val="nil"/>
              <w:bottom w:val="nil"/>
              <w:right w:val="nil"/>
            </w:tcBorders>
            <w:noWrap/>
            <w:hideMark/>
          </w:tcPr>
          <w:p w14:paraId="21AB7760"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74</w:t>
            </w:r>
          </w:p>
        </w:tc>
        <w:tc>
          <w:tcPr>
            <w:tcW w:w="800" w:type="dxa"/>
            <w:tcBorders>
              <w:top w:val="nil"/>
              <w:left w:val="nil"/>
              <w:bottom w:val="nil"/>
              <w:right w:val="nil"/>
            </w:tcBorders>
            <w:noWrap/>
            <w:hideMark/>
          </w:tcPr>
          <w:p w14:paraId="4A0F6B33"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74</w:t>
            </w:r>
          </w:p>
        </w:tc>
        <w:tc>
          <w:tcPr>
            <w:tcW w:w="800" w:type="dxa"/>
            <w:tcBorders>
              <w:top w:val="nil"/>
              <w:left w:val="nil"/>
              <w:bottom w:val="nil"/>
              <w:right w:val="nil"/>
            </w:tcBorders>
            <w:noWrap/>
            <w:hideMark/>
          </w:tcPr>
          <w:p w14:paraId="4C906EC0"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75</w:t>
            </w:r>
          </w:p>
        </w:tc>
      </w:tr>
      <w:tr w:rsidR="00BB41F2" w:rsidRPr="008F3FEE" w14:paraId="473C1743" w14:textId="77777777" w:rsidTr="3F1DEBE1">
        <w:trPr>
          <w:trHeight w:val="310"/>
        </w:trPr>
        <w:tc>
          <w:tcPr>
            <w:tcW w:w="1906" w:type="dxa"/>
            <w:tcBorders>
              <w:top w:val="nil"/>
              <w:left w:val="nil"/>
              <w:bottom w:val="nil"/>
              <w:right w:val="nil"/>
            </w:tcBorders>
            <w:noWrap/>
            <w:vAlign w:val="center"/>
            <w:hideMark/>
          </w:tcPr>
          <w:p w14:paraId="770E384F" w14:textId="77777777" w:rsidR="00BB41F2" w:rsidRPr="008F3FEE" w:rsidRDefault="00BB41F2" w:rsidP="00444A1C">
            <w:pPr>
              <w:rPr>
                <w:rFonts w:ascii="Calibri" w:hAnsi="Calibri" w:cs="Calibri"/>
                <w:color w:val="000000"/>
                <w:sz w:val="20"/>
                <w:szCs w:val="20"/>
                <w:lang w:val="en-US" w:eastAsia="zh-CN" w:bidi="he-IL"/>
              </w:rPr>
            </w:pPr>
            <w:r w:rsidRPr="008F3FEE">
              <w:rPr>
                <w:rFonts w:ascii="Calibri" w:hAnsi="Calibri" w:cs="Calibri"/>
                <w:color w:val="000000"/>
                <w:sz w:val="20"/>
                <w:szCs w:val="20"/>
              </w:rPr>
              <w:t>14168 (80%)</w:t>
            </w:r>
          </w:p>
        </w:tc>
        <w:tc>
          <w:tcPr>
            <w:tcW w:w="800" w:type="dxa"/>
            <w:tcBorders>
              <w:top w:val="nil"/>
              <w:left w:val="nil"/>
              <w:bottom w:val="nil"/>
              <w:right w:val="nil"/>
            </w:tcBorders>
            <w:noWrap/>
            <w:hideMark/>
          </w:tcPr>
          <w:p w14:paraId="77932D7A"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55</w:t>
            </w:r>
          </w:p>
        </w:tc>
        <w:tc>
          <w:tcPr>
            <w:tcW w:w="800" w:type="dxa"/>
            <w:tcBorders>
              <w:top w:val="nil"/>
              <w:left w:val="nil"/>
              <w:bottom w:val="nil"/>
              <w:right w:val="nil"/>
            </w:tcBorders>
            <w:noWrap/>
            <w:hideMark/>
          </w:tcPr>
          <w:p w14:paraId="6444880C"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54</w:t>
            </w:r>
          </w:p>
        </w:tc>
        <w:tc>
          <w:tcPr>
            <w:tcW w:w="800" w:type="dxa"/>
            <w:tcBorders>
              <w:top w:val="nil"/>
              <w:left w:val="nil"/>
              <w:bottom w:val="nil"/>
              <w:right w:val="nil"/>
            </w:tcBorders>
            <w:noWrap/>
            <w:hideMark/>
          </w:tcPr>
          <w:p w14:paraId="34240F66"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53</w:t>
            </w:r>
          </w:p>
        </w:tc>
        <w:tc>
          <w:tcPr>
            <w:tcW w:w="800" w:type="dxa"/>
            <w:tcBorders>
              <w:top w:val="nil"/>
              <w:left w:val="nil"/>
              <w:bottom w:val="nil"/>
              <w:right w:val="nil"/>
            </w:tcBorders>
            <w:noWrap/>
            <w:hideMark/>
          </w:tcPr>
          <w:p w14:paraId="666F8A21"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53</w:t>
            </w:r>
          </w:p>
        </w:tc>
        <w:tc>
          <w:tcPr>
            <w:tcW w:w="820" w:type="dxa"/>
            <w:tcBorders>
              <w:top w:val="nil"/>
              <w:left w:val="nil"/>
              <w:bottom w:val="nil"/>
              <w:right w:val="nil"/>
            </w:tcBorders>
            <w:noWrap/>
            <w:hideMark/>
          </w:tcPr>
          <w:p w14:paraId="6012F82A"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52</w:t>
            </w:r>
          </w:p>
        </w:tc>
        <w:tc>
          <w:tcPr>
            <w:tcW w:w="800" w:type="dxa"/>
            <w:tcBorders>
              <w:top w:val="nil"/>
              <w:left w:val="nil"/>
              <w:bottom w:val="nil"/>
              <w:right w:val="nil"/>
            </w:tcBorders>
            <w:noWrap/>
            <w:hideMark/>
          </w:tcPr>
          <w:p w14:paraId="52C75DD7"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52</w:t>
            </w:r>
          </w:p>
        </w:tc>
        <w:tc>
          <w:tcPr>
            <w:tcW w:w="800" w:type="dxa"/>
            <w:tcBorders>
              <w:top w:val="nil"/>
              <w:left w:val="nil"/>
              <w:bottom w:val="nil"/>
              <w:right w:val="nil"/>
            </w:tcBorders>
            <w:noWrap/>
            <w:hideMark/>
          </w:tcPr>
          <w:p w14:paraId="4567E13D"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51</w:t>
            </w:r>
          </w:p>
        </w:tc>
        <w:tc>
          <w:tcPr>
            <w:tcW w:w="820" w:type="dxa"/>
            <w:tcBorders>
              <w:top w:val="nil"/>
              <w:left w:val="nil"/>
              <w:bottom w:val="nil"/>
              <w:right w:val="nil"/>
            </w:tcBorders>
            <w:noWrap/>
            <w:hideMark/>
          </w:tcPr>
          <w:p w14:paraId="3D38BCB9"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50</w:t>
            </w:r>
          </w:p>
        </w:tc>
        <w:tc>
          <w:tcPr>
            <w:tcW w:w="800" w:type="dxa"/>
            <w:tcBorders>
              <w:top w:val="nil"/>
              <w:left w:val="nil"/>
              <w:bottom w:val="nil"/>
              <w:right w:val="nil"/>
            </w:tcBorders>
            <w:noWrap/>
            <w:hideMark/>
          </w:tcPr>
          <w:p w14:paraId="44ACDDB3"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50</w:t>
            </w:r>
          </w:p>
        </w:tc>
        <w:tc>
          <w:tcPr>
            <w:tcW w:w="800" w:type="dxa"/>
            <w:tcBorders>
              <w:top w:val="nil"/>
              <w:left w:val="nil"/>
              <w:bottom w:val="nil"/>
              <w:right w:val="nil"/>
            </w:tcBorders>
            <w:noWrap/>
            <w:hideMark/>
          </w:tcPr>
          <w:p w14:paraId="36C1E35C"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50</w:t>
            </w:r>
          </w:p>
        </w:tc>
      </w:tr>
      <w:tr w:rsidR="00BB41F2" w:rsidRPr="008F3FEE" w14:paraId="67794172" w14:textId="77777777" w:rsidTr="3F1DEBE1">
        <w:trPr>
          <w:trHeight w:val="310"/>
        </w:trPr>
        <w:tc>
          <w:tcPr>
            <w:tcW w:w="1906" w:type="dxa"/>
            <w:tcBorders>
              <w:top w:val="nil"/>
              <w:left w:val="nil"/>
              <w:bottom w:val="nil"/>
              <w:right w:val="nil"/>
            </w:tcBorders>
            <w:noWrap/>
            <w:vAlign w:val="center"/>
            <w:hideMark/>
          </w:tcPr>
          <w:p w14:paraId="6755532F" w14:textId="77777777" w:rsidR="00BB41F2" w:rsidRPr="008F3FEE" w:rsidRDefault="00BB41F2" w:rsidP="00444A1C">
            <w:pPr>
              <w:rPr>
                <w:rFonts w:ascii="Calibri" w:hAnsi="Calibri" w:cs="Calibri"/>
                <w:color w:val="000000"/>
                <w:sz w:val="20"/>
                <w:szCs w:val="20"/>
                <w:lang w:val="en-US" w:eastAsia="zh-CN" w:bidi="he-IL"/>
              </w:rPr>
            </w:pPr>
            <w:r w:rsidRPr="008F3FEE">
              <w:rPr>
                <w:rFonts w:ascii="Calibri" w:hAnsi="Calibri" w:cs="Calibri"/>
                <w:color w:val="000000"/>
                <w:sz w:val="20"/>
                <w:szCs w:val="20"/>
              </w:rPr>
              <w:t>17710(100%)</w:t>
            </w:r>
          </w:p>
        </w:tc>
        <w:tc>
          <w:tcPr>
            <w:tcW w:w="800" w:type="dxa"/>
            <w:tcBorders>
              <w:top w:val="nil"/>
              <w:left w:val="nil"/>
              <w:bottom w:val="nil"/>
              <w:right w:val="nil"/>
            </w:tcBorders>
            <w:noWrap/>
            <w:hideMark/>
          </w:tcPr>
          <w:p w14:paraId="4F6516DA"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42</w:t>
            </w:r>
          </w:p>
        </w:tc>
        <w:tc>
          <w:tcPr>
            <w:tcW w:w="800" w:type="dxa"/>
            <w:tcBorders>
              <w:top w:val="nil"/>
              <w:left w:val="nil"/>
              <w:bottom w:val="nil"/>
              <w:right w:val="nil"/>
            </w:tcBorders>
            <w:noWrap/>
            <w:hideMark/>
          </w:tcPr>
          <w:p w14:paraId="742A8ECC"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39</w:t>
            </w:r>
          </w:p>
        </w:tc>
        <w:tc>
          <w:tcPr>
            <w:tcW w:w="800" w:type="dxa"/>
            <w:tcBorders>
              <w:top w:val="nil"/>
              <w:left w:val="nil"/>
              <w:bottom w:val="nil"/>
              <w:right w:val="nil"/>
            </w:tcBorders>
            <w:noWrap/>
            <w:hideMark/>
          </w:tcPr>
          <w:p w14:paraId="1FB50DA4"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37</w:t>
            </w:r>
          </w:p>
        </w:tc>
        <w:tc>
          <w:tcPr>
            <w:tcW w:w="800" w:type="dxa"/>
            <w:tcBorders>
              <w:top w:val="nil"/>
              <w:left w:val="nil"/>
              <w:bottom w:val="nil"/>
              <w:right w:val="nil"/>
            </w:tcBorders>
            <w:noWrap/>
            <w:hideMark/>
          </w:tcPr>
          <w:p w14:paraId="7FD904D9"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35</w:t>
            </w:r>
          </w:p>
        </w:tc>
        <w:tc>
          <w:tcPr>
            <w:tcW w:w="820" w:type="dxa"/>
            <w:tcBorders>
              <w:top w:val="nil"/>
              <w:left w:val="nil"/>
              <w:bottom w:val="nil"/>
              <w:right w:val="nil"/>
            </w:tcBorders>
            <w:noWrap/>
            <w:hideMark/>
          </w:tcPr>
          <w:p w14:paraId="439BE27B"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33</w:t>
            </w:r>
          </w:p>
        </w:tc>
        <w:tc>
          <w:tcPr>
            <w:tcW w:w="800" w:type="dxa"/>
            <w:tcBorders>
              <w:top w:val="nil"/>
              <w:left w:val="nil"/>
              <w:bottom w:val="nil"/>
              <w:right w:val="nil"/>
            </w:tcBorders>
            <w:noWrap/>
            <w:hideMark/>
          </w:tcPr>
          <w:p w14:paraId="4E4C6705"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32</w:t>
            </w:r>
          </w:p>
        </w:tc>
        <w:tc>
          <w:tcPr>
            <w:tcW w:w="800" w:type="dxa"/>
            <w:tcBorders>
              <w:top w:val="nil"/>
              <w:left w:val="nil"/>
              <w:bottom w:val="nil"/>
              <w:right w:val="nil"/>
            </w:tcBorders>
            <w:noWrap/>
            <w:hideMark/>
          </w:tcPr>
          <w:p w14:paraId="6418F897"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31</w:t>
            </w:r>
          </w:p>
        </w:tc>
        <w:tc>
          <w:tcPr>
            <w:tcW w:w="820" w:type="dxa"/>
            <w:tcBorders>
              <w:top w:val="nil"/>
              <w:left w:val="nil"/>
              <w:bottom w:val="nil"/>
              <w:right w:val="nil"/>
            </w:tcBorders>
            <w:noWrap/>
            <w:hideMark/>
          </w:tcPr>
          <w:p w14:paraId="2D05A787"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30</w:t>
            </w:r>
          </w:p>
        </w:tc>
        <w:tc>
          <w:tcPr>
            <w:tcW w:w="800" w:type="dxa"/>
            <w:tcBorders>
              <w:top w:val="nil"/>
              <w:left w:val="nil"/>
              <w:bottom w:val="nil"/>
              <w:right w:val="nil"/>
            </w:tcBorders>
            <w:noWrap/>
            <w:hideMark/>
          </w:tcPr>
          <w:p w14:paraId="4CF8A462"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29</w:t>
            </w:r>
          </w:p>
        </w:tc>
        <w:tc>
          <w:tcPr>
            <w:tcW w:w="800" w:type="dxa"/>
            <w:tcBorders>
              <w:top w:val="nil"/>
              <w:left w:val="nil"/>
              <w:bottom w:val="nil"/>
              <w:right w:val="nil"/>
            </w:tcBorders>
            <w:noWrap/>
            <w:hideMark/>
          </w:tcPr>
          <w:p w14:paraId="79C7223C"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29</w:t>
            </w:r>
          </w:p>
        </w:tc>
      </w:tr>
      <w:tr w:rsidR="00BB41F2" w:rsidRPr="008F3FEE" w14:paraId="37D8EB28" w14:textId="77777777" w:rsidTr="3F1DEBE1">
        <w:trPr>
          <w:trHeight w:val="310"/>
        </w:trPr>
        <w:tc>
          <w:tcPr>
            <w:tcW w:w="1906" w:type="dxa"/>
            <w:tcBorders>
              <w:top w:val="nil"/>
              <w:left w:val="nil"/>
              <w:bottom w:val="nil"/>
              <w:right w:val="nil"/>
            </w:tcBorders>
            <w:noWrap/>
            <w:vAlign w:val="center"/>
            <w:hideMark/>
          </w:tcPr>
          <w:p w14:paraId="31D090C0" w14:textId="77777777" w:rsidR="00BB41F2" w:rsidRPr="008F3FEE" w:rsidRDefault="00BB41F2" w:rsidP="00444A1C">
            <w:pPr>
              <w:rPr>
                <w:rFonts w:ascii="Calibri" w:hAnsi="Calibri" w:cs="Calibri"/>
                <w:color w:val="000000"/>
                <w:sz w:val="20"/>
                <w:szCs w:val="20"/>
                <w:lang w:val="en-US" w:eastAsia="zh-CN" w:bidi="he-IL"/>
              </w:rPr>
            </w:pPr>
            <w:r w:rsidRPr="008F3FEE">
              <w:rPr>
                <w:rFonts w:ascii="Calibri" w:hAnsi="Calibri" w:cs="Calibri"/>
                <w:color w:val="000000"/>
                <w:sz w:val="20"/>
                <w:szCs w:val="20"/>
              </w:rPr>
              <w:t>21252 (120%)</w:t>
            </w:r>
          </w:p>
        </w:tc>
        <w:tc>
          <w:tcPr>
            <w:tcW w:w="800" w:type="dxa"/>
            <w:tcBorders>
              <w:top w:val="nil"/>
              <w:left w:val="nil"/>
              <w:bottom w:val="nil"/>
              <w:right w:val="nil"/>
            </w:tcBorders>
            <w:noWrap/>
            <w:hideMark/>
          </w:tcPr>
          <w:p w14:paraId="294DE387"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30</w:t>
            </w:r>
          </w:p>
        </w:tc>
        <w:tc>
          <w:tcPr>
            <w:tcW w:w="800" w:type="dxa"/>
            <w:tcBorders>
              <w:top w:val="nil"/>
              <w:left w:val="nil"/>
              <w:bottom w:val="nil"/>
              <w:right w:val="nil"/>
            </w:tcBorders>
            <w:noWrap/>
            <w:hideMark/>
          </w:tcPr>
          <w:p w14:paraId="2C1E7A5A"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27</w:t>
            </w:r>
          </w:p>
        </w:tc>
        <w:tc>
          <w:tcPr>
            <w:tcW w:w="800" w:type="dxa"/>
            <w:tcBorders>
              <w:top w:val="nil"/>
              <w:left w:val="nil"/>
              <w:bottom w:val="nil"/>
              <w:right w:val="nil"/>
            </w:tcBorders>
            <w:noWrap/>
            <w:hideMark/>
          </w:tcPr>
          <w:p w14:paraId="28488D0A"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24</w:t>
            </w:r>
          </w:p>
        </w:tc>
        <w:tc>
          <w:tcPr>
            <w:tcW w:w="800" w:type="dxa"/>
            <w:tcBorders>
              <w:top w:val="nil"/>
              <w:left w:val="nil"/>
              <w:bottom w:val="nil"/>
              <w:right w:val="nil"/>
            </w:tcBorders>
            <w:noWrap/>
            <w:hideMark/>
          </w:tcPr>
          <w:p w14:paraId="025770E8"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22</w:t>
            </w:r>
          </w:p>
        </w:tc>
        <w:tc>
          <w:tcPr>
            <w:tcW w:w="820" w:type="dxa"/>
            <w:tcBorders>
              <w:top w:val="nil"/>
              <w:left w:val="nil"/>
              <w:bottom w:val="nil"/>
              <w:right w:val="nil"/>
            </w:tcBorders>
            <w:noWrap/>
            <w:hideMark/>
          </w:tcPr>
          <w:p w14:paraId="6F933790"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21</w:t>
            </w:r>
          </w:p>
        </w:tc>
        <w:tc>
          <w:tcPr>
            <w:tcW w:w="800" w:type="dxa"/>
            <w:tcBorders>
              <w:top w:val="nil"/>
              <w:left w:val="nil"/>
              <w:bottom w:val="nil"/>
              <w:right w:val="nil"/>
            </w:tcBorders>
            <w:noWrap/>
            <w:hideMark/>
          </w:tcPr>
          <w:p w14:paraId="7DC793DC"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19</w:t>
            </w:r>
          </w:p>
        </w:tc>
        <w:tc>
          <w:tcPr>
            <w:tcW w:w="800" w:type="dxa"/>
            <w:tcBorders>
              <w:top w:val="nil"/>
              <w:left w:val="nil"/>
              <w:bottom w:val="nil"/>
              <w:right w:val="nil"/>
            </w:tcBorders>
            <w:noWrap/>
            <w:hideMark/>
          </w:tcPr>
          <w:p w14:paraId="6C805C20"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18</w:t>
            </w:r>
          </w:p>
        </w:tc>
        <w:tc>
          <w:tcPr>
            <w:tcW w:w="820" w:type="dxa"/>
            <w:tcBorders>
              <w:top w:val="nil"/>
              <w:left w:val="nil"/>
              <w:bottom w:val="nil"/>
              <w:right w:val="nil"/>
            </w:tcBorders>
            <w:noWrap/>
            <w:hideMark/>
          </w:tcPr>
          <w:p w14:paraId="135B258C"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17</w:t>
            </w:r>
          </w:p>
        </w:tc>
        <w:tc>
          <w:tcPr>
            <w:tcW w:w="800" w:type="dxa"/>
            <w:tcBorders>
              <w:top w:val="nil"/>
              <w:left w:val="nil"/>
              <w:bottom w:val="nil"/>
              <w:right w:val="nil"/>
            </w:tcBorders>
            <w:noWrap/>
            <w:hideMark/>
          </w:tcPr>
          <w:p w14:paraId="2ABC3152"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17</w:t>
            </w:r>
          </w:p>
        </w:tc>
        <w:tc>
          <w:tcPr>
            <w:tcW w:w="800" w:type="dxa"/>
            <w:tcBorders>
              <w:top w:val="nil"/>
              <w:left w:val="nil"/>
              <w:bottom w:val="nil"/>
              <w:right w:val="nil"/>
            </w:tcBorders>
            <w:noWrap/>
            <w:hideMark/>
          </w:tcPr>
          <w:p w14:paraId="10BCD8E1"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16</w:t>
            </w:r>
          </w:p>
        </w:tc>
      </w:tr>
      <w:tr w:rsidR="00BB41F2" w:rsidRPr="008F3FEE" w14:paraId="2D70BC9E" w14:textId="77777777" w:rsidTr="3F1DEBE1">
        <w:trPr>
          <w:trHeight w:val="310"/>
        </w:trPr>
        <w:tc>
          <w:tcPr>
            <w:tcW w:w="1906" w:type="dxa"/>
            <w:tcBorders>
              <w:top w:val="nil"/>
              <w:left w:val="nil"/>
              <w:bottom w:val="nil"/>
              <w:right w:val="nil"/>
            </w:tcBorders>
            <w:noWrap/>
            <w:vAlign w:val="center"/>
            <w:hideMark/>
          </w:tcPr>
          <w:p w14:paraId="17C238F2" w14:textId="77777777" w:rsidR="00BB41F2" w:rsidRPr="008F3FEE" w:rsidRDefault="00BB41F2" w:rsidP="00444A1C">
            <w:pPr>
              <w:rPr>
                <w:rFonts w:ascii="Calibri" w:hAnsi="Calibri" w:cs="Calibri"/>
                <w:color w:val="000000"/>
                <w:sz w:val="20"/>
                <w:szCs w:val="20"/>
                <w:lang w:val="en-US" w:eastAsia="zh-CN" w:bidi="he-IL"/>
              </w:rPr>
            </w:pPr>
            <w:r w:rsidRPr="008F3FEE">
              <w:rPr>
                <w:rFonts w:ascii="Calibri" w:hAnsi="Calibri" w:cs="Calibri"/>
                <w:color w:val="000000"/>
                <w:sz w:val="20"/>
                <w:szCs w:val="20"/>
              </w:rPr>
              <w:t>24794 (140%)</w:t>
            </w:r>
          </w:p>
        </w:tc>
        <w:tc>
          <w:tcPr>
            <w:tcW w:w="800" w:type="dxa"/>
            <w:tcBorders>
              <w:top w:val="nil"/>
              <w:left w:val="nil"/>
              <w:bottom w:val="nil"/>
              <w:right w:val="nil"/>
            </w:tcBorders>
            <w:noWrap/>
            <w:hideMark/>
          </w:tcPr>
          <w:p w14:paraId="110F6679"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22</w:t>
            </w:r>
          </w:p>
        </w:tc>
        <w:tc>
          <w:tcPr>
            <w:tcW w:w="800" w:type="dxa"/>
            <w:tcBorders>
              <w:top w:val="nil"/>
              <w:left w:val="nil"/>
              <w:bottom w:val="nil"/>
              <w:right w:val="nil"/>
            </w:tcBorders>
            <w:noWrap/>
            <w:hideMark/>
          </w:tcPr>
          <w:p w14:paraId="16DAD92C"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19</w:t>
            </w:r>
          </w:p>
        </w:tc>
        <w:tc>
          <w:tcPr>
            <w:tcW w:w="800" w:type="dxa"/>
            <w:tcBorders>
              <w:top w:val="nil"/>
              <w:left w:val="nil"/>
              <w:bottom w:val="nil"/>
              <w:right w:val="nil"/>
            </w:tcBorders>
            <w:noWrap/>
            <w:hideMark/>
          </w:tcPr>
          <w:p w14:paraId="64CA1CB6"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16</w:t>
            </w:r>
          </w:p>
        </w:tc>
        <w:tc>
          <w:tcPr>
            <w:tcW w:w="800" w:type="dxa"/>
            <w:tcBorders>
              <w:top w:val="nil"/>
              <w:left w:val="nil"/>
              <w:bottom w:val="nil"/>
              <w:right w:val="nil"/>
            </w:tcBorders>
            <w:noWrap/>
            <w:hideMark/>
          </w:tcPr>
          <w:p w14:paraId="38BC6702"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14</w:t>
            </w:r>
          </w:p>
        </w:tc>
        <w:tc>
          <w:tcPr>
            <w:tcW w:w="820" w:type="dxa"/>
            <w:tcBorders>
              <w:top w:val="nil"/>
              <w:left w:val="nil"/>
              <w:bottom w:val="nil"/>
              <w:right w:val="nil"/>
            </w:tcBorders>
            <w:noWrap/>
            <w:hideMark/>
          </w:tcPr>
          <w:p w14:paraId="2EC878FE"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13</w:t>
            </w:r>
          </w:p>
        </w:tc>
        <w:tc>
          <w:tcPr>
            <w:tcW w:w="800" w:type="dxa"/>
            <w:tcBorders>
              <w:top w:val="nil"/>
              <w:left w:val="nil"/>
              <w:bottom w:val="nil"/>
              <w:right w:val="nil"/>
            </w:tcBorders>
            <w:noWrap/>
            <w:hideMark/>
          </w:tcPr>
          <w:p w14:paraId="5BD663C4"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12</w:t>
            </w:r>
          </w:p>
        </w:tc>
        <w:tc>
          <w:tcPr>
            <w:tcW w:w="800" w:type="dxa"/>
            <w:tcBorders>
              <w:top w:val="nil"/>
              <w:left w:val="nil"/>
              <w:bottom w:val="nil"/>
              <w:right w:val="nil"/>
            </w:tcBorders>
            <w:noWrap/>
            <w:hideMark/>
          </w:tcPr>
          <w:p w14:paraId="4ABE3895"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11</w:t>
            </w:r>
          </w:p>
        </w:tc>
        <w:tc>
          <w:tcPr>
            <w:tcW w:w="820" w:type="dxa"/>
            <w:tcBorders>
              <w:top w:val="nil"/>
              <w:left w:val="nil"/>
              <w:bottom w:val="nil"/>
              <w:right w:val="nil"/>
            </w:tcBorders>
            <w:noWrap/>
            <w:hideMark/>
          </w:tcPr>
          <w:p w14:paraId="7E8D98EC"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10</w:t>
            </w:r>
          </w:p>
        </w:tc>
        <w:tc>
          <w:tcPr>
            <w:tcW w:w="800" w:type="dxa"/>
            <w:tcBorders>
              <w:top w:val="nil"/>
              <w:left w:val="nil"/>
              <w:bottom w:val="nil"/>
              <w:right w:val="nil"/>
            </w:tcBorders>
            <w:noWrap/>
            <w:hideMark/>
          </w:tcPr>
          <w:p w14:paraId="19308C0D"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9</w:t>
            </w:r>
          </w:p>
        </w:tc>
        <w:tc>
          <w:tcPr>
            <w:tcW w:w="800" w:type="dxa"/>
            <w:tcBorders>
              <w:top w:val="nil"/>
              <w:left w:val="nil"/>
              <w:bottom w:val="nil"/>
              <w:right w:val="nil"/>
            </w:tcBorders>
            <w:noWrap/>
            <w:hideMark/>
          </w:tcPr>
          <w:p w14:paraId="76797B01"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9</w:t>
            </w:r>
          </w:p>
        </w:tc>
      </w:tr>
      <w:tr w:rsidR="00BB41F2" w:rsidRPr="008F3FEE" w14:paraId="695EFD38" w14:textId="77777777" w:rsidTr="3F1DEBE1">
        <w:trPr>
          <w:trHeight w:val="310"/>
        </w:trPr>
        <w:tc>
          <w:tcPr>
            <w:tcW w:w="1906" w:type="dxa"/>
            <w:tcBorders>
              <w:top w:val="nil"/>
              <w:left w:val="nil"/>
              <w:bottom w:val="nil"/>
              <w:right w:val="nil"/>
            </w:tcBorders>
            <w:noWrap/>
            <w:vAlign w:val="center"/>
            <w:hideMark/>
          </w:tcPr>
          <w:p w14:paraId="5900B890" w14:textId="77777777" w:rsidR="00BB41F2" w:rsidRPr="008F3FEE" w:rsidRDefault="00BB41F2" w:rsidP="00444A1C">
            <w:pPr>
              <w:rPr>
                <w:rFonts w:ascii="Calibri" w:hAnsi="Calibri" w:cs="Calibri"/>
                <w:color w:val="000000"/>
                <w:sz w:val="20"/>
                <w:szCs w:val="20"/>
                <w:lang w:val="en-US" w:eastAsia="zh-CN" w:bidi="he-IL"/>
              </w:rPr>
            </w:pPr>
            <w:r w:rsidRPr="008F3FEE">
              <w:rPr>
                <w:rFonts w:ascii="Calibri" w:hAnsi="Calibri" w:cs="Calibri"/>
                <w:color w:val="000000"/>
                <w:sz w:val="20"/>
                <w:szCs w:val="20"/>
              </w:rPr>
              <w:t>28336 (160%)</w:t>
            </w:r>
          </w:p>
        </w:tc>
        <w:tc>
          <w:tcPr>
            <w:tcW w:w="800" w:type="dxa"/>
            <w:tcBorders>
              <w:top w:val="nil"/>
              <w:left w:val="nil"/>
              <w:bottom w:val="nil"/>
              <w:right w:val="nil"/>
            </w:tcBorders>
            <w:noWrap/>
            <w:hideMark/>
          </w:tcPr>
          <w:p w14:paraId="0BB54AE0"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16</w:t>
            </w:r>
          </w:p>
        </w:tc>
        <w:tc>
          <w:tcPr>
            <w:tcW w:w="800" w:type="dxa"/>
            <w:tcBorders>
              <w:top w:val="nil"/>
              <w:left w:val="nil"/>
              <w:bottom w:val="nil"/>
              <w:right w:val="nil"/>
            </w:tcBorders>
            <w:noWrap/>
            <w:hideMark/>
          </w:tcPr>
          <w:p w14:paraId="45062FB1"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13</w:t>
            </w:r>
          </w:p>
        </w:tc>
        <w:tc>
          <w:tcPr>
            <w:tcW w:w="800" w:type="dxa"/>
            <w:tcBorders>
              <w:top w:val="nil"/>
              <w:left w:val="nil"/>
              <w:bottom w:val="nil"/>
              <w:right w:val="nil"/>
            </w:tcBorders>
            <w:noWrap/>
            <w:hideMark/>
          </w:tcPr>
          <w:p w14:paraId="19607B9C"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11</w:t>
            </w:r>
          </w:p>
        </w:tc>
        <w:tc>
          <w:tcPr>
            <w:tcW w:w="800" w:type="dxa"/>
            <w:tcBorders>
              <w:top w:val="nil"/>
              <w:left w:val="nil"/>
              <w:bottom w:val="nil"/>
              <w:right w:val="nil"/>
            </w:tcBorders>
            <w:noWrap/>
            <w:hideMark/>
          </w:tcPr>
          <w:p w14:paraId="2572CF23"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9</w:t>
            </w:r>
          </w:p>
        </w:tc>
        <w:tc>
          <w:tcPr>
            <w:tcW w:w="820" w:type="dxa"/>
            <w:tcBorders>
              <w:top w:val="nil"/>
              <w:left w:val="nil"/>
              <w:bottom w:val="nil"/>
              <w:right w:val="nil"/>
            </w:tcBorders>
            <w:noWrap/>
            <w:hideMark/>
          </w:tcPr>
          <w:p w14:paraId="408145C9"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8</w:t>
            </w:r>
          </w:p>
        </w:tc>
        <w:tc>
          <w:tcPr>
            <w:tcW w:w="800" w:type="dxa"/>
            <w:tcBorders>
              <w:top w:val="nil"/>
              <w:left w:val="nil"/>
              <w:bottom w:val="nil"/>
              <w:right w:val="nil"/>
            </w:tcBorders>
            <w:noWrap/>
            <w:hideMark/>
          </w:tcPr>
          <w:p w14:paraId="3A5F0237"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7</w:t>
            </w:r>
          </w:p>
        </w:tc>
        <w:tc>
          <w:tcPr>
            <w:tcW w:w="800" w:type="dxa"/>
            <w:tcBorders>
              <w:top w:val="nil"/>
              <w:left w:val="nil"/>
              <w:bottom w:val="nil"/>
              <w:right w:val="nil"/>
            </w:tcBorders>
            <w:noWrap/>
            <w:hideMark/>
          </w:tcPr>
          <w:p w14:paraId="69E4DBC8"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7</w:t>
            </w:r>
          </w:p>
        </w:tc>
        <w:tc>
          <w:tcPr>
            <w:tcW w:w="820" w:type="dxa"/>
            <w:tcBorders>
              <w:top w:val="nil"/>
              <w:left w:val="nil"/>
              <w:bottom w:val="nil"/>
              <w:right w:val="nil"/>
            </w:tcBorders>
            <w:noWrap/>
            <w:hideMark/>
          </w:tcPr>
          <w:p w14:paraId="0BD085C4"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6</w:t>
            </w:r>
          </w:p>
        </w:tc>
        <w:tc>
          <w:tcPr>
            <w:tcW w:w="800" w:type="dxa"/>
            <w:tcBorders>
              <w:top w:val="nil"/>
              <w:left w:val="nil"/>
              <w:bottom w:val="nil"/>
              <w:right w:val="nil"/>
            </w:tcBorders>
            <w:noWrap/>
            <w:hideMark/>
          </w:tcPr>
          <w:p w14:paraId="59A85837"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6</w:t>
            </w:r>
          </w:p>
        </w:tc>
        <w:tc>
          <w:tcPr>
            <w:tcW w:w="800" w:type="dxa"/>
            <w:tcBorders>
              <w:top w:val="nil"/>
              <w:left w:val="nil"/>
              <w:bottom w:val="nil"/>
              <w:right w:val="nil"/>
            </w:tcBorders>
            <w:noWrap/>
            <w:hideMark/>
          </w:tcPr>
          <w:p w14:paraId="2A4D0FAC" w14:textId="77777777" w:rsidR="00BB41F2" w:rsidRPr="008F3FEE" w:rsidRDefault="00BB41F2" w:rsidP="00444A1C">
            <w:pPr>
              <w:jc w:val="right"/>
              <w:rPr>
                <w:rFonts w:ascii="Calibri" w:hAnsi="Calibri" w:cs="Calibri"/>
                <w:color w:val="000000"/>
                <w:sz w:val="20"/>
                <w:szCs w:val="20"/>
                <w:lang w:val="en-US" w:eastAsia="zh-CN" w:bidi="he-IL"/>
              </w:rPr>
            </w:pPr>
            <w:r w:rsidRPr="008F3FEE">
              <w:rPr>
                <w:rFonts w:ascii="Calibri" w:hAnsi="Calibri" w:cs="Calibri"/>
                <w:sz w:val="20"/>
                <w:szCs w:val="20"/>
              </w:rPr>
              <w:t>5</w:t>
            </w:r>
          </w:p>
        </w:tc>
      </w:tr>
    </w:tbl>
    <w:p w14:paraId="7C252EF9" w14:textId="77777777" w:rsidR="00BB41F2" w:rsidRDefault="00BB41F2" w:rsidP="00BB41F2"/>
    <w:p w14:paraId="5408EFFE" w14:textId="77777777" w:rsidR="0058551D" w:rsidRPr="0037320B" w:rsidRDefault="0058551D" w:rsidP="0058551D">
      <w:pPr>
        <w:rPr>
          <w:rFonts w:ascii="Calibri" w:eastAsia="MS Mincho" w:hAnsi="Calibri" w:cs="Calibri"/>
          <w:b/>
          <w:bCs/>
          <w:smallCaps/>
          <w:sz w:val="28"/>
          <w:szCs w:val="28"/>
          <w:highlight w:val="yellow"/>
          <w:lang w:eastAsia="en-US"/>
        </w:rPr>
      </w:pPr>
      <w:bookmarkStart w:id="133" w:name="_Toc430342616"/>
      <w:r w:rsidRPr="0037320B">
        <w:rPr>
          <w:rFonts w:ascii="Calibri" w:hAnsi="Calibri" w:cs="Calibri"/>
          <w:highlight w:val="yellow"/>
        </w:rPr>
        <w:br w:type="page"/>
      </w:r>
    </w:p>
    <w:p w14:paraId="6EA08044" w14:textId="45A71CF3" w:rsidR="0058551D" w:rsidRPr="00CE004E" w:rsidRDefault="0058551D" w:rsidP="00212FBC">
      <w:pPr>
        <w:pStyle w:val="AppendixHeading"/>
      </w:pPr>
      <w:bookmarkStart w:id="134" w:name="APP6"/>
      <w:bookmarkStart w:id="135" w:name="_Toc210218020"/>
      <w:bookmarkEnd w:id="131"/>
      <w:r w:rsidRPr="00CE004E">
        <w:lastRenderedPageBreak/>
        <w:t>Appendix VI</w:t>
      </w:r>
      <w:r w:rsidR="002C77EE" w:rsidRPr="00CE004E">
        <w:t xml:space="preserve"> </w:t>
      </w:r>
      <w:bookmarkEnd w:id="134"/>
      <w:r w:rsidR="002C77EE" w:rsidRPr="00CE004E">
        <w:t xml:space="preserve">- </w:t>
      </w:r>
      <w:r w:rsidRPr="00CE004E">
        <w:t>[ Draft ] resource stock status summaries – Blue marlin</w:t>
      </w:r>
      <w:bookmarkEnd w:id="132"/>
      <w:bookmarkEnd w:id="133"/>
      <w:bookmarkEnd w:id="135"/>
    </w:p>
    <w:p w14:paraId="3D54D0A2" w14:textId="4CC22DF1" w:rsidR="0058551D" w:rsidRPr="00CE004E" w:rsidRDefault="00212FBC" w:rsidP="00212FBC">
      <w:pPr>
        <w:pStyle w:val="NormalWeb"/>
        <w:rPr>
          <w:rFonts w:ascii="Calibri" w:hAnsi="Calibri" w:cs="Calibri"/>
          <w:kern w:val="32"/>
        </w:rPr>
      </w:pPr>
      <w:bookmarkStart w:id="136" w:name="_Toc117153374"/>
      <w:r w:rsidRPr="00CE004E">
        <w:rPr>
          <w:noProof/>
          <w:lang w:val="en-ZA"/>
        </w:rPr>
        <mc:AlternateContent>
          <mc:Choice Requires="wps">
            <w:drawing>
              <wp:anchor distT="0" distB="0" distL="114300" distR="114300" simplePos="0" relativeHeight="251658245" behindDoc="0" locked="0" layoutInCell="1" allowOverlap="1" wp14:anchorId="15A4EBAE" wp14:editId="7D0863F1">
                <wp:simplePos x="0" y="0"/>
                <wp:positionH relativeFrom="column">
                  <wp:posOffset>127635</wp:posOffset>
                </wp:positionH>
                <wp:positionV relativeFrom="paragraph">
                  <wp:posOffset>89535</wp:posOffset>
                </wp:positionV>
                <wp:extent cx="6069965" cy="828675"/>
                <wp:effectExtent l="0" t="0" r="0" b="0"/>
                <wp:wrapNone/>
                <wp:docPr id="94"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9965" cy="828675"/>
                        </a:xfrm>
                        <a:prstGeom prst="rect">
                          <a:avLst/>
                        </a:prstGeom>
                        <a:noFill/>
                        <a:ln w="6350">
                          <a:noFill/>
                        </a:ln>
                        <a:effectLst/>
                      </wps:spPr>
                      <wps:txbx>
                        <w:txbxContent>
                          <w:p w14:paraId="6ED0C73A" w14:textId="6DD872F6" w:rsidR="005E594A" w:rsidRDefault="005E594A" w:rsidP="006F57A4">
                            <w:pPr>
                              <w:jc w:val="center"/>
                            </w:pPr>
                            <w:r w:rsidRPr="001A733E">
                              <w:rPr>
                                <w:noProof/>
                                <w:sz w:val="24"/>
                                <w:szCs w:val="24"/>
                                <w:lang w:val="en-ZA" w:eastAsia="en-ZA"/>
                              </w:rPr>
                              <w:drawing>
                                <wp:inline distT="0" distB="0" distL="0" distR="0" wp14:anchorId="2151C754" wp14:editId="23BF31EB">
                                  <wp:extent cx="1587399" cy="676095"/>
                                  <wp:effectExtent l="0" t="0" r="0" b="0"/>
                                  <wp:docPr id="350575765" name="Picture 350575765" descr="Y:\04 - Meetings\01 - Meeting Administration\FAO line drawnings\Makaira_nigricans-mai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04 - Meetings\01 - Meeting Administration\FAO line drawnings\Makaira_nigricans-main.t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592624" cy="6783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A4EBAE" id="Text Box 94" o:spid="_x0000_s1029" type="#_x0000_t202" style="position:absolute;margin-left:10.05pt;margin-top:7.05pt;width:477.95pt;height:65.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" filled="f" stroked="f" strokeweight=".5pt">
                <v:textbox>
                  <w:txbxContent>
                    <w:p w14:paraId="6ED0C73A" w14:textId="6DD872F6" w:rsidR="005E594A" w:rsidRDefault="005E594A" w:rsidP="006F57A4">
                      <w:pPr>
                        <w:jc w:val="center"/>
                      </w:pPr>
                      <w:r w:rsidRPr="001A733E">
                        <w:rPr>
                          <w:noProof/>
                          <w:sz w:val="24"/>
                          <w:szCs w:val="24"/>
                          <w:lang w:val="en-ZA" w:eastAsia="en-ZA"/>
                        </w:rPr>
                        <w:drawing>
                          <wp:inline distT="0" distB="0" distL="0" distR="0" wp14:anchorId="2151C754" wp14:editId="23BF31EB">
                            <wp:extent cx="1587399" cy="676095"/>
                            <wp:effectExtent l="0" t="0" r="0" b="0"/>
                            <wp:docPr id="350575765" name="Picture 350575765" descr="Y:\04 - Meetings\01 - Meeting Administration\FAO line drawnings\Makaira_nigricans-mai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04 - Meetings\01 - Meeting Administration\FAO line drawnings\Makaira_nigricans-main.t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592624" cy="678320"/>
                                    </a:xfrm>
                                    <a:prstGeom prst="rect">
                                      <a:avLst/>
                                    </a:prstGeom>
                                    <a:noFill/>
                                    <a:ln>
                                      <a:noFill/>
                                    </a:ln>
                                  </pic:spPr>
                                </pic:pic>
                              </a:graphicData>
                            </a:graphic>
                          </wp:inline>
                        </w:drawing>
                      </w:r>
                    </w:p>
                  </w:txbxContent>
                </v:textbox>
              </v:shape>
            </w:pict>
          </mc:Fallback>
        </mc:AlternateContent>
      </w:r>
      <w:bookmarkEnd w:id="136"/>
    </w:p>
    <w:p w14:paraId="79D4AFDD" w14:textId="77777777" w:rsidR="0058551D" w:rsidRPr="00CE004E" w:rsidRDefault="0058551D" w:rsidP="0058551D">
      <w:pPr>
        <w:pStyle w:val="AnnexTitle"/>
        <w:spacing w:after="0"/>
        <w:rPr>
          <w:rFonts w:ascii="Calibri" w:hAnsi="Calibri" w:cs="Calibri"/>
          <w:kern w:val="32"/>
          <w:lang w:val="en-GB"/>
        </w:rPr>
      </w:pPr>
    </w:p>
    <w:p w14:paraId="6F6BA965" w14:textId="77777777" w:rsidR="0058551D" w:rsidRPr="00CE004E" w:rsidRDefault="0058551D" w:rsidP="0058551D">
      <w:pPr>
        <w:rPr>
          <w:rFonts w:ascii="Calibri" w:hAnsi="Calibri" w:cs="Calibri"/>
          <w:noProof/>
          <w:snapToGrid w:val="0"/>
          <w:lang w:eastAsia="en-US"/>
        </w:rPr>
      </w:pPr>
    </w:p>
    <w:p w14:paraId="62BF5724" w14:textId="77777777" w:rsidR="00212FBC" w:rsidRPr="00CE004E" w:rsidRDefault="00212FBC" w:rsidP="006F57A4">
      <w:pPr>
        <w:spacing w:after="120"/>
        <w:jc w:val="center"/>
        <w:rPr>
          <w:rFonts w:ascii="Calibri" w:hAnsi="Calibri" w:cs="Calibri"/>
          <w:b/>
          <w:sz w:val="18"/>
          <w:szCs w:val="18"/>
        </w:rPr>
      </w:pPr>
      <w:bookmarkStart w:id="137" w:name="_Hlk84592614"/>
      <w:bookmarkStart w:id="138" w:name="_Toc336947277"/>
      <w:bookmarkStart w:id="139" w:name="_Toc430342617"/>
    </w:p>
    <w:bookmarkEnd w:id="137"/>
    <w:p w14:paraId="6DE6D089" w14:textId="77777777" w:rsidR="00512269" w:rsidRPr="00041B4F" w:rsidRDefault="00512269" w:rsidP="00512269">
      <w:pPr>
        <w:spacing w:after="120"/>
        <w:jc w:val="center"/>
        <w:rPr>
          <w:rFonts w:ascii="Calibri" w:hAnsi="Calibri" w:cs="Calibri"/>
        </w:rPr>
      </w:pPr>
      <w:r w:rsidRPr="00041B4F">
        <w:rPr>
          <w:rFonts w:ascii="Calibri" w:hAnsi="Calibri" w:cs="Calibri"/>
          <w:b/>
        </w:rPr>
        <w:t>Table 1</w:t>
      </w:r>
      <w:r w:rsidRPr="00041B4F">
        <w:rPr>
          <w:rFonts w:ascii="Calibri" w:hAnsi="Calibri" w:cs="Calibri"/>
        </w:rPr>
        <w:t>. Status of blue marlin (</w:t>
      </w:r>
      <w:r w:rsidRPr="00041B4F">
        <w:rPr>
          <w:rFonts w:ascii="Calibri" w:hAnsi="Calibri" w:cs="Calibri"/>
          <w:i/>
        </w:rPr>
        <w:t>Makaira nigricans</w:t>
      </w:r>
      <w:r w:rsidRPr="00041B4F">
        <w:rPr>
          <w:rFonts w:ascii="Calibri" w:hAnsi="Calibri" w:cs="Calibri"/>
        </w:rPr>
        <w:t>) in the Indian Ocean</w:t>
      </w:r>
    </w:p>
    <w:tbl>
      <w:tblPr>
        <w:tblStyle w:val="TableGrid6721"/>
        <w:tblW w:w="9223" w:type="dxa"/>
        <w:jc w:val="center"/>
        <w:tblLayout w:type="fixed"/>
        <w:tblLook w:val="04A0" w:firstRow="1" w:lastRow="0" w:firstColumn="1" w:lastColumn="0" w:noHBand="0" w:noVBand="1"/>
      </w:tblPr>
      <w:tblGrid>
        <w:gridCol w:w="2370"/>
        <w:gridCol w:w="2845"/>
        <w:gridCol w:w="2375"/>
        <w:gridCol w:w="1633"/>
      </w:tblGrid>
      <w:tr w:rsidR="00512269" w:rsidRPr="00041B4F" w14:paraId="1C6AC27B" w14:textId="77777777" w:rsidTr="00A40DCE">
        <w:trPr>
          <w:trHeight w:val="960"/>
          <w:jc w:val="center"/>
        </w:trPr>
        <w:tc>
          <w:tcPr>
            <w:tcW w:w="2370" w:type="dxa"/>
            <w:vAlign w:val="center"/>
          </w:tcPr>
          <w:p w14:paraId="4ADB0B15" w14:textId="77777777" w:rsidR="00512269" w:rsidRPr="00041B4F" w:rsidRDefault="00512269" w:rsidP="00A40DCE">
            <w:pPr>
              <w:jc w:val="center"/>
              <w:rPr>
                <w:rFonts w:ascii="Calibri" w:hAnsi="Calibri" w:cs="Calibri"/>
                <w:b/>
              </w:rPr>
            </w:pPr>
            <w:r w:rsidRPr="00041B4F">
              <w:rPr>
                <w:rFonts w:ascii="Calibri" w:hAnsi="Calibri" w:cs="Calibri"/>
                <w:b/>
              </w:rPr>
              <w:t>Area</w:t>
            </w:r>
            <w:r w:rsidRPr="00041B4F">
              <w:rPr>
                <w:rFonts w:ascii="Calibri" w:hAnsi="Calibri" w:cs="Calibri"/>
                <w:b/>
                <w:vertAlign w:val="superscript"/>
              </w:rPr>
              <w:t>1</w:t>
            </w:r>
          </w:p>
        </w:tc>
        <w:tc>
          <w:tcPr>
            <w:tcW w:w="5220" w:type="dxa"/>
            <w:gridSpan w:val="2"/>
            <w:vAlign w:val="center"/>
          </w:tcPr>
          <w:p w14:paraId="50451372" w14:textId="77777777" w:rsidR="00512269" w:rsidRPr="00041B4F" w:rsidRDefault="00512269" w:rsidP="00A40DCE">
            <w:pPr>
              <w:jc w:val="center"/>
              <w:rPr>
                <w:rFonts w:ascii="Calibri" w:hAnsi="Calibri" w:cs="Calibri"/>
                <w:b/>
              </w:rPr>
            </w:pPr>
            <w:r w:rsidRPr="00041B4F">
              <w:rPr>
                <w:rFonts w:ascii="Calibri" w:hAnsi="Calibri" w:cs="Calibri"/>
                <w:b/>
              </w:rPr>
              <w:t>Indicators</w:t>
            </w:r>
          </w:p>
        </w:tc>
        <w:tc>
          <w:tcPr>
            <w:tcW w:w="1633" w:type="dxa"/>
            <w:vAlign w:val="center"/>
          </w:tcPr>
          <w:p w14:paraId="0507EF0F" w14:textId="77777777" w:rsidR="00512269" w:rsidRPr="00041B4F" w:rsidRDefault="00512269" w:rsidP="00A40DCE">
            <w:pPr>
              <w:jc w:val="center"/>
              <w:rPr>
                <w:rFonts w:ascii="Calibri" w:hAnsi="Calibri" w:cs="Calibri"/>
                <w:b/>
              </w:rPr>
            </w:pPr>
            <w:r w:rsidRPr="00041B4F">
              <w:rPr>
                <w:rFonts w:ascii="Calibri" w:hAnsi="Calibri" w:cs="Calibri"/>
                <w:b/>
              </w:rPr>
              <w:t>2022 stock status determination</w:t>
            </w:r>
            <w:r w:rsidRPr="009D7CE4">
              <w:rPr>
                <w:rFonts w:ascii="Calibri" w:hAnsi="Calibri" w:cs="Calibri"/>
                <w:b/>
                <w:vertAlign w:val="superscript"/>
              </w:rPr>
              <w:t>3</w:t>
            </w:r>
          </w:p>
        </w:tc>
      </w:tr>
      <w:tr w:rsidR="00512269" w:rsidRPr="00041B4F" w14:paraId="51A350B6" w14:textId="77777777" w:rsidTr="00A40DCE">
        <w:trPr>
          <w:trHeight w:val="530"/>
          <w:jc w:val="center"/>
        </w:trPr>
        <w:tc>
          <w:tcPr>
            <w:tcW w:w="2370" w:type="dxa"/>
            <w:vMerge w:val="restart"/>
            <w:vAlign w:val="center"/>
          </w:tcPr>
          <w:p w14:paraId="46B3ACB8" w14:textId="77777777" w:rsidR="00512269" w:rsidRPr="00041B4F" w:rsidRDefault="00512269" w:rsidP="00A40DCE">
            <w:pPr>
              <w:jc w:val="center"/>
              <w:rPr>
                <w:rFonts w:ascii="Calibri" w:hAnsi="Calibri" w:cs="Calibri"/>
              </w:rPr>
            </w:pPr>
            <w:r w:rsidRPr="00041B4F">
              <w:rPr>
                <w:rFonts w:ascii="Calibri" w:hAnsi="Calibri" w:cs="Calibri"/>
              </w:rPr>
              <w:t>Indian Ocean</w:t>
            </w:r>
          </w:p>
        </w:tc>
        <w:tc>
          <w:tcPr>
            <w:tcW w:w="2845" w:type="dxa"/>
            <w:vAlign w:val="center"/>
          </w:tcPr>
          <w:p w14:paraId="75F5E5FB" w14:textId="77777777" w:rsidR="00512269" w:rsidRPr="00041B4F" w:rsidRDefault="00512269" w:rsidP="00A40DCE">
            <w:pPr>
              <w:tabs>
                <w:tab w:val="right" w:pos="932"/>
                <w:tab w:val="left" w:pos="1168"/>
              </w:tabs>
              <w:jc w:val="right"/>
              <w:rPr>
                <w:rFonts w:ascii="Calibri" w:hAnsi="Calibri" w:cs="Calibri"/>
              </w:rPr>
            </w:pPr>
            <w:r w:rsidRPr="00041B4F">
              <w:rPr>
                <w:rFonts w:ascii="Calibri" w:hAnsi="Calibri" w:cs="Calibri"/>
              </w:rPr>
              <w:t>Catch 202</w:t>
            </w:r>
            <w:r>
              <w:rPr>
                <w:rFonts w:ascii="Calibri" w:hAnsi="Calibri" w:cs="Calibri"/>
              </w:rPr>
              <w:t>3</w:t>
            </w:r>
            <w:r w:rsidRPr="00041B4F">
              <w:rPr>
                <w:rFonts w:ascii="Calibri" w:hAnsi="Calibri" w:cs="Calibri"/>
                <w:vertAlign w:val="superscript"/>
              </w:rPr>
              <w:t>2</w:t>
            </w:r>
            <w:r w:rsidRPr="00041B4F">
              <w:rPr>
                <w:rFonts w:ascii="Calibri" w:hAnsi="Calibri" w:cs="Calibri"/>
              </w:rPr>
              <w:t xml:space="preserve"> (t)</w:t>
            </w:r>
          </w:p>
          <w:p w14:paraId="7584D7E6" w14:textId="77777777" w:rsidR="00512269" w:rsidRDefault="00512269" w:rsidP="00A40DCE">
            <w:pPr>
              <w:jc w:val="right"/>
              <w:rPr>
                <w:rFonts w:ascii="Calibri" w:hAnsi="Calibri" w:cs="Calibri"/>
              </w:rPr>
            </w:pPr>
            <w:r w:rsidRPr="00041B4F">
              <w:rPr>
                <w:rFonts w:ascii="Calibri" w:hAnsi="Calibri" w:cs="Calibri"/>
              </w:rPr>
              <w:t>Average catch 201</w:t>
            </w:r>
            <w:r>
              <w:rPr>
                <w:rFonts w:ascii="Calibri" w:hAnsi="Calibri" w:cs="Calibri"/>
              </w:rPr>
              <w:t>9</w:t>
            </w:r>
            <w:r w:rsidRPr="00041B4F">
              <w:rPr>
                <w:rFonts w:ascii="Calibri" w:hAnsi="Calibri" w:cs="Calibri"/>
              </w:rPr>
              <w:t>-202</w:t>
            </w:r>
            <w:r>
              <w:rPr>
                <w:rFonts w:ascii="Calibri" w:hAnsi="Calibri" w:cs="Calibri"/>
              </w:rPr>
              <w:t>3</w:t>
            </w:r>
            <w:r w:rsidRPr="00041B4F">
              <w:rPr>
                <w:rFonts w:ascii="Calibri" w:hAnsi="Calibri" w:cs="Calibri"/>
              </w:rPr>
              <w:t xml:space="preserve"> (t)</w:t>
            </w:r>
          </w:p>
          <w:p w14:paraId="045B8D5E" w14:textId="77777777" w:rsidR="00512269" w:rsidRPr="00041B4F" w:rsidRDefault="00512269" w:rsidP="00A40DCE">
            <w:pPr>
              <w:jc w:val="right"/>
              <w:rPr>
                <w:rFonts w:ascii="Calibri" w:hAnsi="Calibri" w:cs="Calibri"/>
              </w:rPr>
            </w:pPr>
            <w:r>
              <w:rPr>
                <w:rFonts w:ascii="Calibri" w:hAnsi="Calibri" w:cs="Calibri"/>
              </w:rPr>
              <w:t>Average catch 2021-2023 (t)</w:t>
            </w:r>
          </w:p>
        </w:tc>
        <w:tc>
          <w:tcPr>
            <w:tcW w:w="2375" w:type="dxa"/>
          </w:tcPr>
          <w:p w14:paraId="474AF789" w14:textId="77777777" w:rsidR="00512269" w:rsidRDefault="00512269" w:rsidP="00A40DCE">
            <w:pPr>
              <w:rPr>
                <w:rFonts w:ascii="Calibri" w:hAnsi="Calibri" w:cs="Calibri"/>
              </w:rPr>
            </w:pPr>
            <w:r w:rsidRPr="2446E606">
              <w:rPr>
                <w:rFonts w:ascii="Calibri" w:hAnsi="Calibri" w:cs="Calibri"/>
              </w:rPr>
              <w:t>7,905</w:t>
            </w:r>
          </w:p>
          <w:p w14:paraId="220718F0" w14:textId="77777777" w:rsidR="00512269" w:rsidRDefault="00512269" w:rsidP="00A40DCE">
            <w:pPr>
              <w:rPr>
                <w:rFonts w:ascii="Calibri" w:hAnsi="Calibri" w:cs="Calibri"/>
              </w:rPr>
            </w:pPr>
            <w:r w:rsidRPr="2446E606">
              <w:rPr>
                <w:rFonts w:ascii="Calibri" w:hAnsi="Calibri" w:cs="Calibri"/>
              </w:rPr>
              <w:t>7,964</w:t>
            </w:r>
          </w:p>
          <w:p w14:paraId="055484AF" w14:textId="77777777" w:rsidR="00512269" w:rsidRPr="00041B4F" w:rsidRDefault="00512269" w:rsidP="00A40DCE">
            <w:pPr>
              <w:rPr>
                <w:rFonts w:ascii="Calibri" w:hAnsi="Calibri" w:cs="Calibri"/>
              </w:rPr>
            </w:pPr>
            <w:r>
              <w:rPr>
                <w:rFonts w:ascii="Calibri" w:hAnsi="Calibri" w:cs="Calibri"/>
              </w:rPr>
              <w:t>7,262</w:t>
            </w:r>
          </w:p>
        </w:tc>
        <w:tc>
          <w:tcPr>
            <w:tcW w:w="1633" w:type="dxa"/>
            <w:vMerge w:val="restart"/>
            <w:shd w:val="clear" w:color="auto" w:fill="FF0000"/>
            <w:vAlign w:val="center"/>
          </w:tcPr>
          <w:p w14:paraId="1672EAB8" w14:textId="77777777" w:rsidR="00512269" w:rsidRPr="00041B4F" w:rsidRDefault="00512269" w:rsidP="00A40DCE">
            <w:pPr>
              <w:keepNext/>
              <w:keepLines/>
              <w:jc w:val="center"/>
              <w:outlineLvl w:val="0"/>
              <w:rPr>
                <w:rFonts w:ascii="Calibri" w:hAnsi="Calibri" w:cs="Calibri"/>
                <w:b/>
                <w:bCs/>
                <w:smallCaps/>
                <w:kern w:val="32"/>
              </w:rPr>
            </w:pPr>
            <w:r>
              <w:rPr>
                <w:rFonts w:ascii="Calibri" w:hAnsi="Calibri" w:cs="Calibri"/>
                <w:b/>
                <w:bCs/>
                <w:smallCaps/>
                <w:color w:val="FFFFFF"/>
                <w:kern w:val="32"/>
                <w:sz w:val="32"/>
                <w:szCs w:val="36"/>
              </w:rPr>
              <w:t>97.4</w:t>
            </w:r>
            <w:r w:rsidRPr="00041B4F">
              <w:rPr>
                <w:rFonts w:ascii="Calibri" w:hAnsi="Calibri" w:cs="Calibri"/>
                <w:b/>
                <w:bCs/>
                <w:smallCaps/>
                <w:color w:val="FFFFFF"/>
                <w:kern w:val="32"/>
                <w:sz w:val="32"/>
                <w:szCs w:val="36"/>
              </w:rPr>
              <w:t>%*</w:t>
            </w:r>
          </w:p>
        </w:tc>
      </w:tr>
      <w:tr w:rsidR="00512269" w:rsidRPr="00041B4F" w14:paraId="472FAE51" w14:textId="77777777" w:rsidTr="00A40DCE">
        <w:trPr>
          <w:trHeight w:val="962"/>
          <w:jc w:val="center"/>
        </w:trPr>
        <w:tc>
          <w:tcPr>
            <w:tcW w:w="2370" w:type="dxa"/>
            <w:vMerge/>
            <w:vAlign w:val="center"/>
          </w:tcPr>
          <w:p w14:paraId="015C34FB" w14:textId="77777777" w:rsidR="00512269" w:rsidRPr="00041B4F" w:rsidRDefault="00512269" w:rsidP="00A40DCE">
            <w:pPr>
              <w:jc w:val="center"/>
              <w:rPr>
                <w:rFonts w:ascii="Calibri" w:hAnsi="Calibri" w:cs="Calibri"/>
              </w:rPr>
            </w:pPr>
          </w:p>
        </w:tc>
        <w:tc>
          <w:tcPr>
            <w:tcW w:w="2845" w:type="dxa"/>
            <w:vAlign w:val="center"/>
          </w:tcPr>
          <w:p w14:paraId="49693303" w14:textId="77777777" w:rsidR="00512269" w:rsidRPr="00041B4F" w:rsidRDefault="00512269" w:rsidP="00A40DCE">
            <w:pPr>
              <w:pStyle w:val="NoSpacing"/>
              <w:tabs>
                <w:tab w:val="right" w:pos="932"/>
                <w:tab w:val="left" w:pos="1168"/>
              </w:tabs>
              <w:rPr>
                <w:rFonts w:ascii="Calibri" w:hAnsi="Calibri" w:cs="Calibri"/>
                <w:lang w:val="it-IT"/>
              </w:rPr>
            </w:pPr>
            <w:r w:rsidRPr="352231B8">
              <w:rPr>
                <w:lang w:val="it-IT"/>
              </w:rPr>
              <w:t>MSY (1,000 t) (80% CI)</w:t>
            </w:r>
          </w:p>
          <w:p w14:paraId="63D6CBE9" w14:textId="77777777" w:rsidR="00512269" w:rsidRPr="00041B4F" w:rsidRDefault="00512269" w:rsidP="00A40DCE">
            <w:pPr>
              <w:pStyle w:val="NoSpacing"/>
              <w:tabs>
                <w:tab w:val="right" w:pos="932"/>
                <w:tab w:val="left" w:pos="1168"/>
              </w:tabs>
              <w:rPr>
                <w:rFonts w:ascii="Calibri" w:hAnsi="Calibri" w:cs="Calibri"/>
                <w:lang w:val="it-IT"/>
              </w:rPr>
            </w:pPr>
            <w:r w:rsidRPr="352231B8">
              <w:rPr>
                <w:lang w:val="it-IT"/>
              </w:rPr>
              <w:t>F</w:t>
            </w:r>
            <w:r w:rsidRPr="352231B8">
              <w:rPr>
                <w:vertAlign w:val="subscript"/>
                <w:lang w:val="it-IT"/>
              </w:rPr>
              <w:t>MSY</w:t>
            </w:r>
            <w:r w:rsidRPr="352231B8">
              <w:rPr>
                <w:lang w:val="it-IT"/>
              </w:rPr>
              <w:t xml:space="preserve"> (80% CI)</w:t>
            </w:r>
          </w:p>
          <w:p w14:paraId="42599C6F" w14:textId="77777777" w:rsidR="00512269" w:rsidRPr="00041B4F" w:rsidRDefault="00512269" w:rsidP="00A40DCE">
            <w:pPr>
              <w:pStyle w:val="NoSpacing"/>
              <w:tabs>
                <w:tab w:val="right" w:pos="932"/>
                <w:tab w:val="left" w:pos="1168"/>
              </w:tabs>
              <w:rPr>
                <w:rFonts w:ascii="Calibri" w:hAnsi="Calibri" w:cs="Calibri"/>
                <w:lang w:val="it-IT"/>
              </w:rPr>
            </w:pPr>
            <w:r w:rsidRPr="352231B8">
              <w:rPr>
                <w:lang w:val="it-IT"/>
              </w:rPr>
              <w:t>B</w:t>
            </w:r>
            <w:r w:rsidRPr="352231B8">
              <w:rPr>
                <w:vertAlign w:val="subscript"/>
                <w:lang w:val="it-IT"/>
              </w:rPr>
              <w:t>MSY</w:t>
            </w:r>
            <w:r w:rsidRPr="352231B8">
              <w:rPr>
                <w:lang w:val="it-IT"/>
              </w:rPr>
              <w:t xml:space="preserve"> (1,000 t) (80% CI)</w:t>
            </w:r>
          </w:p>
          <w:p w14:paraId="02D332A8" w14:textId="77777777" w:rsidR="00512269" w:rsidRPr="00041B4F" w:rsidRDefault="00512269" w:rsidP="00A40DCE">
            <w:pPr>
              <w:pStyle w:val="NoSpacing"/>
              <w:tabs>
                <w:tab w:val="right" w:pos="932"/>
                <w:tab w:val="left" w:pos="1168"/>
              </w:tabs>
              <w:rPr>
                <w:rFonts w:ascii="Calibri" w:hAnsi="Calibri" w:cs="Calibri"/>
                <w:lang w:val="it-IT"/>
              </w:rPr>
            </w:pPr>
            <w:r w:rsidRPr="352231B8">
              <w:rPr>
                <w:lang w:val="it-IT"/>
              </w:rPr>
              <w:t>F</w:t>
            </w:r>
            <w:r w:rsidRPr="352231B8">
              <w:rPr>
                <w:vertAlign w:val="subscript"/>
                <w:lang w:val="it-IT"/>
              </w:rPr>
              <w:t>2023</w:t>
            </w:r>
            <w:r w:rsidRPr="352231B8">
              <w:rPr>
                <w:lang w:val="it-IT"/>
              </w:rPr>
              <w:t>/F</w:t>
            </w:r>
            <w:r w:rsidRPr="352231B8">
              <w:rPr>
                <w:vertAlign w:val="subscript"/>
                <w:lang w:val="it-IT"/>
              </w:rPr>
              <w:t>MSY</w:t>
            </w:r>
            <w:r w:rsidRPr="352231B8">
              <w:rPr>
                <w:lang w:val="it-IT"/>
              </w:rPr>
              <w:t xml:space="preserve"> (80% CI)</w:t>
            </w:r>
          </w:p>
          <w:p w14:paraId="7B4B12D2" w14:textId="77777777" w:rsidR="00512269" w:rsidRPr="00041B4F" w:rsidRDefault="00512269" w:rsidP="00A40DCE">
            <w:pPr>
              <w:pStyle w:val="NoSpacing"/>
              <w:tabs>
                <w:tab w:val="right" w:pos="932"/>
                <w:tab w:val="left" w:pos="1168"/>
              </w:tabs>
              <w:rPr>
                <w:rFonts w:ascii="Calibri" w:hAnsi="Calibri" w:cs="Calibri"/>
                <w:lang w:val="it-IT"/>
              </w:rPr>
            </w:pPr>
            <w:r w:rsidRPr="352231B8">
              <w:rPr>
                <w:lang w:val="it-IT"/>
              </w:rPr>
              <w:t>B</w:t>
            </w:r>
            <w:r w:rsidRPr="352231B8">
              <w:rPr>
                <w:vertAlign w:val="subscript"/>
                <w:lang w:val="it-IT"/>
              </w:rPr>
              <w:t>2023</w:t>
            </w:r>
            <w:r w:rsidRPr="352231B8">
              <w:rPr>
                <w:lang w:val="it-IT"/>
              </w:rPr>
              <w:t>/B</w:t>
            </w:r>
            <w:r w:rsidRPr="352231B8">
              <w:rPr>
                <w:vertAlign w:val="subscript"/>
                <w:lang w:val="it-IT"/>
              </w:rPr>
              <w:t>MSY</w:t>
            </w:r>
            <w:r w:rsidRPr="352231B8">
              <w:rPr>
                <w:lang w:val="it-IT"/>
              </w:rPr>
              <w:t xml:space="preserve"> (80% CI)</w:t>
            </w:r>
          </w:p>
          <w:p w14:paraId="0A1E008D" w14:textId="77777777" w:rsidR="00512269" w:rsidRPr="00041B4F" w:rsidRDefault="00512269" w:rsidP="00A40DCE">
            <w:pPr>
              <w:pStyle w:val="NoSpacing"/>
              <w:tabs>
                <w:tab w:val="right" w:pos="932"/>
                <w:tab w:val="left" w:pos="1168"/>
              </w:tabs>
              <w:rPr>
                <w:rFonts w:ascii="Calibri" w:hAnsi="Calibri" w:cs="Calibri"/>
                <w:lang w:val="it-IT"/>
              </w:rPr>
            </w:pPr>
            <w:r w:rsidRPr="352231B8">
              <w:rPr>
                <w:lang w:val="it-IT"/>
              </w:rPr>
              <w:t>B</w:t>
            </w:r>
            <w:r w:rsidRPr="352231B8">
              <w:rPr>
                <w:vertAlign w:val="subscript"/>
                <w:lang w:val="it-IT"/>
              </w:rPr>
              <w:t>2023</w:t>
            </w:r>
            <w:r w:rsidRPr="352231B8">
              <w:rPr>
                <w:lang w:val="it-IT"/>
              </w:rPr>
              <w:t>/B</w:t>
            </w:r>
            <w:r w:rsidRPr="352231B8">
              <w:rPr>
                <w:vertAlign w:val="subscript"/>
                <w:lang w:val="it-IT"/>
              </w:rPr>
              <w:t>0</w:t>
            </w:r>
            <w:r w:rsidRPr="352231B8">
              <w:rPr>
                <w:lang w:val="it-IT"/>
              </w:rPr>
              <w:t xml:space="preserve"> (80% CI)</w:t>
            </w:r>
          </w:p>
        </w:tc>
        <w:tc>
          <w:tcPr>
            <w:tcW w:w="2375" w:type="dxa"/>
          </w:tcPr>
          <w:p w14:paraId="3C07C7D0" w14:textId="77777777" w:rsidR="00512269" w:rsidRPr="00041B4F" w:rsidRDefault="00512269" w:rsidP="00A40DCE">
            <w:pPr>
              <w:pStyle w:val="NoSpacing"/>
              <w:rPr>
                <w:rFonts w:ascii="Calibri" w:hAnsi="Calibri" w:cs="Calibri"/>
              </w:rPr>
            </w:pPr>
            <w:r>
              <w:t>8.35 (7.52 –9.23)</w:t>
            </w:r>
          </w:p>
          <w:p w14:paraId="11893EF2" w14:textId="77777777" w:rsidR="00512269" w:rsidRPr="00041B4F" w:rsidRDefault="00512269" w:rsidP="00A40DCE">
            <w:pPr>
              <w:pStyle w:val="NoSpacing"/>
              <w:rPr>
                <w:rFonts w:ascii="Calibri" w:hAnsi="Calibri" w:cs="Calibri"/>
              </w:rPr>
            </w:pPr>
            <w:r>
              <w:t>0.30 (0.21 – 0.38)</w:t>
            </w:r>
          </w:p>
          <w:p w14:paraId="59408F39" w14:textId="77777777" w:rsidR="00512269" w:rsidRPr="00041B4F" w:rsidRDefault="00512269" w:rsidP="00A40DCE">
            <w:pPr>
              <w:pStyle w:val="NoSpacing"/>
              <w:rPr>
                <w:rFonts w:ascii="Calibri" w:hAnsi="Calibri" w:cs="Calibri"/>
              </w:rPr>
            </w:pPr>
            <w:r>
              <w:t>27.92 (22.3 – 39.9)</w:t>
            </w:r>
          </w:p>
          <w:p w14:paraId="1CC35839" w14:textId="77777777" w:rsidR="00512269" w:rsidRPr="00041B4F" w:rsidRDefault="00512269" w:rsidP="00A40DCE">
            <w:pPr>
              <w:pStyle w:val="NoSpacing"/>
              <w:rPr>
                <w:rFonts w:ascii="Calibri" w:hAnsi="Calibri" w:cs="Calibri"/>
                <w:lang w:eastAsia="en-AU"/>
              </w:rPr>
            </w:pPr>
            <w:r w:rsidRPr="00041B4F">
              <w:t>1.</w:t>
            </w:r>
            <w:r>
              <w:t>54</w:t>
            </w:r>
            <w:r w:rsidRPr="00041B4F">
              <w:t xml:space="preserve"> (</w:t>
            </w:r>
            <w:r>
              <w:t>1.16</w:t>
            </w:r>
            <w:r w:rsidRPr="00041B4F">
              <w:t xml:space="preserve"> – </w:t>
            </w:r>
            <w:r>
              <w:t>2.06</w:t>
            </w:r>
            <w:r w:rsidRPr="00041B4F">
              <w:t>)</w:t>
            </w:r>
          </w:p>
          <w:p w14:paraId="0D1C465F" w14:textId="77777777" w:rsidR="00512269" w:rsidRPr="00041B4F" w:rsidRDefault="00512269" w:rsidP="00A40DCE">
            <w:pPr>
              <w:pStyle w:val="NoSpacing"/>
              <w:rPr>
                <w:rFonts w:ascii="Calibri" w:hAnsi="Calibri" w:cs="Calibri"/>
                <w:lang w:eastAsia="en-AU"/>
              </w:rPr>
            </w:pPr>
            <w:r w:rsidRPr="00041B4F">
              <w:t>0.</w:t>
            </w:r>
            <w:r>
              <w:t>62</w:t>
            </w:r>
            <w:r w:rsidRPr="00041B4F">
              <w:t xml:space="preserve"> (0.</w:t>
            </w:r>
            <w:r>
              <w:t>48</w:t>
            </w:r>
            <w:r w:rsidRPr="00041B4F">
              <w:t xml:space="preserve"> – 0.</w:t>
            </w:r>
            <w:r>
              <w:t>78</w:t>
            </w:r>
            <w:r w:rsidRPr="00041B4F">
              <w:t>)</w:t>
            </w:r>
          </w:p>
          <w:p w14:paraId="10C45ED1" w14:textId="77777777" w:rsidR="00512269" w:rsidRPr="00041B4F" w:rsidRDefault="00512269" w:rsidP="00A40DCE">
            <w:pPr>
              <w:pStyle w:val="NoSpacing"/>
              <w:rPr>
                <w:rFonts w:ascii="Calibri" w:hAnsi="Calibri" w:cs="Calibri"/>
              </w:rPr>
            </w:pPr>
            <w:r>
              <w:t>0.23 (0.18 – 0.29)</w:t>
            </w:r>
          </w:p>
        </w:tc>
        <w:tc>
          <w:tcPr>
            <w:tcW w:w="1633" w:type="dxa"/>
            <w:vMerge/>
            <w:vAlign w:val="center"/>
          </w:tcPr>
          <w:p w14:paraId="58762329" w14:textId="77777777" w:rsidR="00512269" w:rsidRPr="00041B4F" w:rsidRDefault="00512269" w:rsidP="00A40DCE">
            <w:pPr>
              <w:keepNext/>
              <w:keepLines/>
              <w:jc w:val="center"/>
              <w:outlineLvl w:val="0"/>
              <w:rPr>
                <w:rFonts w:ascii="Calibri" w:hAnsi="Calibri" w:cs="Calibri"/>
              </w:rPr>
            </w:pPr>
          </w:p>
        </w:tc>
      </w:tr>
    </w:tbl>
    <w:p w14:paraId="0B3F2BC7" w14:textId="77777777" w:rsidR="00512269" w:rsidRPr="00041B4F" w:rsidRDefault="00512269" w:rsidP="00512269">
      <w:pPr>
        <w:ind w:left="720"/>
        <w:rPr>
          <w:rFonts w:ascii="Calibri" w:hAnsi="Calibri" w:cs="Calibri"/>
          <w:sz w:val="18"/>
          <w:szCs w:val="18"/>
        </w:rPr>
      </w:pPr>
      <w:r w:rsidRPr="00041B4F">
        <w:rPr>
          <w:rFonts w:ascii="Calibri" w:hAnsi="Calibri" w:cs="Calibri"/>
          <w:sz w:val="18"/>
          <w:szCs w:val="18"/>
          <w:vertAlign w:val="superscript"/>
        </w:rPr>
        <w:t xml:space="preserve">1 </w:t>
      </w:r>
      <w:r w:rsidRPr="00041B4F">
        <w:rPr>
          <w:rFonts w:ascii="Calibri" w:hAnsi="Calibri" w:cs="Calibri"/>
          <w:sz w:val="18"/>
          <w:szCs w:val="18"/>
        </w:rPr>
        <w:t>Boundaries for the Indian Ocean are defined as the IOTC area of competence</w:t>
      </w:r>
    </w:p>
    <w:p w14:paraId="117F1650" w14:textId="77777777" w:rsidR="00512269" w:rsidRDefault="00512269" w:rsidP="00512269">
      <w:pPr>
        <w:ind w:left="720"/>
        <w:rPr>
          <w:rFonts w:ascii="Calibri" w:hAnsi="Calibri" w:cs="Calibri"/>
          <w:color w:val="000000"/>
          <w:sz w:val="18"/>
          <w:szCs w:val="18"/>
        </w:rPr>
      </w:pPr>
      <w:r w:rsidRPr="2446E606">
        <w:rPr>
          <w:rFonts w:ascii="Calibri" w:hAnsi="Calibri" w:cs="Calibri"/>
          <w:smallCaps/>
          <w:color w:val="000000"/>
          <w:kern w:val="32"/>
          <w:sz w:val="18"/>
          <w:szCs w:val="18"/>
          <w:vertAlign w:val="superscript"/>
        </w:rPr>
        <w:t xml:space="preserve">2 </w:t>
      </w:r>
      <w:r w:rsidRPr="00041B4F">
        <w:rPr>
          <w:rFonts w:ascii="Calibri" w:hAnsi="Calibri" w:cs="Calibri"/>
          <w:color w:val="000000"/>
          <w:sz w:val="18"/>
          <w:szCs w:val="18"/>
        </w:rPr>
        <w:t>Proportion of 202</w:t>
      </w:r>
      <w:r>
        <w:rPr>
          <w:rFonts w:ascii="Calibri" w:hAnsi="Calibri" w:cs="Calibri"/>
          <w:color w:val="000000"/>
          <w:sz w:val="18"/>
          <w:szCs w:val="18"/>
        </w:rPr>
        <w:t>3</w:t>
      </w:r>
      <w:r w:rsidRPr="00041B4F">
        <w:rPr>
          <w:rFonts w:ascii="Calibri" w:hAnsi="Calibri" w:cs="Calibri"/>
          <w:color w:val="000000"/>
          <w:sz w:val="18"/>
          <w:szCs w:val="18"/>
        </w:rPr>
        <w:t xml:space="preserve"> catch estimated or partially estimated by IOTC Secretariat: </w:t>
      </w:r>
      <w:r w:rsidRPr="00741224">
        <w:rPr>
          <w:rFonts w:ascii="Calibri" w:hAnsi="Calibri" w:cs="Calibri"/>
          <w:color w:val="000000"/>
          <w:sz w:val="18"/>
          <w:szCs w:val="18"/>
        </w:rPr>
        <w:t>46</w:t>
      </w:r>
      <w:r w:rsidRPr="00041B4F">
        <w:rPr>
          <w:rFonts w:ascii="Calibri" w:hAnsi="Calibri" w:cs="Calibri"/>
          <w:color w:val="000000"/>
          <w:sz w:val="18"/>
          <w:szCs w:val="18"/>
        </w:rPr>
        <w:t>%</w:t>
      </w:r>
    </w:p>
    <w:p w14:paraId="5387A433" w14:textId="77777777" w:rsidR="00512269" w:rsidRPr="00041B4F" w:rsidRDefault="00512269" w:rsidP="00512269">
      <w:pPr>
        <w:ind w:left="720"/>
        <w:rPr>
          <w:rFonts w:ascii="Calibri" w:hAnsi="Calibri" w:cs="Calibri"/>
          <w:bCs/>
          <w:smallCaps/>
          <w:color w:val="000000"/>
          <w:kern w:val="32"/>
          <w:sz w:val="18"/>
          <w:szCs w:val="18"/>
          <w:vertAlign w:val="superscript"/>
        </w:rPr>
      </w:pPr>
      <w:r w:rsidRPr="00C250FC">
        <w:rPr>
          <w:rFonts w:ascii="Calibri" w:eastAsia="Calibri" w:hAnsi="Calibri" w:cs="Calibri"/>
          <w:sz w:val="18"/>
          <w:szCs w:val="18"/>
          <w:vertAlign w:val="superscript"/>
        </w:rPr>
        <w:t>3</w:t>
      </w:r>
      <w:r>
        <w:rPr>
          <w:rFonts w:ascii="Calibri" w:eastAsia="Calibri" w:hAnsi="Calibri" w:cs="Calibri"/>
          <w:sz w:val="18"/>
          <w:szCs w:val="18"/>
        </w:rPr>
        <w:t>2023</w:t>
      </w:r>
      <w:r w:rsidRPr="00C250FC">
        <w:rPr>
          <w:rFonts w:ascii="Calibri" w:eastAsia="Calibri" w:hAnsi="Calibri" w:cs="Calibri"/>
          <w:sz w:val="18"/>
          <w:szCs w:val="18"/>
        </w:rPr>
        <w:t xml:space="preserve"> </w:t>
      </w:r>
      <w:r>
        <w:rPr>
          <w:rFonts w:ascii="Calibri" w:eastAsia="Calibri" w:hAnsi="Calibri" w:cs="Calibri"/>
          <w:sz w:val="18"/>
          <w:szCs w:val="18"/>
        </w:rPr>
        <w:t>is</w:t>
      </w:r>
      <w:r w:rsidRPr="00C250FC">
        <w:rPr>
          <w:rFonts w:ascii="Calibri" w:eastAsia="Calibri" w:hAnsi="Calibri" w:cs="Calibri"/>
          <w:sz w:val="18"/>
          <w:szCs w:val="18"/>
        </w:rPr>
        <w:t xml:space="preserve"> the final year </w:t>
      </w:r>
      <w:r>
        <w:rPr>
          <w:rFonts w:ascii="Calibri" w:eastAsia="Calibri" w:hAnsi="Calibri" w:cs="Calibri"/>
          <w:sz w:val="18"/>
          <w:szCs w:val="18"/>
        </w:rPr>
        <w:t xml:space="preserve">that </w:t>
      </w:r>
      <w:r w:rsidRPr="00C250FC">
        <w:rPr>
          <w:rFonts w:ascii="Calibri" w:eastAsia="Calibri" w:hAnsi="Calibri" w:cs="Calibri"/>
          <w:sz w:val="18"/>
          <w:szCs w:val="18"/>
        </w:rPr>
        <w:t>data</w:t>
      </w:r>
      <w:r>
        <w:rPr>
          <w:rFonts w:ascii="Calibri" w:eastAsia="Calibri" w:hAnsi="Calibri" w:cs="Calibri"/>
          <w:sz w:val="18"/>
          <w:szCs w:val="18"/>
        </w:rPr>
        <w:t xml:space="preserve"> were</w:t>
      </w:r>
      <w:r w:rsidRPr="00C250FC">
        <w:rPr>
          <w:rFonts w:ascii="Calibri" w:eastAsia="Calibri" w:hAnsi="Calibri" w:cs="Calibri"/>
          <w:sz w:val="18"/>
          <w:szCs w:val="18"/>
        </w:rPr>
        <w:t xml:space="preserve"> available for </w:t>
      </w:r>
      <w:r>
        <w:rPr>
          <w:rFonts w:ascii="Calibri" w:eastAsia="Calibri" w:hAnsi="Calibri" w:cs="Calibri"/>
          <w:sz w:val="18"/>
          <w:szCs w:val="18"/>
        </w:rPr>
        <w:t xml:space="preserve">this </w:t>
      </w:r>
      <w:r w:rsidRPr="00C250FC">
        <w:rPr>
          <w:rFonts w:ascii="Calibri" w:eastAsia="Calibri" w:hAnsi="Calibri" w:cs="Calibri"/>
          <w:sz w:val="18"/>
          <w:szCs w:val="18"/>
        </w:rPr>
        <w:t>assessment</w:t>
      </w:r>
    </w:p>
    <w:p w14:paraId="15B307A8" w14:textId="77777777" w:rsidR="00512269" w:rsidRPr="00041B4F" w:rsidRDefault="00512269" w:rsidP="00512269">
      <w:pPr>
        <w:ind w:left="720"/>
        <w:rPr>
          <w:rFonts w:ascii="Calibri" w:hAnsi="Calibri" w:cs="Calibri"/>
          <w:color w:val="000000"/>
          <w:sz w:val="18"/>
          <w:szCs w:val="18"/>
        </w:rPr>
      </w:pPr>
      <w:r w:rsidRPr="00041B4F">
        <w:rPr>
          <w:rFonts w:ascii="Calibri" w:hAnsi="Calibri" w:cs="Calibri"/>
          <w:color w:val="000000"/>
          <w:sz w:val="18"/>
          <w:szCs w:val="18"/>
        </w:rPr>
        <w:t>* Estimated probability that the stock is in the respective quadrant of the Kobe plot (shown below), derived from the confidence intervals associated with the current stock status</w:t>
      </w:r>
    </w:p>
    <w:p w14:paraId="10396451" w14:textId="77777777" w:rsidR="00512269" w:rsidRPr="00041B4F" w:rsidRDefault="00512269" w:rsidP="00512269">
      <w:pPr>
        <w:rPr>
          <w:rFonts w:ascii="Calibri" w:hAnsi="Calibri" w:cs="Calibri"/>
        </w:rPr>
      </w:pPr>
    </w:p>
    <w:tbl>
      <w:tblPr>
        <w:tblStyle w:val="TableGrid3152104"/>
        <w:tblW w:w="0" w:type="auto"/>
        <w:jc w:val="center"/>
        <w:shd w:val="clear" w:color="auto" w:fill="FFFFFF"/>
        <w:tblLook w:val="04A0" w:firstRow="1" w:lastRow="0" w:firstColumn="1" w:lastColumn="0" w:noHBand="0" w:noVBand="1"/>
      </w:tblPr>
      <w:tblGrid>
        <w:gridCol w:w="3685"/>
        <w:gridCol w:w="2761"/>
        <w:gridCol w:w="2904"/>
      </w:tblGrid>
      <w:tr w:rsidR="00512269" w:rsidRPr="00041B4F" w14:paraId="5E659E68" w14:textId="77777777" w:rsidTr="00A40DCE">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04CA3851" w14:textId="77777777" w:rsidR="00512269" w:rsidRPr="00041B4F" w:rsidRDefault="00512269" w:rsidP="00A40DCE">
            <w:pPr>
              <w:keepNext/>
              <w:keepLines/>
              <w:spacing w:after="20"/>
              <w:jc w:val="center"/>
              <w:rPr>
                <w:rFonts w:ascii="Calibri" w:hAnsi="Calibri" w:cs="Calibri"/>
                <w:b/>
                <w:sz w:val="18"/>
                <w:szCs w:val="18"/>
              </w:rPr>
            </w:pPr>
            <w:r w:rsidRPr="00041B4F">
              <w:rPr>
                <w:rFonts w:ascii="Calibri" w:hAnsi="Calibri" w:cs="Calibri"/>
                <w:b/>
                <w:sz w:val="18"/>
                <w:szCs w:val="18"/>
              </w:rPr>
              <w:t>Colour key</w:t>
            </w:r>
          </w:p>
        </w:tc>
        <w:tc>
          <w:tcPr>
            <w:tcW w:w="2761" w:type="dxa"/>
            <w:tcBorders>
              <w:top w:val="single" w:sz="4" w:space="0" w:color="auto"/>
              <w:left w:val="single" w:sz="4" w:space="0" w:color="auto"/>
              <w:bottom w:val="single" w:sz="4" w:space="0" w:color="auto"/>
              <w:right w:val="single" w:sz="4" w:space="0" w:color="auto"/>
            </w:tcBorders>
            <w:shd w:val="clear" w:color="auto" w:fill="FFFFFF"/>
            <w:vAlign w:val="center"/>
          </w:tcPr>
          <w:p w14:paraId="5CDF3A70" w14:textId="77777777" w:rsidR="00512269" w:rsidRPr="00041B4F" w:rsidRDefault="00512269" w:rsidP="00A40DCE">
            <w:pPr>
              <w:keepNext/>
              <w:keepLines/>
              <w:spacing w:after="20"/>
              <w:jc w:val="center"/>
              <w:rPr>
                <w:rFonts w:ascii="Calibri" w:hAnsi="Calibri" w:cs="Calibri"/>
                <w:sz w:val="18"/>
                <w:szCs w:val="18"/>
              </w:rPr>
            </w:pPr>
            <w:r w:rsidRPr="00041B4F">
              <w:rPr>
                <w:rFonts w:ascii="Calibri" w:hAnsi="Calibri" w:cs="Calibri"/>
                <w:sz w:val="18"/>
                <w:szCs w:val="18"/>
              </w:rPr>
              <w:t>Stock overfished (B</w:t>
            </w:r>
            <w:r>
              <w:rPr>
                <w:rFonts w:ascii="Calibri" w:hAnsi="Calibri" w:cs="Calibri"/>
                <w:sz w:val="18"/>
                <w:szCs w:val="18"/>
                <w:vertAlign w:val="subscript"/>
              </w:rPr>
              <w:t>2023</w:t>
            </w:r>
            <w:r w:rsidRPr="00041B4F">
              <w:rPr>
                <w:rFonts w:ascii="Calibri" w:hAnsi="Calibri" w:cs="Calibri"/>
                <w:sz w:val="18"/>
                <w:szCs w:val="18"/>
              </w:rPr>
              <w:t>/B</w:t>
            </w:r>
            <w:r w:rsidRPr="00041B4F">
              <w:rPr>
                <w:rFonts w:ascii="Calibri" w:hAnsi="Calibri" w:cs="Calibri"/>
                <w:sz w:val="18"/>
                <w:szCs w:val="18"/>
                <w:vertAlign w:val="subscript"/>
              </w:rPr>
              <w:t>MSY</w:t>
            </w:r>
            <w:r w:rsidRPr="00041B4F">
              <w:rPr>
                <w:rFonts w:ascii="Calibri" w:hAnsi="Calibri" w:cs="Calibri"/>
                <w:sz w:val="18"/>
                <w:szCs w:val="18"/>
              </w:rPr>
              <w:t>&lt; 1)</w:t>
            </w:r>
          </w:p>
        </w:tc>
        <w:tc>
          <w:tcPr>
            <w:tcW w:w="2904" w:type="dxa"/>
            <w:tcBorders>
              <w:top w:val="single" w:sz="4" w:space="0" w:color="auto"/>
              <w:left w:val="single" w:sz="4" w:space="0" w:color="auto"/>
              <w:bottom w:val="single" w:sz="4" w:space="0" w:color="auto"/>
              <w:right w:val="single" w:sz="4" w:space="0" w:color="auto"/>
            </w:tcBorders>
            <w:shd w:val="clear" w:color="auto" w:fill="FFFFFF"/>
            <w:vAlign w:val="center"/>
          </w:tcPr>
          <w:p w14:paraId="7AD1D1AC" w14:textId="77777777" w:rsidR="00512269" w:rsidRPr="00041B4F" w:rsidRDefault="00512269" w:rsidP="00A40DCE">
            <w:pPr>
              <w:keepNext/>
              <w:keepLines/>
              <w:spacing w:after="20"/>
              <w:jc w:val="center"/>
              <w:rPr>
                <w:rFonts w:ascii="Calibri" w:hAnsi="Calibri" w:cs="Calibri"/>
                <w:sz w:val="18"/>
                <w:szCs w:val="18"/>
              </w:rPr>
            </w:pPr>
            <w:r w:rsidRPr="00041B4F">
              <w:rPr>
                <w:rFonts w:ascii="Calibri" w:hAnsi="Calibri" w:cs="Calibri"/>
                <w:sz w:val="18"/>
                <w:szCs w:val="18"/>
              </w:rPr>
              <w:t>Stock not overfished (B</w:t>
            </w:r>
            <w:r>
              <w:rPr>
                <w:rFonts w:ascii="Calibri" w:hAnsi="Calibri" w:cs="Calibri"/>
                <w:sz w:val="18"/>
                <w:szCs w:val="18"/>
                <w:vertAlign w:val="subscript"/>
              </w:rPr>
              <w:t>2023</w:t>
            </w:r>
            <w:r w:rsidRPr="00041B4F">
              <w:rPr>
                <w:rFonts w:ascii="Calibri" w:hAnsi="Calibri" w:cs="Calibri"/>
                <w:sz w:val="18"/>
                <w:szCs w:val="18"/>
              </w:rPr>
              <w:t>/B</w:t>
            </w:r>
            <w:r w:rsidRPr="00041B4F">
              <w:rPr>
                <w:rFonts w:ascii="Calibri" w:hAnsi="Calibri" w:cs="Calibri"/>
                <w:sz w:val="18"/>
                <w:szCs w:val="18"/>
                <w:vertAlign w:val="subscript"/>
              </w:rPr>
              <w:t>MSY</w:t>
            </w:r>
            <w:r w:rsidRPr="00041B4F">
              <w:rPr>
                <w:rFonts w:ascii="Calibri" w:hAnsi="Calibri" w:cs="Calibri"/>
                <w:sz w:val="18"/>
                <w:szCs w:val="18"/>
              </w:rPr>
              <w:t>≥ 1)</w:t>
            </w:r>
          </w:p>
        </w:tc>
      </w:tr>
      <w:tr w:rsidR="00512269" w:rsidRPr="00041B4F" w14:paraId="138AF48A" w14:textId="77777777" w:rsidTr="00A40DCE">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7B7ADD69" w14:textId="77777777" w:rsidR="00512269" w:rsidRPr="00041B4F" w:rsidRDefault="00512269" w:rsidP="00A40DCE">
            <w:pPr>
              <w:keepNext/>
              <w:keepLines/>
              <w:spacing w:after="20"/>
              <w:rPr>
                <w:rFonts w:ascii="Calibri" w:hAnsi="Calibri" w:cs="Calibri"/>
                <w:sz w:val="18"/>
                <w:szCs w:val="18"/>
              </w:rPr>
            </w:pPr>
            <w:r w:rsidRPr="00041B4F">
              <w:rPr>
                <w:rFonts w:ascii="Calibri" w:hAnsi="Calibri" w:cs="Calibri"/>
                <w:sz w:val="18"/>
                <w:szCs w:val="18"/>
              </w:rPr>
              <w:t>Stock subject to overfishing (F</w:t>
            </w:r>
            <w:r>
              <w:rPr>
                <w:rFonts w:ascii="Calibri" w:hAnsi="Calibri" w:cs="Calibri"/>
                <w:sz w:val="18"/>
                <w:szCs w:val="18"/>
                <w:vertAlign w:val="subscript"/>
              </w:rPr>
              <w:t>2023</w:t>
            </w:r>
            <w:r w:rsidRPr="00041B4F">
              <w:rPr>
                <w:rFonts w:ascii="Calibri" w:hAnsi="Calibri" w:cs="Calibri"/>
                <w:sz w:val="18"/>
                <w:szCs w:val="18"/>
              </w:rPr>
              <w:t>/F</w:t>
            </w:r>
            <w:r w:rsidRPr="00041B4F">
              <w:rPr>
                <w:rFonts w:ascii="Calibri" w:hAnsi="Calibri" w:cs="Calibri"/>
                <w:sz w:val="18"/>
                <w:szCs w:val="18"/>
                <w:vertAlign w:val="subscript"/>
              </w:rPr>
              <w:t>MSY</w:t>
            </w:r>
            <w:r w:rsidRPr="00041B4F">
              <w:rPr>
                <w:rFonts w:ascii="Calibri" w:hAnsi="Calibri" w:cs="Calibri"/>
                <w:sz w:val="18"/>
                <w:szCs w:val="18"/>
              </w:rPr>
              <w:t>&gt; 1)</w:t>
            </w:r>
          </w:p>
        </w:tc>
        <w:tc>
          <w:tcPr>
            <w:tcW w:w="2761" w:type="dxa"/>
            <w:tcBorders>
              <w:top w:val="single" w:sz="4" w:space="0" w:color="auto"/>
              <w:left w:val="single" w:sz="4" w:space="0" w:color="auto"/>
              <w:bottom w:val="single" w:sz="4" w:space="0" w:color="auto"/>
              <w:right w:val="single" w:sz="4" w:space="0" w:color="auto"/>
            </w:tcBorders>
            <w:shd w:val="clear" w:color="auto" w:fill="FF0000"/>
            <w:vAlign w:val="center"/>
          </w:tcPr>
          <w:p w14:paraId="338CF8FC" w14:textId="77777777" w:rsidR="00512269" w:rsidRPr="00041B4F" w:rsidRDefault="00512269" w:rsidP="00A40DCE">
            <w:pPr>
              <w:keepNext/>
              <w:keepLines/>
              <w:jc w:val="center"/>
              <w:rPr>
                <w:rFonts w:ascii="Calibri" w:hAnsi="Calibri" w:cs="Calibri"/>
                <w:b/>
                <w:sz w:val="18"/>
                <w:szCs w:val="18"/>
              </w:rPr>
            </w:pPr>
            <w:r>
              <w:rPr>
                <w:rFonts w:ascii="Calibri" w:hAnsi="Calibri" w:cs="Calibri"/>
                <w:b/>
                <w:color w:val="FFFFFF"/>
                <w:sz w:val="18"/>
                <w:szCs w:val="18"/>
              </w:rPr>
              <w:t>97.4</w:t>
            </w:r>
            <w:r w:rsidRPr="00041B4F">
              <w:rPr>
                <w:rFonts w:ascii="Calibri" w:hAnsi="Calibri" w:cs="Calibri"/>
                <w:b/>
                <w:color w:val="FFFFFF"/>
                <w:sz w:val="18"/>
                <w:szCs w:val="18"/>
              </w:rPr>
              <w:t>%</w:t>
            </w:r>
          </w:p>
        </w:tc>
        <w:tc>
          <w:tcPr>
            <w:tcW w:w="2904" w:type="dxa"/>
            <w:tcBorders>
              <w:top w:val="single" w:sz="4" w:space="0" w:color="auto"/>
              <w:left w:val="single" w:sz="4" w:space="0" w:color="auto"/>
              <w:bottom w:val="single" w:sz="4" w:space="0" w:color="auto"/>
              <w:right w:val="single" w:sz="4" w:space="0" w:color="auto"/>
            </w:tcBorders>
            <w:shd w:val="clear" w:color="auto" w:fill="FFC000"/>
            <w:vAlign w:val="center"/>
          </w:tcPr>
          <w:p w14:paraId="4238AE7E" w14:textId="77777777" w:rsidR="00512269" w:rsidRPr="00041B4F" w:rsidRDefault="00512269" w:rsidP="00A40DCE">
            <w:pPr>
              <w:keepNext/>
              <w:keepLines/>
              <w:jc w:val="center"/>
              <w:rPr>
                <w:rFonts w:ascii="Calibri" w:hAnsi="Calibri" w:cs="Calibri"/>
                <w:b/>
                <w:sz w:val="18"/>
                <w:szCs w:val="18"/>
              </w:rPr>
            </w:pPr>
            <w:r w:rsidRPr="00041B4F">
              <w:rPr>
                <w:rFonts w:ascii="Calibri" w:hAnsi="Calibri" w:cs="Calibri"/>
                <w:b/>
                <w:sz w:val="18"/>
                <w:szCs w:val="18"/>
              </w:rPr>
              <w:t>0</w:t>
            </w:r>
            <w:r>
              <w:rPr>
                <w:rFonts w:ascii="Calibri" w:hAnsi="Calibri" w:cs="Calibri"/>
                <w:b/>
                <w:sz w:val="18"/>
                <w:szCs w:val="18"/>
              </w:rPr>
              <w:t>.2</w:t>
            </w:r>
            <w:r w:rsidRPr="00041B4F">
              <w:rPr>
                <w:rFonts w:ascii="Calibri" w:hAnsi="Calibri" w:cs="Calibri"/>
                <w:b/>
                <w:sz w:val="18"/>
                <w:szCs w:val="18"/>
              </w:rPr>
              <w:t>%</w:t>
            </w:r>
          </w:p>
        </w:tc>
      </w:tr>
      <w:tr w:rsidR="00512269" w:rsidRPr="00041B4F" w14:paraId="389A8A44" w14:textId="77777777" w:rsidTr="00A40DCE">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54D400AA" w14:textId="77777777" w:rsidR="00512269" w:rsidRPr="00041B4F" w:rsidRDefault="00512269" w:rsidP="00A40DCE">
            <w:pPr>
              <w:keepNext/>
              <w:keepLines/>
              <w:spacing w:after="20"/>
              <w:rPr>
                <w:rFonts w:ascii="Calibri" w:hAnsi="Calibri" w:cs="Calibri"/>
                <w:sz w:val="18"/>
                <w:szCs w:val="18"/>
              </w:rPr>
            </w:pPr>
            <w:r w:rsidRPr="00041B4F">
              <w:rPr>
                <w:rFonts w:ascii="Calibri" w:hAnsi="Calibri" w:cs="Calibri"/>
                <w:sz w:val="18"/>
                <w:szCs w:val="18"/>
              </w:rPr>
              <w:t>Stock not subject to overfishing (F</w:t>
            </w:r>
            <w:r>
              <w:rPr>
                <w:rFonts w:ascii="Calibri" w:hAnsi="Calibri" w:cs="Calibri"/>
                <w:sz w:val="18"/>
                <w:szCs w:val="18"/>
                <w:vertAlign w:val="subscript"/>
              </w:rPr>
              <w:t>2023</w:t>
            </w:r>
            <w:r w:rsidRPr="00041B4F">
              <w:rPr>
                <w:rFonts w:ascii="Calibri" w:hAnsi="Calibri" w:cs="Calibri"/>
                <w:sz w:val="18"/>
                <w:szCs w:val="18"/>
              </w:rPr>
              <w:t>/F</w:t>
            </w:r>
            <w:r w:rsidRPr="00041B4F">
              <w:rPr>
                <w:rFonts w:ascii="Calibri" w:hAnsi="Calibri" w:cs="Calibri"/>
                <w:sz w:val="18"/>
                <w:szCs w:val="18"/>
                <w:vertAlign w:val="subscript"/>
              </w:rPr>
              <w:t>MSY</w:t>
            </w:r>
            <w:r w:rsidRPr="00041B4F">
              <w:rPr>
                <w:rFonts w:ascii="Calibri" w:hAnsi="Calibri" w:cs="Calibri"/>
                <w:sz w:val="18"/>
                <w:szCs w:val="18"/>
              </w:rPr>
              <w:t>≤ 1)</w:t>
            </w:r>
          </w:p>
        </w:tc>
        <w:tc>
          <w:tcPr>
            <w:tcW w:w="2761" w:type="dxa"/>
            <w:tcBorders>
              <w:top w:val="single" w:sz="4" w:space="0" w:color="auto"/>
              <w:left w:val="single" w:sz="4" w:space="0" w:color="auto"/>
              <w:bottom w:val="single" w:sz="4" w:space="0" w:color="auto"/>
              <w:right w:val="single" w:sz="4" w:space="0" w:color="auto"/>
            </w:tcBorders>
            <w:shd w:val="clear" w:color="auto" w:fill="FFFF00"/>
            <w:vAlign w:val="center"/>
          </w:tcPr>
          <w:p w14:paraId="642A4BE1" w14:textId="77777777" w:rsidR="00512269" w:rsidRPr="00041B4F" w:rsidRDefault="00512269" w:rsidP="00A40DCE">
            <w:pPr>
              <w:keepNext/>
              <w:keepLines/>
              <w:jc w:val="center"/>
              <w:rPr>
                <w:rFonts w:ascii="Calibri" w:hAnsi="Calibri" w:cs="Calibri"/>
                <w:b/>
                <w:sz w:val="18"/>
                <w:szCs w:val="18"/>
              </w:rPr>
            </w:pPr>
            <w:r w:rsidRPr="00041B4F">
              <w:rPr>
                <w:rFonts w:ascii="Calibri" w:hAnsi="Calibri" w:cs="Calibri"/>
                <w:b/>
                <w:sz w:val="18"/>
                <w:szCs w:val="18"/>
              </w:rPr>
              <w:t>2</w:t>
            </w:r>
            <w:r>
              <w:rPr>
                <w:rFonts w:ascii="Calibri" w:hAnsi="Calibri" w:cs="Calibri"/>
                <w:b/>
                <w:sz w:val="18"/>
                <w:szCs w:val="18"/>
              </w:rPr>
              <w:t>.1</w:t>
            </w:r>
            <w:r w:rsidRPr="00041B4F">
              <w:rPr>
                <w:rFonts w:ascii="Calibri" w:hAnsi="Calibri" w:cs="Calibri"/>
                <w:b/>
                <w:sz w:val="18"/>
                <w:szCs w:val="18"/>
              </w:rPr>
              <w:t>%</w:t>
            </w:r>
          </w:p>
        </w:tc>
        <w:tc>
          <w:tcPr>
            <w:tcW w:w="2904" w:type="dxa"/>
            <w:tcBorders>
              <w:top w:val="single" w:sz="4" w:space="0" w:color="auto"/>
              <w:left w:val="single" w:sz="4" w:space="0" w:color="auto"/>
              <w:bottom w:val="single" w:sz="4" w:space="0" w:color="auto"/>
              <w:right w:val="single" w:sz="4" w:space="0" w:color="auto"/>
            </w:tcBorders>
            <w:shd w:val="clear" w:color="auto" w:fill="92D050"/>
            <w:vAlign w:val="center"/>
          </w:tcPr>
          <w:p w14:paraId="45ADD393" w14:textId="77777777" w:rsidR="00512269" w:rsidRPr="00041B4F" w:rsidRDefault="00512269" w:rsidP="00A40DCE">
            <w:pPr>
              <w:keepNext/>
              <w:keepLines/>
              <w:jc w:val="center"/>
              <w:rPr>
                <w:rFonts w:ascii="Calibri" w:hAnsi="Calibri" w:cs="Calibri"/>
                <w:b/>
                <w:sz w:val="18"/>
                <w:szCs w:val="18"/>
              </w:rPr>
            </w:pPr>
            <w:r>
              <w:rPr>
                <w:rFonts w:ascii="Calibri" w:hAnsi="Calibri" w:cs="Calibri"/>
                <w:b/>
                <w:sz w:val="18"/>
                <w:szCs w:val="18"/>
              </w:rPr>
              <w:t>0.4</w:t>
            </w:r>
            <w:r w:rsidRPr="00041B4F">
              <w:rPr>
                <w:rFonts w:ascii="Calibri" w:hAnsi="Calibri" w:cs="Calibri"/>
                <w:b/>
                <w:sz w:val="18"/>
                <w:szCs w:val="18"/>
              </w:rPr>
              <w:t>%</w:t>
            </w:r>
          </w:p>
        </w:tc>
      </w:tr>
      <w:tr w:rsidR="00512269" w:rsidRPr="00041B4F" w14:paraId="37C8CA49" w14:textId="77777777" w:rsidTr="00A40DCE">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1BB720B5" w14:textId="77777777" w:rsidR="00512269" w:rsidRPr="00041B4F" w:rsidRDefault="00512269" w:rsidP="00A40DCE">
            <w:pPr>
              <w:keepNext/>
              <w:keepLines/>
              <w:spacing w:after="20"/>
              <w:rPr>
                <w:rFonts w:ascii="Calibri" w:hAnsi="Calibri" w:cs="Calibri"/>
                <w:sz w:val="18"/>
                <w:szCs w:val="18"/>
              </w:rPr>
            </w:pPr>
            <w:r w:rsidRPr="00041B4F">
              <w:rPr>
                <w:rFonts w:ascii="Calibri" w:hAnsi="Calibri" w:cs="Calibri"/>
                <w:sz w:val="18"/>
                <w:szCs w:val="18"/>
              </w:rPr>
              <w:t>Not assessed/Uncertain</w:t>
            </w:r>
            <w:r>
              <w:rPr>
                <w:rFonts w:ascii="Calibri" w:hAnsi="Calibri" w:cs="Calibri"/>
                <w:sz w:val="18"/>
                <w:szCs w:val="18"/>
              </w:rPr>
              <w:t>/Unknown</w:t>
            </w:r>
          </w:p>
        </w:tc>
        <w:tc>
          <w:tcPr>
            <w:tcW w:w="566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5B6E769A" w14:textId="77777777" w:rsidR="00512269" w:rsidRPr="00041B4F" w:rsidRDefault="00512269" w:rsidP="00A40DCE">
            <w:pPr>
              <w:keepNext/>
              <w:keepLines/>
              <w:jc w:val="center"/>
              <w:rPr>
                <w:rFonts w:ascii="Calibri" w:hAnsi="Calibri" w:cs="Calibri"/>
                <w:sz w:val="18"/>
                <w:szCs w:val="18"/>
              </w:rPr>
            </w:pPr>
          </w:p>
        </w:tc>
      </w:tr>
    </w:tbl>
    <w:p w14:paraId="2D053248" w14:textId="77777777" w:rsidR="00512269" w:rsidRPr="00041B4F" w:rsidRDefault="00512269" w:rsidP="00512269">
      <w:pPr>
        <w:rPr>
          <w:rFonts w:ascii="Calibri" w:hAnsi="Calibri" w:cs="Calibri"/>
          <w:sz w:val="18"/>
          <w:szCs w:val="18"/>
        </w:rPr>
      </w:pPr>
      <w:r w:rsidRPr="00041B4F">
        <w:rPr>
          <w:rFonts w:ascii="Calibri" w:hAnsi="Calibri" w:cs="Calibri"/>
          <w:sz w:val="18"/>
          <w:szCs w:val="18"/>
        </w:rPr>
        <w:t xml:space="preserve">The percentages are calculated as the proportion of model terminal values that fall within each quadrant with model weights </w:t>
      </w:r>
      <w:r>
        <w:rPr>
          <w:rFonts w:ascii="Calibri" w:hAnsi="Calibri" w:cs="Calibri"/>
          <w:sz w:val="18"/>
          <w:szCs w:val="18"/>
        </w:rPr>
        <w:t>accounted for</w:t>
      </w:r>
    </w:p>
    <w:p w14:paraId="3B66ACE1" w14:textId="77777777" w:rsidR="00512269" w:rsidRPr="00041B4F" w:rsidRDefault="00512269" w:rsidP="00512269">
      <w:pPr>
        <w:spacing w:before="240" w:after="240"/>
        <w:rPr>
          <w:rFonts w:ascii="Calibri" w:hAnsi="Calibri" w:cs="Calibri"/>
          <w:b/>
          <w:smallCaps/>
        </w:rPr>
      </w:pPr>
      <w:r w:rsidRPr="00041B4F">
        <w:rPr>
          <w:rFonts w:ascii="Calibri" w:hAnsi="Calibri" w:cs="Calibri"/>
          <w:b/>
          <w:smallCaps/>
        </w:rPr>
        <w:t>Indian Ocean stock – Management Advice</w:t>
      </w:r>
    </w:p>
    <w:p w14:paraId="6D02FA78" w14:textId="77777777" w:rsidR="00512269" w:rsidRPr="00041B4F" w:rsidRDefault="00512269" w:rsidP="00512269">
      <w:pPr>
        <w:jc w:val="both"/>
        <w:rPr>
          <w:rFonts w:ascii="Calibri" w:hAnsi="Calibri" w:cs="Calibri"/>
          <w:b/>
          <w:bCs/>
          <w:i/>
          <w:iCs/>
          <w:lang w:eastAsia="en-US"/>
        </w:rPr>
      </w:pPr>
      <w:r w:rsidRPr="00041B4F">
        <w:rPr>
          <w:rFonts w:ascii="Calibri" w:hAnsi="Calibri" w:cs="Calibri"/>
          <w:b/>
          <w:bCs/>
          <w:i/>
          <w:iCs/>
          <w:lang w:eastAsia="en-US"/>
        </w:rPr>
        <w:t xml:space="preserve">Stock status. </w:t>
      </w:r>
      <w:r w:rsidRPr="00672552">
        <w:rPr>
          <w:rFonts w:ascii="Calibri" w:hAnsi="Calibri" w:cs="Calibri"/>
          <w:lang w:eastAsia="en-US"/>
        </w:rPr>
        <w:t xml:space="preserve">A new </w:t>
      </w:r>
      <w:r w:rsidRPr="00041B4F">
        <w:rPr>
          <w:rFonts w:ascii="Calibri" w:hAnsi="Calibri" w:cs="Calibri"/>
          <w:bCs/>
          <w:szCs w:val="20"/>
        </w:rPr>
        <w:t>stock assessment was carried out for blue marlin in 202</w:t>
      </w:r>
      <w:r>
        <w:rPr>
          <w:rFonts w:ascii="Calibri" w:hAnsi="Calibri" w:cs="Calibri"/>
          <w:bCs/>
          <w:szCs w:val="20"/>
        </w:rPr>
        <w:t xml:space="preserve">5 using two </w:t>
      </w:r>
      <w:r w:rsidRPr="00041B4F">
        <w:rPr>
          <w:rFonts w:ascii="Calibri" w:hAnsi="Calibri" w:cs="Calibri"/>
          <w:bCs/>
          <w:szCs w:val="20"/>
        </w:rPr>
        <w:t>different models</w:t>
      </w:r>
      <w:r w:rsidRPr="00041B4F">
        <w:rPr>
          <w:rFonts w:ascii="Calibri" w:hAnsi="Calibri" w:cs="Calibri"/>
        </w:rPr>
        <w:t>: JABBA, a Bayesian state-space production model (age-aggregated); and SS3, an integrated model (age-structured) (using data up to 202</w:t>
      </w:r>
      <w:r>
        <w:rPr>
          <w:rFonts w:ascii="Calibri" w:hAnsi="Calibri" w:cs="Calibri"/>
        </w:rPr>
        <w:t>3</w:t>
      </w:r>
      <w:r w:rsidRPr="00041B4F">
        <w:rPr>
          <w:rFonts w:ascii="Calibri" w:hAnsi="Calibri" w:cs="Calibri"/>
        </w:rPr>
        <w:t>). Uncertainty in the biological parameters</w:t>
      </w:r>
      <w:r>
        <w:rPr>
          <w:rFonts w:ascii="Calibri" w:hAnsi="Calibri" w:cs="Calibri"/>
        </w:rPr>
        <w:t xml:space="preserve"> and the parameterisation of the SS3 model</w:t>
      </w:r>
      <w:r w:rsidRPr="00041B4F">
        <w:rPr>
          <w:rFonts w:ascii="Calibri" w:hAnsi="Calibri" w:cs="Calibri"/>
        </w:rPr>
        <w:t xml:space="preserve"> is still evident and as such the JABBA model (B202</w:t>
      </w:r>
      <w:r>
        <w:rPr>
          <w:rFonts w:ascii="Calibri" w:hAnsi="Calibri" w:cs="Calibri"/>
        </w:rPr>
        <w:t>3</w:t>
      </w:r>
      <w:r w:rsidRPr="00041B4F">
        <w:rPr>
          <w:rFonts w:ascii="Calibri" w:hAnsi="Calibri" w:cs="Calibri"/>
        </w:rPr>
        <w:t>/BMSY = 0.</w:t>
      </w:r>
      <w:r>
        <w:rPr>
          <w:rFonts w:ascii="Calibri" w:hAnsi="Calibri" w:cs="Calibri"/>
        </w:rPr>
        <w:t>62</w:t>
      </w:r>
      <w:r w:rsidRPr="00041B4F">
        <w:rPr>
          <w:rFonts w:ascii="Calibri" w:hAnsi="Calibri" w:cs="Calibri"/>
        </w:rPr>
        <w:t>, F202</w:t>
      </w:r>
      <w:r>
        <w:rPr>
          <w:rFonts w:ascii="Calibri" w:hAnsi="Calibri" w:cs="Calibri"/>
        </w:rPr>
        <w:t>3</w:t>
      </w:r>
      <w:r w:rsidRPr="00041B4F">
        <w:rPr>
          <w:rFonts w:ascii="Calibri" w:hAnsi="Calibri" w:cs="Calibri"/>
        </w:rPr>
        <w:t>/FMSY =1.</w:t>
      </w:r>
      <w:r>
        <w:rPr>
          <w:rFonts w:ascii="Calibri" w:hAnsi="Calibri" w:cs="Calibri"/>
        </w:rPr>
        <w:t>54</w:t>
      </w:r>
      <w:r w:rsidRPr="00041B4F">
        <w:rPr>
          <w:rFonts w:ascii="Calibri" w:hAnsi="Calibri" w:cs="Calibri"/>
        </w:rPr>
        <w:t>) was selected as the base case. Both models were consistent with regards to stock status</w:t>
      </w:r>
      <w:r>
        <w:rPr>
          <w:rFonts w:ascii="Calibri" w:hAnsi="Calibri" w:cs="Calibri"/>
        </w:rPr>
        <w:t>, although the SS3 model was less pessimistic</w:t>
      </w:r>
      <w:r w:rsidRPr="00041B4F">
        <w:rPr>
          <w:rFonts w:ascii="Calibri" w:hAnsi="Calibri" w:cs="Calibri"/>
        </w:rPr>
        <w:t>. On the weight-of-evidence available in 202</w:t>
      </w:r>
      <w:r>
        <w:rPr>
          <w:rFonts w:ascii="Calibri" w:hAnsi="Calibri" w:cs="Calibri"/>
        </w:rPr>
        <w:t>5</w:t>
      </w:r>
      <w:r w:rsidRPr="00041B4F">
        <w:rPr>
          <w:rFonts w:ascii="Calibri" w:hAnsi="Calibri" w:cs="Calibri"/>
        </w:rPr>
        <w:t xml:space="preserve">, the stock is determined to be </w:t>
      </w:r>
      <w:r w:rsidRPr="00041B4F">
        <w:rPr>
          <w:rFonts w:ascii="Calibri" w:hAnsi="Calibri" w:cs="Calibri"/>
          <w:b/>
          <w:i/>
          <w:iCs/>
          <w:lang w:eastAsia="en-US"/>
        </w:rPr>
        <w:t>overfished</w:t>
      </w:r>
      <w:r w:rsidRPr="00041B4F">
        <w:rPr>
          <w:rFonts w:ascii="Calibri" w:hAnsi="Calibri" w:cs="Calibri"/>
          <w:lang w:eastAsia="en-US"/>
        </w:rPr>
        <w:t xml:space="preserve"> and </w:t>
      </w:r>
      <w:r w:rsidRPr="00041B4F">
        <w:rPr>
          <w:rFonts w:ascii="Calibri" w:hAnsi="Calibri" w:cs="Calibri"/>
          <w:b/>
          <w:i/>
          <w:iCs/>
          <w:lang w:eastAsia="en-US"/>
        </w:rPr>
        <w:t>subject to overfishing</w:t>
      </w:r>
      <w:r w:rsidRPr="00041B4F">
        <w:rPr>
          <w:rFonts w:ascii="Calibri" w:hAnsi="Calibri" w:cs="Calibri"/>
          <w:lang w:eastAsia="en-US"/>
        </w:rPr>
        <w:t xml:space="preserve"> (</w:t>
      </w:r>
      <w:r w:rsidRPr="00041B4F">
        <w:rPr>
          <w:rFonts w:ascii="Calibri" w:hAnsi="Calibri" w:cs="Calibri"/>
          <w:b/>
          <w:bCs/>
          <w:lang w:eastAsia="en-US"/>
        </w:rPr>
        <w:t>Table 1</w:t>
      </w:r>
      <w:r w:rsidRPr="00041B4F">
        <w:rPr>
          <w:rFonts w:ascii="Calibri" w:hAnsi="Calibri" w:cs="Calibri"/>
          <w:lang w:eastAsia="en-US"/>
        </w:rPr>
        <w:t xml:space="preserve"> and </w:t>
      </w:r>
      <w:r w:rsidRPr="00041B4F">
        <w:rPr>
          <w:rFonts w:ascii="Calibri" w:hAnsi="Calibri" w:cs="Calibri"/>
          <w:b/>
          <w:bCs/>
          <w:lang w:eastAsia="en-US"/>
        </w:rPr>
        <w:t>Fig. 3</w:t>
      </w:r>
      <w:r w:rsidRPr="00041B4F">
        <w:rPr>
          <w:rFonts w:ascii="Calibri" w:hAnsi="Calibri" w:cs="Calibri"/>
          <w:lang w:eastAsia="en-US"/>
        </w:rPr>
        <w:t>).</w:t>
      </w:r>
    </w:p>
    <w:p w14:paraId="264FB96B" w14:textId="77777777" w:rsidR="00512269" w:rsidRPr="00041B4F" w:rsidRDefault="00512269" w:rsidP="00512269">
      <w:pPr>
        <w:autoSpaceDE w:val="0"/>
        <w:autoSpaceDN w:val="0"/>
        <w:adjustRightInd w:val="0"/>
        <w:jc w:val="both"/>
        <w:rPr>
          <w:rFonts w:ascii="Calibri" w:hAnsi="Calibri" w:cs="Calibri"/>
          <w:lang w:eastAsia="en-US"/>
        </w:rPr>
      </w:pPr>
    </w:p>
    <w:p w14:paraId="5B890008" w14:textId="77777777" w:rsidR="00512269" w:rsidRPr="00041B4F" w:rsidRDefault="00512269" w:rsidP="00512269">
      <w:pPr>
        <w:autoSpaceDE w:val="0"/>
        <w:autoSpaceDN w:val="0"/>
        <w:adjustRightInd w:val="0"/>
        <w:jc w:val="both"/>
        <w:rPr>
          <w:rFonts w:ascii="Calibri" w:hAnsi="Calibri" w:cs="Calibri"/>
          <w:b/>
          <w:bCs/>
          <w:i/>
          <w:iCs/>
          <w:lang w:eastAsia="en-US"/>
        </w:rPr>
      </w:pPr>
      <w:r w:rsidRPr="00041B4F">
        <w:rPr>
          <w:rFonts w:ascii="Calibri" w:hAnsi="Calibri" w:cs="Calibri"/>
          <w:b/>
          <w:bCs/>
          <w:i/>
          <w:iCs/>
          <w:lang w:eastAsia="en-US"/>
        </w:rPr>
        <w:t xml:space="preserve">Outlook. </w:t>
      </w:r>
      <w:r w:rsidRPr="00041B4F">
        <w:rPr>
          <w:rFonts w:ascii="Calibri" w:hAnsi="Calibri" w:cs="Calibri"/>
        </w:rPr>
        <w:t xml:space="preserve">The </w:t>
      </w:r>
      <w:r w:rsidRPr="00041B4F">
        <w:rPr>
          <w:rFonts w:ascii="Calibri" w:hAnsi="Calibri" w:cs="Calibri"/>
          <w:i/>
        </w:rPr>
        <w:t>B/B</w:t>
      </w:r>
      <w:r w:rsidRPr="00041B4F">
        <w:rPr>
          <w:rFonts w:ascii="Calibri" w:hAnsi="Calibri" w:cs="Calibri"/>
          <w:i/>
          <w:vertAlign w:val="subscript"/>
        </w:rPr>
        <w:t>MSY</w:t>
      </w:r>
      <w:r w:rsidRPr="00041B4F">
        <w:rPr>
          <w:rFonts w:ascii="Calibri" w:hAnsi="Calibri" w:cs="Calibri"/>
        </w:rPr>
        <w:t xml:space="preserve"> trajectory declined from the mid-1980s to 2007. A short-term increase in </w:t>
      </w:r>
      <w:r w:rsidRPr="00041B4F">
        <w:rPr>
          <w:rFonts w:ascii="Calibri" w:hAnsi="Calibri" w:cs="Calibri"/>
          <w:i/>
        </w:rPr>
        <w:t>B/B</w:t>
      </w:r>
      <w:r w:rsidRPr="00041B4F">
        <w:rPr>
          <w:rFonts w:ascii="Calibri" w:hAnsi="Calibri" w:cs="Calibri"/>
          <w:i/>
          <w:vertAlign w:val="subscript"/>
        </w:rPr>
        <w:t xml:space="preserve">MSY </w:t>
      </w:r>
      <w:r w:rsidRPr="00041B4F">
        <w:rPr>
          <w:rFonts w:ascii="Calibri" w:hAnsi="Calibri" w:cs="Calibri"/>
        </w:rPr>
        <w:t xml:space="preserve">occurred from 2007 to 2012, which is thought to be linked to the NW Indian Ocean Piracy period. Thereafter, the </w:t>
      </w:r>
      <w:r w:rsidRPr="00041B4F">
        <w:rPr>
          <w:rFonts w:ascii="Calibri" w:hAnsi="Calibri" w:cs="Calibri"/>
          <w:i/>
        </w:rPr>
        <w:t>B/B</w:t>
      </w:r>
      <w:r w:rsidRPr="00041B4F">
        <w:rPr>
          <w:rFonts w:ascii="Calibri" w:hAnsi="Calibri" w:cs="Calibri"/>
          <w:i/>
          <w:vertAlign w:val="subscript"/>
        </w:rPr>
        <w:t>MSY</w:t>
      </w:r>
      <w:r w:rsidRPr="00041B4F">
        <w:rPr>
          <w:rFonts w:ascii="Calibri" w:hAnsi="Calibri" w:cs="Calibri"/>
        </w:rPr>
        <w:t xml:space="preserve"> trajectory again declines to the current estimate </w:t>
      </w:r>
      <w:r w:rsidRPr="00041B4F">
        <w:rPr>
          <w:rFonts w:ascii="Calibri" w:hAnsi="Calibri" w:cs="Calibri"/>
          <w:b/>
          <w:bCs/>
        </w:rPr>
        <w:t>of 0.</w:t>
      </w:r>
      <w:r>
        <w:rPr>
          <w:rFonts w:ascii="Calibri" w:hAnsi="Calibri" w:cs="Calibri"/>
          <w:b/>
          <w:bCs/>
        </w:rPr>
        <w:t>62</w:t>
      </w:r>
      <w:r w:rsidRPr="00041B4F">
        <w:rPr>
          <w:rFonts w:ascii="Calibri" w:hAnsi="Calibri" w:cs="Calibri"/>
        </w:rPr>
        <w:t xml:space="preserve">. </w:t>
      </w:r>
      <w:r w:rsidRPr="00041B4F">
        <w:rPr>
          <w:rFonts w:ascii="Calibri" w:hAnsi="Calibri" w:cs="Calibri"/>
          <w:i/>
        </w:rPr>
        <w:t>F/F</w:t>
      </w:r>
      <w:r w:rsidRPr="00041B4F">
        <w:rPr>
          <w:rFonts w:ascii="Calibri" w:hAnsi="Calibri" w:cs="Calibri"/>
          <w:i/>
          <w:vertAlign w:val="subscript"/>
        </w:rPr>
        <w:t>MSY</w:t>
      </w:r>
      <w:r w:rsidRPr="00041B4F">
        <w:rPr>
          <w:rFonts w:ascii="Calibri" w:hAnsi="Calibri" w:cs="Calibri"/>
        </w:rPr>
        <w:t xml:space="preserve"> increased since the mid-1980s and despite a recent decline, </w:t>
      </w:r>
      <w:r w:rsidRPr="00041B4F">
        <w:rPr>
          <w:rFonts w:ascii="Calibri" w:hAnsi="Calibri" w:cs="Calibri"/>
          <w:i/>
        </w:rPr>
        <w:t>F/F</w:t>
      </w:r>
      <w:r w:rsidRPr="00041B4F">
        <w:rPr>
          <w:rFonts w:ascii="Calibri" w:hAnsi="Calibri" w:cs="Calibri"/>
          <w:i/>
          <w:vertAlign w:val="subscript"/>
        </w:rPr>
        <w:t>MSY</w:t>
      </w:r>
      <w:r w:rsidRPr="00041B4F">
        <w:rPr>
          <w:rFonts w:ascii="Calibri" w:hAnsi="Calibri" w:cs="Calibri"/>
        </w:rPr>
        <w:t xml:space="preserve"> remains above 1. The majority of CPUE indices have shown a declining trend since 2015</w:t>
      </w:r>
      <w:r>
        <w:rPr>
          <w:rFonts w:ascii="Calibri" w:hAnsi="Calibri" w:cs="Calibri"/>
        </w:rPr>
        <w:t>, noting a recent increasing trend in CPUE indices in 2023</w:t>
      </w:r>
      <w:r w:rsidRPr="00041B4F">
        <w:rPr>
          <w:rFonts w:ascii="Calibri" w:hAnsi="Calibri" w:cs="Calibri"/>
        </w:rPr>
        <w:t xml:space="preserve">. </w:t>
      </w:r>
    </w:p>
    <w:p w14:paraId="31D31BA8" w14:textId="77777777" w:rsidR="00512269" w:rsidRPr="00041B4F" w:rsidRDefault="00512269" w:rsidP="00512269">
      <w:pPr>
        <w:autoSpaceDE w:val="0"/>
        <w:autoSpaceDN w:val="0"/>
        <w:adjustRightInd w:val="0"/>
        <w:jc w:val="both"/>
        <w:rPr>
          <w:rFonts w:ascii="Calibri" w:hAnsi="Calibri" w:cs="Calibri"/>
          <w:b/>
          <w:bCs/>
          <w:i/>
          <w:iCs/>
          <w:lang w:eastAsia="en-US"/>
        </w:rPr>
      </w:pPr>
    </w:p>
    <w:p w14:paraId="0AD8D354" w14:textId="65A659DD" w:rsidR="00512269" w:rsidRPr="00BD021A" w:rsidRDefault="00512269" w:rsidP="00512269">
      <w:pPr>
        <w:autoSpaceDE w:val="0"/>
        <w:autoSpaceDN w:val="0"/>
        <w:adjustRightInd w:val="0"/>
        <w:jc w:val="both"/>
        <w:rPr>
          <w:rFonts w:ascii="Calibri" w:hAnsi="Calibri" w:cs="Calibri"/>
        </w:rPr>
      </w:pPr>
      <w:r w:rsidRPr="00BD021A">
        <w:rPr>
          <w:rFonts w:ascii="Calibri" w:hAnsi="Calibri" w:cs="Calibri"/>
          <w:b/>
          <w:bCs/>
          <w:i/>
          <w:iCs/>
        </w:rPr>
        <w:t xml:space="preserve">Management advice. </w:t>
      </w:r>
      <w:r w:rsidRPr="00BD021A">
        <w:rPr>
          <w:rFonts w:ascii="Calibri" w:hAnsi="Calibri" w:cs="Calibri"/>
        </w:rPr>
        <w:t xml:space="preserve">The current catches of blue marlin (average of 7,262 t in the last 3 years, 2021-2023) are lower than MSY (8,351 t). The stock is currently </w:t>
      </w:r>
      <w:r w:rsidRPr="00BD021A">
        <w:rPr>
          <w:rFonts w:ascii="Calibri" w:hAnsi="Calibri" w:cs="Calibri"/>
          <w:b/>
          <w:bCs/>
        </w:rPr>
        <w:t>overfished</w:t>
      </w:r>
      <w:r w:rsidRPr="00BD021A">
        <w:rPr>
          <w:rFonts w:ascii="Calibri" w:hAnsi="Calibri" w:cs="Calibri"/>
        </w:rPr>
        <w:t xml:space="preserve"> and </w:t>
      </w:r>
      <w:r w:rsidRPr="00BD021A">
        <w:rPr>
          <w:rFonts w:ascii="Calibri" w:hAnsi="Calibri" w:cs="Calibri"/>
          <w:b/>
          <w:bCs/>
        </w:rPr>
        <w:t>subject to overfishing</w:t>
      </w:r>
      <w:r w:rsidRPr="00BD021A">
        <w:rPr>
          <w:rFonts w:ascii="Calibri" w:hAnsi="Calibri" w:cs="Calibri"/>
        </w:rPr>
        <w:t xml:space="preserve">, and according to the </w:t>
      </w:r>
      <w:r w:rsidR="00BD021A" w:rsidRPr="00BD021A">
        <w:rPr>
          <w:rFonts w:ascii="Calibri" w:hAnsi="Calibri" w:cs="Calibri"/>
        </w:rPr>
        <w:t>Kobe</w:t>
      </w:r>
      <w:r w:rsidRPr="00BD021A">
        <w:rPr>
          <w:rFonts w:ascii="Calibri" w:hAnsi="Calibri" w:cs="Calibri"/>
        </w:rPr>
        <w:t xml:space="preserve"> plot (</w:t>
      </w:r>
      <w:r w:rsidRPr="00BD021A">
        <w:rPr>
          <w:rFonts w:ascii="Calibri" w:hAnsi="Calibri" w:cs="Calibri"/>
          <w:b/>
          <w:bCs/>
        </w:rPr>
        <w:t>Fig. 3</w:t>
      </w:r>
      <w:r w:rsidRPr="00BD021A">
        <w:rPr>
          <w:rFonts w:ascii="Calibri" w:hAnsi="Calibri" w:cs="Calibri"/>
        </w:rPr>
        <w:t xml:space="preserve">), has been in this state since 2001 (with ~ 80 % CI). According to K2SM calculated (Table 2), a reduction of 20% of catches (5,809 t) compared to the mean of catches from 2021-2023 (7,262 t) would recover the stock to the green quadrant by 2035 with a probability of 64 % and if the catches are reduced by 40 % (4,357 t) the probability would be </w:t>
      </w:r>
      <w:r w:rsidRPr="00BD021A">
        <w:rPr>
          <w:rFonts w:ascii="Calibri" w:hAnsi="Calibri" w:cs="Calibri"/>
        </w:rPr>
        <w:lastRenderedPageBreak/>
        <w:t xml:space="preserve">86 %. The Commission should note that the current catch limit for blue marlin in Resolution 18/05 (11,930 t, which was established as the MSY value estimated in 2016 stock assessment) is 30 % more (3,579 t) than the new MSY estimated by the latest stock assessment in 2025 (8,351 t). </w:t>
      </w:r>
      <w:r w:rsidRPr="00BD021A">
        <w:rPr>
          <w:rFonts w:ascii="Calibri" w:hAnsi="Calibri" w:cs="Calibri"/>
          <w:lang w:eastAsia="es-ES"/>
        </w:rPr>
        <w:t>Thus</w:t>
      </w:r>
      <w:r w:rsidRPr="00BD021A">
        <w:rPr>
          <w:rFonts w:ascii="Calibri" w:hAnsi="Calibri" w:cs="Calibri"/>
        </w:rPr>
        <w:t>, i</w:t>
      </w:r>
      <w:r w:rsidRPr="00BD021A">
        <w:rPr>
          <w:rFonts w:ascii="Calibri" w:hAnsi="Calibri" w:cs="Calibri"/>
          <w:lang w:eastAsia="es-ES"/>
        </w:rPr>
        <w:t xml:space="preserve">t is recommended that the Commission urgently revise </w:t>
      </w:r>
      <w:r w:rsidRPr="00BD021A">
        <w:rPr>
          <w:rFonts w:ascii="Calibri" w:hAnsi="Calibri" w:cs="Calibri"/>
        </w:rPr>
        <w:t xml:space="preserve">Resolution </w:t>
      </w:r>
      <w:r w:rsidRPr="00BD021A">
        <w:rPr>
          <w:rFonts w:ascii="Calibri" w:hAnsi="Calibri" w:cs="Calibri"/>
          <w:lang w:eastAsia="es-ES"/>
        </w:rPr>
        <w:t>18/05 to incorporate limits that reflect the most recent stock assessment and projections and review and strengthen the implementation and effectiveness of the measures contained in this Resolution.</w:t>
      </w:r>
    </w:p>
    <w:p w14:paraId="3B2FE215" w14:textId="77777777" w:rsidR="00512269" w:rsidRPr="00041B4F" w:rsidRDefault="00512269" w:rsidP="00512269">
      <w:pPr>
        <w:spacing w:before="120"/>
        <w:jc w:val="both"/>
        <w:rPr>
          <w:rFonts w:ascii="Calibri" w:hAnsi="Calibri" w:cs="Calibri"/>
          <w:snapToGrid w:val="0"/>
        </w:rPr>
      </w:pPr>
      <w:r w:rsidRPr="00041B4F">
        <w:rPr>
          <w:rFonts w:ascii="Calibri" w:hAnsi="Calibri" w:cs="Calibri"/>
          <w:snapToGrid w:val="0"/>
        </w:rPr>
        <w:t>The following key points should also be noted:</w:t>
      </w:r>
    </w:p>
    <w:p w14:paraId="37010BAF" w14:textId="77777777" w:rsidR="00512269" w:rsidRPr="00041B4F" w:rsidRDefault="00512269" w:rsidP="00512269">
      <w:pPr>
        <w:numPr>
          <w:ilvl w:val="0"/>
          <w:numId w:val="23"/>
        </w:numPr>
        <w:spacing w:before="120"/>
        <w:jc w:val="both"/>
        <w:rPr>
          <w:rFonts w:ascii="Calibri" w:hAnsi="Calibri" w:cs="Calibri"/>
          <w:snapToGrid w:val="0"/>
        </w:rPr>
      </w:pPr>
      <w:r w:rsidRPr="00041B4F">
        <w:rPr>
          <w:rFonts w:ascii="Calibri" w:hAnsi="Calibri" w:cs="Calibri"/>
          <w:b/>
        </w:rPr>
        <w:t>Maximum Sustainable Yield (MSY)</w:t>
      </w:r>
      <w:r w:rsidRPr="00041B4F">
        <w:rPr>
          <w:rFonts w:ascii="Calibri" w:hAnsi="Calibri" w:cs="Calibri"/>
        </w:rPr>
        <w:t>: estimate for the Indian Ocean blue marlin stock</w:t>
      </w:r>
      <w:r>
        <w:rPr>
          <w:rFonts w:ascii="Calibri" w:hAnsi="Calibri" w:cs="Calibri"/>
        </w:rPr>
        <w:t xml:space="preserve"> in 2025</w:t>
      </w:r>
      <w:r w:rsidRPr="00041B4F">
        <w:rPr>
          <w:rFonts w:ascii="Calibri" w:hAnsi="Calibri" w:cs="Calibri"/>
        </w:rPr>
        <w:t xml:space="preserve"> is 8,</w:t>
      </w:r>
      <w:r>
        <w:rPr>
          <w:rFonts w:ascii="Calibri" w:hAnsi="Calibri" w:cs="Calibri"/>
        </w:rPr>
        <w:t>351</w:t>
      </w:r>
      <w:r w:rsidRPr="00041B4F">
        <w:rPr>
          <w:rFonts w:ascii="Calibri" w:hAnsi="Calibri" w:cs="Calibri"/>
        </w:rPr>
        <w:t xml:space="preserve"> t (estimated range </w:t>
      </w:r>
      <w:r>
        <w:rPr>
          <w:rFonts w:ascii="Calibri" w:hAnsi="Calibri" w:cs="Calibri"/>
        </w:rPr>
        <w:t xml:space="preserve">(80% C.I.) </w:t>
      </w:r>
      <w:r w:rsidRPr="00041B4F">
        <w:rPr>
          <w:rFonts w:ascii="Calibri" w:hAnsi="Calibri" w:cs="Calibri"/>
        </w:rPr>
        <w:t>7,</w:t>
      </w:r>
      <w:r>
        <w:rPr>
          <w:rFonts w:ascii="Calibri" w:hAnsi="Calibri" w:cs="Calibri"/>
        </w:rPr>
        <w:t>516</w:t>
      </w:r>
      <w:r w:rsidRPr="00041B4F">
        <w:rPr>
          <w:rFonts w:ascii="Calibri" w:hAnsi="Calibri" w:cs="Calibri"/>
          <w:bCs/>
          <w:kern w:val="24"/>
          <w:lang w:eastAsia="en-AU"/>
        </w:rPr>
        <w:t>–</w:t>
      </w:r>
      <w:r>
        <w:rPr>
          <w:rFonts w:ascii="Calibri" w:hAnsi="Calibri" w:cs="Calibri"/>
          <w:bCs/>
          <w:kern w:val="24"/>
          <w:lang w:eastAsia="en-AU"/>
        </w:rPr>
        <w:t>9,232</w:t>
      </w:r>
      <w:r w:rsidRPr="00041B4F">
        <w:rPr>
          <w:rFonts w:ascii="Calibri" w:hAnsi="Calibri" w:cs="Calibri"/>
        </w:rPr>
        <w:t xml:space="preserve"> t)</w:t>
      </w:r>
      <w:r w:rsidRPr="00041B4F">
        <w:rPr>
          <w:rFonts w:ascii="Calibri" w:hAnsi="Calibri" w:cs="Calibri"/>
          <w:snapToGrid w:val="0"/>
        </w:rPr>
        <w:t>.</w:t>
      </w:r>
    </w:p>
    <w:p w14:paraId="3E29FA10" w14:textId="77777777" w:rsidR="00512269" w:rsidRPr="00041B4F" w:rsidRDefault="00512269" w:rsidP="00512269">
      <w:pPr>
        <w:numPr>
          <w:ilvl w:val="0"/>
          <w:numId w:val="23"/>
        </w:numPr>
        <w:ind w:right="432"/>
        <w:jc w:val="both"/>
        <w:rPr>
          <w:rFonts w:ascii="Calibri" w:hAnsi="Calibri" w:cs="Calibri"/>
        </w:rPr>
      </w:pPr>
      <w:r w:rsidRPr="00041B4F">
        <w:rPr>
          <w:rFonts w:ascii="Calibri" w:hAnsi="Calibri" w:cs="Calibri"/>
          <w:b/>
          <w:snapToGrid w:val="0"/>
        </w:rPr>
        <w:t>Provisional reference points</w:t>
      </w:r>
      <w:r w:rsidRPr="00041B4F">
        <w:rPr>
          <w:rFonts w:ascii="Calibri" w:hAnsi="Calibri" w:cs="Calibri"/>
          <w:snapToGrid w:val="0"/>
        </w:rPr>
        <w:t xml:space="preserve">: although the Commission adopted reference points for swordfish in </w:t>
      </w:r>
      <w:hyperlink r:id="rId82" w:history="1">
        <w:r w:rsidRPr="00041B4F">
          <w:rPr>
            <w:rFonts w:ascii="Calibri" w:hAnsi="Calibri" w:cs="Calibri"/>
            <w:snapToGrid w:val="0"/>
            <w:color w:val="0000FF"/>
            <w:u w:val="single"/>
          </w:rPr>
          <w:t>Resolution 15/10</w:t>
        </w:r>
      </w:hyperlink>
      <w:r w:rsidRPr="00041B4F">
        <w:rPr>
          <w:rFonts w:ascii="Calibri" w:hAnsi="Calibri" w:cs="Calibri"/>
          <w:snapToGrid w:val="0"/>
        </w:rPr>
        <w:t xml:space="preserve"> </w:t>
      </w:r>
      <w:r w:rsidRPr="00041B4F">
        <w:rPr>
          <w:rFonts w:ascii="Calibri" w:hAnsi="Calibri" w:cs="Calibri"/>
          <w:i/>
          <w:snapToGrid w:val="0"/>
        </w:rPr>
        <w:t>on target and limit reference points and a decision framework</w:t>
      </w:r>
      <w:r w:rsidRPr="00041B4F">
        <w:rPr>
          <w:rFonts w:ascii="Calibri" w:hAnsi="Calibri" w:cs="Calibri"/>
          <w:snapToGrid w:val="0"/>
        </w:rPr>
        <w:t>, no such interim reference points, nor harvest control rules have been established for blue marlin.</w:t>
      </w:r>
    </w:p>
    <w:p w14:paraId="6B6B0835" w14:textId="77777777" w:rsidR="00512269" w:rsidRPr="00041B4F" w:rsidRDefault="00512269" w:rsidP="00512269">
      <w:pPr>
        <w:numPr>
          <w:ilvl w:val="0"/>
          <w:numId w:val="23"/>
        </w:numPr>
        <w:ind w:right="432"/>
        <w:jc w:val="both"/>
        <w:rPr>
          <w:rFonts w:ascii="Calibri" w:hAnsi="Calibri" w:cs="Calibri"/>
          <w:snapToGrid w:val="0"/>
        </w:rPr>
      </w:pPr>
      <w:r w:rsidRPr="7A02B2A9">
        <w:rPr>
          <w:rFonts w:ascii="Calibri" w:hAnsi="Calibri" w:cs="Calibri"/>
          <w:b/>
          <w:bCs/>
        </w:rPr>
        <w:t>Main fisheries (mean annual catch 2019-2023)</w:t>
      </w:r>
      <w:r w:rsidRPr="7A02B2A9">
        <w:rPr>
          <w:rFonts w:ascii="Calibri" w:hAnsi="Calibri" w:cs="Calibri"/>
        </w:rPr>
        <w:t>: blue marlin are caught using longline (38.4%), followed by line (36.9%) and gillnet (19.5%). The remaining catches taken with other gears contributed to 5.2% of the total catches in recent years (</w:t>
      </w:r>
      <w:r w:rsidRPr="7A02B2A9">
        <w:rPr>
          <w:rFonts w:ascii="Calibri" w:hAnsi="Calibri" w:cs="Calibri"/>
          <w:b/>
          <w:bCs/>
        </w:rPr>
        <w:t>Fig. 1</w:t>
      </w:r>
      <w:r w:rsidRPr="7A02B2A9">
        <w:rPr>
          <w:rFonts w:ascii="Calibri" w:hAnsi="Calibri" w:cs="Calibri"/>
        </w:rPr>
        <w:t>).</w:t>
      </w:r>
    </w:p>
    <w:p w14:paraId="0426D5A4" w14:textId="77777777" w:rsidR="00512269" w:rsidRPr="00041B4F" w:rsidRDefault="00512269" w:rsidP="00512269">
      <w:pPr>
        <w:numPr>
          <w:ilvl w:val="0"/>
          <w:numId w:val="23"/>
        </w:numPr>
        <w:ind w:right="432"/>
        <w:jc w:val="both"/>
        <w:rPr>
          <w:rFonts w:ascii="Calibri" w:hAnsi="Calibri" w:cs="Calibri"/>
          <w:snapToGrid w:val="0"/>
        </w:rPr>
      </w:pPr>
      <w:r w:rsidRPr="7A02B2A9">
        <w:rPr>
          <w:rFonts w:ascii="Calibri" w:hAnsi="Calibri" w:cs="Calibri"/>
          <w:b/>
          <w:bCs/>
          <w:color w:val="000000" w:themeColor="text1"/>
          <w:lang w:val="en-AU"/>
        </w:rPr>
        <w:t>Main fleets (mean annual catch 2019-2023)</w:t>
      </w:r>
      <w:r w:rsidRPr="7A02B2A9">
        <w:rPr>
          <w:rFonts w:ascii="Calibri" w:hAnsi="Calibri" w:cs="Calibri"/>
          <w:color w:val="000000" w:themeColor="text1"/>
          <w:lang w:val="en-AU"/>
        </w:rPr>
        <w:t>: the majority of blue marlin catches are attributed to vessels flagged to Sri Lanka (19.8%) followed by Taiwan,China (19.5%) and India (19%). The 26 other fleets catching blue marlin contributed to 41.8% of the total catch in recent years (Fig. 2).</w:t>
      </w:r>
    </w:p>
    <w:p w14:paraId="66009328" w14:textId="77777777" w:rsidR="008F3FEE" w:rsidRDefault="008F3FEE" w:rsidP="00512269">
      <w:pPr>
        <w:spacing w:after="160" w:line="259" w:lineRule="auto"/>
        <w:rPr>
          <w:rFonts w:ascii="Calibri" w:hAnsi="Calibri" w:cs="Calibri"/>
          <w:color w:val="000000" w:themeColor="text1"/>
          <w:highlight w:val="yellow"/>
          <w:lang w:val="en-AU"/>
        </w:rPr>
      </w:pPr>
    </w:p>
    <w:p w14:paraId="3F1A4CDC" w14:textId="77777777" w:rsidR="008F3FEE" w:rsidRPr="00041B4F" w:rsidRDefault="008F3FEE" w:rsidP="008F3FEE">
      <w:pPr>
        <w:spacing w:after="160" w:line="259" w:lineRule="auto"/>
        <w:ind w:right="432"/>
        <w:jc w:val="center"/>
      </w:pPr>
      <w:r>
        <w:rPr>
          <w:noProof/>
        </w:rPr>
        <w:drawing>
          <wp:inline distT="0" distB="0" distL="0" distR="0" wp14:anchorId="0E27FF51" wp14:editId="2F7A91BB">
            <wp:extent cx="5943600" cy="2495550"/>
            <wp:effectExtent l="0" t="0" r="0" b="0"/>
            <wp:docPr id="165796982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969825" name=""/>
                    <pic:cNvPicPr/>
                  </pic:nvPicPr>
                  <pic:blipFill>
                    <a:blip r:embed="rId83">
                      <a:extLst>
                        <a:ext uri="{28A0092B-C50C-407E-A947-70E740481C1C}">
                          <a14:useLocalDpi xmlns:a14="http://schemas.microsoft.com/office/drawing/2010/main" val="0"/>
                        </a:ext>
                      </a:extLst>
                    </a:blip>
                    <a:stretch>
                      <a:fillRect/>
                    </a:stretch>
                  </pic:blipFill>
                  <pic:spPr>
                    <a:xfrm>
                      <a:off x="0" y="0"/>
                      <a:ext cx="5943600" cy="2495550"/>
                    </a:xfrm>
                    <a:prstGeom prst="rect">
                      <a:avLst/>
                    </a:prstGeom>
                  </pic:spPr>
                </pic:pic>
              </a:graphicData>
            </a:graphic>
          </wp:inline>
        </w:drawing>
      </w:r>
    </w:p>
    <w:p w14:paraId="6F0359E7" w14:textId="77777777" w:rsidR="008F3FEE" w:rsidRPr="00041B4F" w:rsidRDefault="008F3FEE" w:rsidP="008F3FEE">
      <w:pPr>
        <w:spacing w:after="160" w:line="259" w:lineRule="auto"/>
        <w:ind w:right="432"/>
        <w:jc w:val="center"/>
      </w:pPr>
    </w:p>
    <w:p w14:paraId="6E9CE5C8" w14:textId="77777777" w:rsidR="008F3FEE" w:rsidRPr="00041B4F" w:rsidRDefault="008F3FEE" w:rsidP="008F3FEE">
      <w:pPr>
        <w:spacing w:after="160" w:line="259" w:lineRule="auto"/>
        <w:ind w:right="432"/>
        <w:jc w:val="both"/>
        <w:rPr>
          <w:rFonts w:ascii="Calibri" w:hAnsi="Calibri" w:cs="Calibri"/>
          <w:sz w:val="18"/>
          <w:szCs w:val="18"/>
        </w:rPr>
      </w:pPr>
      <w:r w:rsidRPr="00041B4F">
        <w:rPr>
          <w:rFonts w:ascii="Calibri" w:hAnsi="Calibri" w:cs="Calibri"/>
          <w:b/>
          <w:sz w:val="18"/>
          <w:szCs w:val="18"/>
        </w:rPr>
        <w:t>Fig. 1</w:t>
      </w:r>
      <w:r w:rsidRPr="00041B4F">
        <w:rPr>
          <w:rFonts w:ascii="Calibri" w:hAnsi="Calibri" w:cs="Calibri"/>
          <w:sz w:val="18"/>
          <w:szCs w:val="18"/>
        </w:rPr>
        <w:t>. Annual time series of (a) cumulative nominal catches (metric tons; t) by fishery and (b) individual nominal catches (metric tons; t) by fishery group for blue marlin during 1950-202</w:t>
      </w:r>
      <w:r>
        <w:rPr>
          <w:rFonts w:ascii="Calibri" w:hAnsi="Calibri" w:cs="Calibri"/>
          <w:sz w:val="18"/>
          <w:szCs w:val="18"/>
        </w:rPr>
        <w:t>3</w:t>
      </w:r>
      <w:r w:rsidRPr="00041B4F">
        <w:rPr>
          <w:rFonts w:ascii="Calibri" w:hAnsi="Calibri" w:cs="Calibri"/>
          <w:sz w:val="18"/>
          <w:szCs w:val="18"/>
        </w:rPr>
        <w:t xml:space="preserve">. </w:t>
      </w:r>
      <w:r w:rsidRPr="00041B4F">
        <w:rPr>
          <w:rFonts w:ascii="Calibri" w:hAnsi="Calibri" w:cs="Calibri"/>
          <w:sz w:val="18"/>
          <w:szCs w:val="18"/>
          <w:u w:val="single"/>
        </w:rPr>
        <w:t>Longline | Other</w:t>
      </w:r>
      <w:r w:rsidRPr="00041B4F">
        <w:rPr>
          <w:rFonts w:ascii="Calibri" w:hAnsi="Calibri" w:cs="Calibri"/>
          <w:sz w:val="18"/>
          <w:szCs w:val="18"/>
        </w:rPr>
        <w:t xml:space="preserve">: swordfish and sharks-targeted longlines; </w:t>
      </w:r>
      <w:r w:rsidRPr="00041B4F">
        <w:rPr>
          <w:rFonts w:ascii="Calibri" w:hAnsi="Calibri" w:cs="Calibri"/>
          <w:sz w:val="18"/>
          <w:szCs w:val="18"/>
          <w:u w:val="single"/>
        </w:rPr>
        <w:t>Other</w:t>
      </w:r>
      <w:r w:rsidRPr="00041B4F">
        <w:rPr>
          <w:rFonts w:ascii="Calibri" w:hAnsi="Calibri" w:cs="Calibri"/>
          <w:sz w:val="18"/>
          <w:szCs w:val="18"/>
        </w:rPr>
        <w:t>: all remaining fishing gears</w:t>
      </w:r>
    </w:p>
    <w:p w14:paraId="14281508" w14:textId="77777777" w:rsidR="008F3FEE" w:rsidRPr="00041B4F" w:rsidRDefault="008F3FEE" w:rsidP="008F3FEE">
      <w:pPr>
        <w:spacing w:after="160" w:line="259" w:lineRule="auto"/>
        <w:ind w:right="432"/>
        <w:jc w:val="both"/>
        <w:rPr>
          <w:rFonts w:ascii="Calibri" w:hAnsi="Calibri" w:cs="Calibri"/>
          <w:sz w:val="18"/>
          <w:szCs w:val="18"/>
        </w:rPr>
      </w:pPr>
    </w:p>
    <w:p w14:paraId="60BB929F" w14:textId="77777777" w:rsidR="008F3FEE" w:rsidRPr="00041B4F" w:rsidRDefault="008F3FEE" w:rsidP="008F3FEE">
      <w:pPr>
        <w:spacing w:after="160" w:line="259" w:lineRule="auto"/>
        <w:ind w:right="432"/>
        <w:jc w:val="both"/>
      </w:pPr>
      <w:r>
        <w:rPr>
          <w:noProof/>
        </w:rPr>
        <w:lastRenderedPageBreak/>
        <w:drawing>
          <wp:inline distT="0" distB="0" distL="0" distR="0" wp14:anchorId="0C357B78" wp14:editId="7ACE5779">
            <wp:extent cx="5943600" cy="3324225"/>
            <wp:effectExtent l="0" t="0" r="0" b="0"/>
            <wp:docPr id="68718608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186085" name=""/>
                    <pic:cNvPicPr/>
                  </pic:nvPicPr>
                  <pic:blipFill>
                    <a:blip r:embed="rId84">
                      <a:extLst>
                        <a:ext uri="{28A0092B-C50C-407E-A947-70E740481C1C}">
                          <a14:useLocalDpi xmlns:a14="http://schemas.microsoft.com/office/drawing/2010/main" val="0"/>
                        </a:ext>
                      </a:extLst>
                    </a:blip>
                    <a:stretch>
                      <a:fillRect/>
                    </a:stretch>
                  </pic:blipFill>
                  <pic:spPr>
                    <a:xfrm>
                      <a:off x="0" y="0"/>
                      <a:ext cx="5943600" cy="3324225"/>
                    </a:xfrm>
                    <a:prstGeom prst="rect">
                      <a:avLst/>
                    </a:prstGeom>
                  </pic:spPr>
                </pic:pic>
              </a:graphicData>
            </a:graphic>
          </wp:inline>
        </w:drawing>
      </w:r>
    </w:p>
    <w:p w14:paraId="16F4B8E1" w14:textId="77777777" w:rsidR="008F3FEE" w:rsidRPr="00041B4F" w:rsidRDefault="008F3FEE" w:rsidP="008F3FEE">
      <w:pPr>
        <w:spacing w:after="160" w:line="259" w:lineRule="auto"/>
        <w:ind w:right="432"/>
        <w:jc w:val="both"/>
        <w:rPr>
          <w:rFonts w:ascii="Calibri" w:hAnsi="Calibri" w:cs="Calibri"/>
          <w:color w:val="000000"/>
          <w:sz w:val="18"/>
          <w:szCs w:val="18"/>
          <w:lang w:val="en-AU"/>
        </w:rPr>
      </w:pPr>
      <w:r w:rsidRPr="00041B4F">
        <w:rPr>
          <w:rFonts w:ascii="Calibri" w:hAnsi="Calibri" w:cs="Calibri"/>
          <w:b/>
          <w:bCs/>
          <w:color w:val="000000"/>
          <w:sz w:val="18"/>
          <w:szCs w:val="18"/>
          <w:lang w:val="en-AU"/>
        </w:rPr>
        <w:t>Fig. 2</w:t>
      </w:r>
      <w:r w:rsidRPr="00041B4F">
        <w:rPr>
          <w:rFonts w:ascii="Calibri" w:hAnsi="Calibri" w:cs="Calibri"/>
          <w:color w:val="000000"/>
          <w:sz w:val="18"/>
          <w:szCs w:val="18"/>
          <w:lang w:val="en-AU"/>
        </w:rPr>
        <w:t>. Mean annual catches (metric tons; t) of blue marlin by fleet and fishery between 201</w:t>
      </w:r>
      <w:r>
        <w:rPr>
          <w:rFonts w:ascii="Calibri" w:hAnsi="Calibri" w:cs="Calibri"/>
          <w:color w:val="000000"/>
          <w:sz w:val="18"/>
          <w:szCs w:val="18"/>
          <w:lang w:val="en-AU"/>
        </w:rPr>
        <w:t>9</w:t>
      </w:r>
      <w:r w:rsidRPr="00041B4F">
        <w:rPr>
          <w:rFonts w:ascii="Calibri" w:hAnsi="Calibri" w:cs="Calibri"/>
          <w:color w:val="000000"/>
          <w:sz w:val="18"/>
          <w:szCs w:val="18"/>
          <w:lang w:val="en-AU"/>
        </w:rPr>
        <w:t xml:space="preserve"> and 202</w:t>
      </w:r>
      <w:r>
        <w:rPr>
          <w:rFonts w:ascii="Calibri" w:hAnsi="Calibri" w:cs="Calibri"/>
          <w:color w:val="000000"/>
          <w:sz w:val="18"/>
          <w:szCs w:val="18"/>
          <w:lang w:val="en-AU"/>
        </w:rPr>
        <w:t>3</w:t>
      </w:r>
      <w:r w:rsidRPr="00041B4F">
        <w:rPr>
          <w:rFonts w:ascii="Calibri" w:hAnsi="Calibri" w:cs="Calibri"/>
          <w:color w:val="000000"/>
          <w:sz w:val="18"/>
          <w:szCs w:val="18"/>
          <w:lang w:val="en-AU"/>
        </w:rPr>
        <w:t xml:space="preserve">, with indication of cumulative catches by fleet. </w:t>
      </w:r>
      <w:r w:rsidRPr="00041B4F">
        <w:rPr>
          <w:rFonts w:ascii="Calibri" w:hAnsi="Calibri" w:cs="Calibri"/>
          <w:color w:val="000000"/>
          <w:sz w:val="18"/>
          <w:szCs w:val="18"/>
          <w:u w:val="single"/>
          <w:lang w:val="en-AU"/>
        </w:rPr>
        <w:t>Longline | Other</w:t>
      </w:r>
      <w:r w:rsidRPr="00041B4F">
        <w:rPr>
          <w:rFonts w:ascii="Calibri" w:hAnsi="Calibri" w:cs="Calibri"/>
          <w:color w:val="000000"/>
          <w:sz w:val="18"/>
          <w:szCs w:val="18"/>
          <w:lang w:val="en-AU"/>
        </w:rPr>
        <w:t xml:space="preserve">: swordfish and sharks-targeted longlines; </w:t>
      </w:r>
      <w:r w:rsidRPr="00041B4F">
        <w:rPr>
          <w:rFonts w:ascii="Calibri" w:hAnsi="Calibri" w:cs="Calibri"/>
          <w:color w:val="000000"/>
          <w:sz w:val="18"/>
          <w:szCs w:val="18"/>
          <w:u w:val="single"/>
          <w:lang w:val="en-AU"/>
        </w:rPr>
        <w:t>Other</w:t>
      </w:r>
      <w:r w:rsidRPr="00041B4F">
        <w:rPr>
          <w:rFonts w:ascii="Calibri" w:hAnsi="Calibri" w:cs="Calibri"/>
          <w:color w:val="000000"/>
          <w:sz w:val="18"/>
          <w:szCs w:val="18"/>
          <w:lang w:val="en-AU"/>
        </w:rPr>
        <w:t>: all remaining fishing gears</w:t>
      </w:r>
    </w:p>
    <w:p w14:paraId="45653E6B" w14:textId="77777777" w:rsidR="008F3FEE" w:rsidRDefault="008F3FEE" w:rsidP="008F3FEE">
      <w:pPr>
        <w:jc w:val="center"/>
        <w:rPr>
          <w:rFonts w:ascii="Calibri" w:hAnsi="Calibri" w:cs="Calibri"/>
          <w:snapToGrid w:val="0"/>
          <w:highlight w:val="yellow"/>
        </w:rPr>
      </w:pPr>
    </w:p>
    <w:p w14:paraId="58186EEE" w14:textId="77777777" w:rsidR="008F3FEE" w:rsidRPr="00041B4F" w:rsidRDefault="008F3FEE" w:rsidP="008F3FEE">
      <w:pPr>
        <w:jc w:val="center"/>
        <w:rPr>
          <w:rFonts w:ascii="Calibri" w:hAnsi="Calibri" w:cs="Calibri"/>
          <w:snapToGrid w:val="0"/>
          <w:highlight w:val="yellow"/>
        </w:rPr>
      </w:pPr>
      <w:r>
        <w:rPr>
          <w:noProof/>
        </w:rPr>
        <w:drawing>
          <wp:inline distT="0" distB="0" distL="0" distR="0" wp14:anchorId="58FEB597" wp14:editId="3E894CC7">
            <wp:extent cx="4108450" cy="4108450"/>
            <wp:effectExtent l="0" t="0" r="6350" b="635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4108450" cy="4108450"/>
                    </a:xfrm>
                    <a:prstGeom prst="rect">
                      <a:avLst/>
                    </a:prstGeom>
                    <a:noFill/>
                    <a:ln>
                      <a:noFill/>
                    </a:ln>
                  </pic:spPr>
                </pic:pic>
              </a:graphicData>
            </a:graphic>
          </wp:inline>
        </w:drawing>
      </w:r>
    </w:p>
    <w:p w14:paraId="3C64750E" w14:textId="77777777" w:rsidR="008F3FEE" w:rsidRDefault="008F3FEE" w:rsidP="008F3FEE">
      <w:pPr>
        <w:spacing w:before="120" w:after="240"/>
        <w:jc w:val="both"/>
        <w:rPr>
          <w:szCs w:val="24"/>
        </w:rPr>
      </w:pPr>
      <w:r w:rsidRPr="00041B4F">
        <w:rPr>
          <w:rFonts w:ascii="Calibri" w:eastAsia="MS Mincho" w:hAnsi="Calibri" w:cs="Calibri"/>
          <w:b/>
          <w:sz w:val="18"/>
          <w:szCs w:val="18"/>
        </w:rPr>
        <w:t>Fig. 3.</w:t>
      </w:r>
      <w:r w:rsidRPr="00041B4F">
        <w:rPr>
          <w:rFonts w:ascii="Calibri" w:eastAsia="MS Mincho" w:hAnsi="Calibri" w:cs="Calibri"/>
          <w:sz w:val="18"/>
          <w:szCs w:val="18"/>
        </w:rPr>
        <w:t xml:space="preserve"> </w:t>
      </w:r>
      <w:r w:rsidRPr="00703853">
        <w:rPr>
          <w:rFonts w:asciiTheme="minorHAnsi" w:hAnsiTheme="minorHAnsi" w:cstheme="minorHAnsi"/>
          <w:sz w:val="18"/>
          <w:szCs w:val="18"/>
        </w:rPr>
        <w:t>JABBA Indian Ocean assessment Kobe plots for blue marlin (contours are the 50, 80 and 95 percentiles of the 2023 estimate). Black line indicates the trajectory of the point estimates for the total biomass ratio (B/BMSY) and fishing mortality ratio (F/FMSY) for each year 1950–2023</w:t>
      </w:r>
    </w:p>
    <w:p w14:paraId="74EB76B2" w14:textId="77777777" w:rsidR="008F3FEE" w:rsidRPr="00041B4F" w:rsidRDefault="008F3FEE" w:rsidP="008F3FEE">
      <w:pPr>
        <w:spacing w:before="120" w:after="240"/>
        <w:jc w:val="both"/>
        <w:rPr>
          <w:rFonts w:ascii="Calibri" w:hAnsi="Calibri" w:cs="Calibri"/>
          <w:bCs/>
          <w:snapToGrid w:val="0"/>
          <w:sz w:val="18"/>
          <w:szCs w:val="18"/>
        </w:rPr>
      </w:pPr>
    </w:p>
    <w:p w14:paraId="083577FD" w14:textId="77777777" w:rsidR="008F3FEE" w:rsidRPr="008F3FEE" w:rsidRDefault="008F3FEE" w:rsidP="008F3FEE">
      <w:pPr>
        <w:keepNext/>
        <w:keepLines/>
        <w:spacing w:before="240" w:after="120"/>
        <w:jc w:val="both"/>
        <w:rPr>
          <w:rFonts w:ascii="Calibri" w:hAnsi="Calibri" w:cs="Calibri"/>
          <w:sz w:val="20"/>
          <w:szCs w:val="20"/>
        </w:rPr>
      </w:pPr>
      <w:r w:rsidRPr="008F3FEE">
        <w:rPr>
          <w:rFonts w:ascii="Calibri" w:hAnsi="Calibri" w:cs="Calibri"/>
          <w:b/>
          <w:sz w:val="20"/>
          <w:szCs w:val="20"/>
        </w:rPr>
        <w:lastRenderedPageBreak/>
        <w:t xml:space="preserve">Table 2. </w:t>
      </w:r>
      <w:r w:rsidRPr="008F3FEE">
        <w:rPr>
          <w:rFonts w:ascii="Calibri" w:hAnsi="Calibri" w:cs="Calibri"/>
          <w:sz w:val="20"/>
          <w:szCs w:val="20"/>
        </w:rPr>
        <w:t xml:space="preserve">Blue Marlin: Indian Ocean </w:t>
      </w:r>
      <w:r w:rsidRPr="008F3FEE">
        <w:rPr>
          <w:rFonts w:ascii="Calibri" w:eastAsia="MS Mincho" w:hAnsi="Calibri" w:cs="Calibri"/>
          <w:sz w:val="20"/>
          <w:szCs w:val="20"/>
        </w:rPr>
        <w:t xml:space="preserve">JABBA </w:t>
      </w:r>
      <w:r w:rsidRPr="008F3FEE">
        <w:rPr>
          <w:rFonts w:ascii="Calibri" w:hAnsi="Calibri" w:cs="Calibri"/>
          <w:sz w:val="20"/>
          <w:szCs w:val="20"/>
        </w:rPr>
        <w:t xml:space="preserve">Kobe II Strategy Matrix. </w:t>
      </w:r>
      <w:r w:rsidRPr="008F3FEE">
        <w:rPr>
          <w:rFonts w:ascii="Calibri" w:hAnsi="Calibri" w:cs="Calibri"/>
          <w:sz w:val="20"/>
          <w:szCs w:val="20"/>
          <w:lang w:eastAsia="en-GB"/>
        </w:rPr>
        <w:t>Probability (</w:t>
      </w:r>
      <w:r w:rsidRPr="008F3FEE">
        <w:rPr>
          <w:rFonts w:ascii="Calibri" w:hAnsi="Calibri" w:cs="Calibri"/>
          <w:kern w:val="24"/>
          <w:sz w:val="20"/>
          <w:szCs w:val="20"/>
          <w:lang w:eastAsia="en-AU"/>
        </w:rPr>
        <w:t xml:space="preserve">percentage) </w:t>
      </w:r>
      <w:r w:rsidRPr="008F3FEE">
        <w:rPr>
          <w:rFonts w:ascii="Calibri" w:hAnsi="Calibri" w:cs="Calibri"/>
          <w:sz w:val="20"/>
          <w:szCs w:val="20"/>
          <w:lang w:eastAsia="en-GB"/>
        </w:rPr>
        <w:t xml:space="preserve">of achieving the green quadrant of the KOBE plot, </w:t>
      </w:r>
      <w:r w:rsidRPr="008F3FEE">
        <w:rPr>
          <w:rFonts w:ascii="Calibri" w:hAnsi="Calibri" w:cs="Calibri"/>
          <w:sz w:val="20"/>
          <w:szCs w:val="20"/>
        </w:rPr>
        <w:t>for a range of constant catch projections (JABBA). Catch in 2024 and 2025 are fixed at 7,262 t</w:t>
      </w:r>
      <w:bookmarkStart w:id="140" w:name="_Hlk494890434"/>
    </w:p>
    <w:tbl>
      <w:tblPr>
        <w:tblW w:w="11002" w:type="dxa"/>
        <w:tblInd w:w="-28" w:type="dxa"/>
        <w:tblLayout w:type="fixed"/>
        <w:tblCellMar>
          <w:left w:w="28" w:type="dxa"/>
          <w:right w:w="28" w:type="dxa"/>
        </w:tblCellMar>
        <w:tblLook w:val="04A0" w:firstRow="1" w:lastRow="0" w:firstColumn="1" w:lastColumn="0" w:noHBand="0" w:noVBand="1"/>
      </w:tblPr>
      <w:tblGrid>
        <w:gridCol w:w="1702"/>
        <w:gridCol w:w="971"/>
        <w:gridCol w:w="972"/>
        <w:gridCol w:w="971"/>
        <w:gridCol w:w="972"/>
        <w:gridCol w:w="972"/>
        <w:gridCol w:w="971"/>
        <w:gridCol w:w="972"/>
        <w:gridCol w:w="971"/>
        <w:gridCol w:w="972"/>
        <w:gridCol w:w="556"/>
      </w:tblGrid>
      <w:tr w:rsidR="008F3FEE" w:rsidRPr="008F3FEE" w14:paraId="0B628D5B" w14:textId="77777777" w:rsidTr="008F3FEE">
        <w:trPr>
          <w:trHeight w:val="335"/>
        </w:trPr>
        <w:tc>
          <w:tcPr>
            <w:tcW w:w="1702" w:type="dxa"/>
            <w:tcBorders>
              <w:top w:val="single" w:sz="4" w:space="0" w:color="auto"/>
              <w:left w:val="nil"/>
              <w:bottom w:val="single" w:sz="4" w:space="0" w:color="auto"/>
              <w:right w:val="nil"/>
            </w:tcBorders>
            <w:noWrap/>
            <w:vAlign w:val="center"/>
            <w:hideMark/>
          </w:tcPr>
          <w:bookmarkEnd w:id="140"/>
          <w:p w14:paraId="0648D8FD" w14:textId="77777777" w:rsidR="008F3FEE" w:rsidRPr="008F3FEE" w:rsidRDefault="008F3FEE" w:rsidP="00A40DCE">
            <w:pPr>
              <w:jc w:val="center"/>
              <w:rPr>
                <w:rFonts w:ascii="Calibri" w:eastAsia="PMingLiU" w:hAnsi="Calibri" w:cs="Calibri"/>
                <w:sz w:val="20"/>
                <w:szCs w:val="20"/>
              </w:rPr>
            </w:pPr>
            <w:r w:rsidRPr="008F3FEE">
              <w:rPr>
                <w:rFonts w:ascii="Calibri" w:eastAsia="PMingLiU" w:hAnsi="Calibri" w:cs="Calibri"/>
                <w:sz w:val="20"/>
                <w:szCs w:val="20"/>
              </w:rPr>
              <w:t>Catch (t)\Year</w:t>
            </w:r>
          </w:p>
        </w:tc>
        <w:tc>
          <w:tcPr>
            <w:tcW w:w="971" w:type="dxa"/>
            <w:tcBorders>
              <w:top w:val="single" w:sz="4" w:space="0" w:color="auto"/>
              <w:left w:val="nil"/>
              <w:bottom w:val="single" w:sz="4" w:space="0" w:color="auto"/>
              <w:right w:val="nil"/>
            </w:tcBorders>
            <w:noWrap/>
            <w:vAlign w:val="center"/>
            <w:hideMark/>
          </w:tcPr>
          <w:p w14:paraId="33B91E9A"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2026</w:t>
            </w:r>
          </w:p>
        </w:tc>
        <w:tc>
          <w:tcPr>
            <w:tcW w:w="972" w:type="dxa"/>
            <w:tcBorders>
              <w:top w:val="single" w:sz="4" w:space="0" w:color="auto"/>
              <w:left w:val="nil"/>
              <w:bottom w:val="single" w:sz="4" w:space="0" w:color="auto"/>
              <w:right w:val="nil"/>
            </w:tcBorders>
            <w:noWrap/>
            <w:vAlign w:val="center"/>
            <w:hideMark/>
          </w:tcPr>
          <w:p w14:paraId="5FD7D8BA"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2027</w:t>
            </w:r>
          </w:p>
        </w:tc>
        <w:tc>
          <w:tcPr>
            <w:tcW w:w="971" w:type="dxa"/>
            <w:tcBorders>
              <w:top w:val="single" w:sz="4" w:space="0" w:color="auto"/>
              <w:left w:val="nil"/>
              <w:bottom w:val="single" w:sz="4" w:space="0" w:color="auto"/>
              <w:right w:val="nil"/>
            </w:tcBorders>
            <w:noWrap/>
            <w:vAlign w:val="center"/>
            <w:hideMark/>
          </w:tcPr>
          <w:p w14:paraId="76A24F27"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2028</w:t>
            </w:r>
          </w:p>
        </w:tc>
        <w:tc>
          <w:tcPr>
            <w:tcW w:w="972" w:type="dxa"/>
            <w:tcBorders>
              <w:top w:val="single" w:sz="4" w:space="0" w:color="auto"/>
              <w:left w:val="nil"/>
              <w:bottom w:val="single" w:sz="4" w:space="0" w:color="auto"/>
              <w:right w:val="nil"/>
            </w:tcBorders>
            <w:noWrap/>
            <w:vAlign w:val="center"/>
            <w:hideMark/>
          </w:tcPr>
          <w:p w14:paraId="4BC38779"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2029</w:t>
            </w:r>
          </w:p>
        </w:tc>
        <w:tc>
          <w:tcPr>
            <w:tcW w:w="972" w:type="dxa"/>
            <w:tcBorders>
              <w:top w:val="single" w:sz="4" w:space="0" w:color="auto"/>
              <w:left w:val="nil"/>
              <w:bottom w:val="single" w:sz="4" w:space="0" w:color="auto"/>
              <w:right w:val="nil"/>
            </w:tcBorders>
            <w:noWrap/>
            <w:vAlign w:val="center"/>
            <w:hideMark/>
          </w:tcPr>
          <w:p w14:paraId="273113FC"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2030</w:t>
            </w:r>
          </w:p>
        </w:tc>
        <w:tc>
          <w:tcPr>
            <w:tcW w:w="971" w:type="dxa"/>
            <w:tcBorders>
              <w:top w:val="single" w:sz="4" w:space="0" w:color="auto"/>
              <w:left w:val="nil"/>
              <w:bottom w:val="single" w:sz="4" w:space="0" w:color="auto"/>
              <w:right w:val="nil"/>
            </w:tcBorders>
            <w:noWrap/>
            <w:vAlign w:val="center"/>
            <w:hideMark/>
          </w:tcPr>
          <w:p w14:paraId="20D87B06"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2031</w:t>
            </w:r>
          </w:p>
        </w:tc>
        <w:tc>
          <w:tcPr>
            <w:tcW w:w="972" w:type="dxa"/>
            <w:tcBorders>
              <w:top w:val="single" w:sz="4" w:space="0" w:color="auto"/>
              <w:left w:val="nil"/>
              <w:bottom w:val="single" w:sz="4" w:space="0" w:color="auto"/>
              <w:right w:val="nil"/>
            </w:tcBorders>
            <w:noWrap/>
            <w:vAlign w:val="center"/>
            <w:hideMark/>
          </w:tcPr>
          <w:p w14:paraId="2BF44BCE"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2032</w:t>
            </w:r>
          </w:p>
        </w:tc>
        <w:tc>
          <w:tcPr>
            <w:tcW w:w="971" w:type="dxa"/>
            <w:tcBorders>
              <w:top w:val="single" w:sz="4" w:space="0" w:color="auto"/>
              <w:left w:val="nil"/>
              <w:bottom w:val="single" w:sz="4" w:space="0" w:color="auto"/>
              <w:right w:val="nil"/>
            </w:tcBorders>
            <w:noWrap/>
            <w:vAlign w:val="center"/>
            <w:hideMark/>
          </w:tcPr>
          <w:p w14:paraId="560CE145"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2033</w:t>
            </w:r>
          </w:p>
        </w:tc>
        <w:tc>
          <w:tcPr>
            <w:tcW w:w="972" w:type="dxa"/>
            <w:tcBorders>
              <w:top w:val="single" w:sz="4" w:space="0" w:color="auto"/>
              <w:left w:val="nil"/>
              <w:bottom w:val="single" w:sz="4" w:space="0" w:color="auto"/>
              <w:right w:val="nil"/>
            </w:tcBorders>
            <w:noWrap/>
            <w:vAlign w:val="center"/>
            <w:hideMark/>
          </w:tcPr>
          <w:p w14:paraId="472B0030"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2034</w:t>
            </w:r>
          </w:p>
        </w:tc>
        <w:tc>
          <w:tcPr>
            <w:tcW w:w="556" w:type="dxa"/>
            <w:tcBorders>
              <w:top w:val="single" w:sz="4" w:space="0" w:color="auto"/>
              <w:left w:val="nil"/>
              <w:bottom w:val="single" w:sz="4" w:space="0" w:color="auto"/>
              <w:right w:val="nil"/>
            </w:tcBorders>
            <w:noWrap/>
            <w:vAlign w:val="center"/>
            <w:hideMark/>
          </w:tcPr>
          <w:p w14:paraId="57B30F65"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2035</w:t>
            </w:r>
          </w:p>
        </w:tc>
      </w:tr>
      <w:tr w:rsidR="008F3FEE" w:rsidRPr="008F3FEE" w14:paraId="050721E7" w14:textId="77777777" w:rsidTr="008F3FEE">
        <w:trPr>
          <w:trHeight w:val="335"/>
        </w:trPr>
        <w:tc>
          <w:tcPr>
            <w:tcW w:w="1702" w:type="dxa"/>
            <w:tcBorders>
              <w:top w:val="single" w:sz="4" w:space="0" w:color="auto"/>
              <w:left w:val="nil"/>
              <w:bottom w:val="nil"/>
              <w:right w:val="nil"/>
            </w:tcBorders>
            <w:noWrap/>
            <w:vAlign w:val="center"/>
            <w:hideMark/>
          </w:tcPr>
          <w:p w14:paraId="5ED5929B" w14:textId="77777777" w:rsidR="008F3FEE" w:rsidRPr="008F3FEE" w:rsidRDefault="008F3FEE" w:rsidP="00A40DCE">
            <w:pPr>
              <w:jc w:val="right"/>
              <w:rPr>
                <w:rFonts w:ascii="Calibri" w:eastAsia="PMingLiU" w:hAnsi="Calibri" w:cs="Calibri"/>
                <w:sz w:val="20"/>
                <w:szCs w:val="20"/>
              </w:rPr>
            </w:pPr>
            <w:r w:rsidRPr="008F3FEE">
              <w:rPr>
                <w:rFonts w:ascii="Calibri" w:eastAsia="PMingLiU" w:hAnsi="Calibri" w:cs="Calibri"/>
                <w:sz w:val="20"/>
                <w:szCs w:val="20"/>
              </w:rPr>
              <w:t>4,357 (60%)</w:t>
            </w:r>
          </w:p>
        </w:tc>
        <w:tc>
          <w:tcPr>
            <w:tcW w:w="971" w:type="dxa"/>
            <w:tcBorders>
              <w:top w:val="single" w:sz="4" w:space="0" w:color="auto"/>
              <w:left w:val="nil"/>
              <w:bottom w:val="nil"/>
              <w:right w:val="nil"/>
            </w:tcBorders>
            <w:noWrap/>
            <w:vAlign w:val="center"/>
            <w:hideMark/>
          </w:tcPr>
          <w:p w14:paraId="42662724"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10</w:t>
            </w:r>
          </w:p>
        </w:tc>
        <w:tc>
          <w:tcPr>
            <w:tcW w:w="972" w:type="dxa"/>
            <w:tcBorders>
              <w:top w:val="single" w:sz="4" w:space="0" w:color="auto"/>
              <w:left w:val="nil"/>
              <w:bottom w:val="nil"/>
              <w:right w:val="nil"/>
            </w:tcBorders>
            <w:noWrap/>
            <w:vAlign w:val="center"/>
            <w:hideMark/>
          </w:tcPr>
          <w:p w14:paraId="63F859F5"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22</w:t>
            </w:r>
          </w:p>
        </w:tc>
        <w:tc>
          <w:tcPr>
            <w:tcW w:w="971" w:type="dxa"/>
            <w:tcBorders>
              <w:top w:val="single" w:sz="4" w:space="0" w:color="auto"/>
              <w:left w:val="nil"/>
              <w:bottom w:val="nil"/>
              <w:right w:val="nil"/>
            </w:tcBorders>
            <w:noWrap/>
            <w:vAlign w:val="center"/>
            <w:hideMark/>
          </w:tcPr>
          <w:p w14:paraId="499FE997"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35</w:t>
            </w:r>
          </w:p>
        </w:tc>
        <w:tc>
          <w:tcPr>
            <w:tcW w:w="972" w:type="dxa"/>
            <w:tcBorders>
              <w:top w:val="single" w:sz="4" w:space="0" w:color="auto"/>
              <w:left w:val="nil"/>
              <w:bottom w:val="nil"/>
              <w:right w:val="nil"/>
            </w:tcBorders>
            <w:noWrap/>
            <w:vAlign w:val="center"/>
            <w:hideMark/>
          </w:tcPr>
          <w:p w14:paraId="16D11AAD"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48</w:t>
            </w:r>
          </w:p>
        </w:tc>
        <w:tc>
          <w:tcPr>
            <w:tcW w:w="972" w:type="dxa"/>
            <w:tcBorders>
              <w:top w:val="single" w:sz="4" w:space="0" w:color="auto"/>
              <w:left w:val="nil"/>
              <w:bottom w:val="nil"/>
              <w:right w:val="nil"/>
            </w:tcBorders>
            <w:noWrap/>
            <w:vAlign w:val="center"/>
            <w:hideMark/>
          </w:tcPr>
          <w:p w14:paraId="6EF92A00"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59</w:t>
            </w:r>
          </w:p>
        </w:tc>
        <w:tc>
          <w:tcPr>
            <w:tcW w:w="971" w:type="dxa"/>
            <w:tcBorders>
              <w:top w:val="single" w:sz="4" w:space="0" w:color="auto"/>
              <w:left w:val="nil"/>
              <w:bottom w:val="nil"/>
              <w:right w:val="nil"/>
            </w:tcBorders>
            <w:noWrap/>
            <w:vAlign w:val="center"/>
            <w:hideMark/>
          </w:tcPr>
          <w:p w14:paraId="67CD22F5"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67</w:t>
            </w:r>
          </w:p>
        </w:tc>
        <w:tc>
          <w:tcPr>
            <w:tcW w:w="972" w:type="dxa"/>
            <w:tcBorders>
              <w:top w:val="single" w:sz="4" w:space="0" w:color="auto"/>
              <w:left w:val="nil"/>
              <w:bottom w:val="nil"/>
              <w:right w:val="nil"/>
            </w:tcBorders>
            <w:noWrap/>
            <w:vAlign w:val="center"/>
            <w:hideMark/>
          </w:tcPr>
          <w:p w14:paraId="43C2ECA4"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74</w:t>
            </w:r>
          </w:p>
        </w:tc>
        <w:tc>
          <w:tcPr>
            <w:tcW w:w="971" w:type="dxa"/>
            <w:tcBorders>
              <w:top w:val="single" w:sz="4" w:space="0" w:color="auto"/>
              <w:left w:val="nil"/>
              <w:bottom w:val="nil"/>
              <w:right w:val="nil"/>
            </w:tcBorders>
            <w:noWrap/>
            <w:vAlign w:val="center"/>
            <w:hideMark/>
          </w:tcPr>
          <w:p w14:paraId="27FD2F0A"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80</w:t>
            </w:r>
          </w:p>
        </w:tc>
        <w:tc>
          <w:tcPr>
            <w:tcW w:w="972" w:type="dxa"/>
            <w:tcBorders>
              <w:top w:val="single" w:sz="4" w:space="0" w:color="auto"/>
              <w:left w:val="nil"/>
              <w:bottom w:val="nil"/>
              <w:right w:val="nil"/>
            </w:tcBorders>
            <w:noWrap/>
            <w:vAlign w:val="center"/>
            <w:hideMark/>
          </w:tcPr>
          <w:p w14:paraId="370255D8"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83</w:t>
            </w:r>
          </w:p>
        </w:tc>
        <w:tc>
          <w:tcPr>
            <w:tcW w:w="556" w:type="dxa"/>
            <w:tcBorders>
              <w:top w:val="single" w:sz="4" w:space="0" w:color="auto"/>
              <w:left w:val="nil"/>
              <w:bottom w:val="nil"/>
              <w:right w:val="nil"/>
            </w:tcBorders>
            <w:noWrap/>
            <w:vAlign w:val="center"/>
            <w:hideMark/>
          </w:tcPr>
          <w:p w14:paraId="6FA416AF"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86</w:t>
            </w:r>
          </w:p>
        </w:tc>
      </w:tr>
      <w:tr w:rsidR="008F3FEE" w:rsidRPr="008F3FEE" w14:paraId="38DB935C" w14:textId="77777777" w:rsidTr="008F3FEE">
        <w:trPr>
          <w:trHeight w:val="335"/>
        </w:trPr>
        <w:tc>
          <w:tcPr>
            <w:tcW w:w="1702" w:type="dxa"/>
            <w:tcBorders>
              <w:top w:val="nil"/>
              <w:left w:val="nil"/>
              <w:bottom w:val="nil"/>
              <w:right w:val="nil"/>
            </w:tcBorders>
            <w:noWrap/>
            <w:vAlign w:val="center"/>
            <w:hideMark/>
          </w:tcPr>
          <w:p w14:paraId="7DAC44CD" w14:textId="77777777" w:rsidR="008F3FEE" w:rsidRPr="008F3FEE" w:rsidRDefault="008F3FEE" w:rsidP="00A40DCE">
            <w:pPr>
              <w:jc w:val="right"/>
              <w:rPr>
                <w:rFonts w:ascii="Calibri" w:eastAsia="PMingLiU" w:hAnsi="Calibri" w:cs="Calibri"/>
                <w:sz w:val="20"/>
                <w:szCs w:val="20"/>
              </w:rPr>
            </w:pPr>
            <w:r w:rsidRPr="008F3FEE">
              <w:rPr>
                <w:rFonts w:ascii="Calibri" w:eastAsia="PMingLiU" w:hAnsi="Calibri" w:cs="Calibri"/>
                <w:sz w:val="20"/>
                <w:szCs w:val="20"/>
              </w:rPr>
              <w:t>5,083 (70%)</w:t>
            </w:r>
          </w:p>
        </w:tc>
        <w:tc>
          <w:tcPr>
            <w:tcW w:w="971" w:type="dxa"/>
            <w:tcBorders>
              <w:top w:val="nil"/>
              <w:left w:val="nil"/>
              <w:bottom w:val="nil"/>
              <w:right w:val="nil"/>
            </w:tcBorders>
            <w:noWrap/>
            <w:vAlign w:val="center"/>
            <w:hideMark/>
          </w:tcPr>
          <w:p w14:paraId="54D85AEB"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10</w:t>
            </w:r>
          </w:p>
        </w:tc>
        <w:tc>
          <w:tcPr>
            <w:tcW w:w="972" w:type="dxa"/>
            <w:tcBorders>
              <w:top w:val="nil"/>
              <w:left w:val="nil"/>
              <w:bottom w:val="nil"/>
              <w:right w:val="nil"/>
            </w:tcBorders>
            <w:noWrap/>
            <w:vAlign w:val="center"/>
            <w:hideMark/>
          </w:tcPr>
          <w:p w14:paraId="0B24B953"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w:t>
            </w:r>
          </w:p>
        </w:tc>
        <w:tc>
          <w:tcPr>
            <w:tcW w:w="971" w:type="dxa"/>
            <w:tcBorders>
              <w:top w:val="nil"/>
              <w:left w:val="nil"/>
              <w:bottom w:val="nil"/>
              <w:right w:val="nil"/>
            </w:tcBorders>
            <w:noWrap/>
            <w:vAlign w:val="center"/>
            <w:hideMark/>
          </w:tcPr>
          <w:p w14:paraId="1AE6515D"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31</w:t>
            </w:r>
          </w:p>
        </w:tc>
        <w:tc>
          <w:tcPr>
            <w:tcW w:w="972" w:type="dxa"/>
            <w:tcBorders>
              <w:top w:val="nil"/>
              <w:left w:val="nil"/>
              <w:bottom w:val="nil"/>
              <w:right w:val="nil"/>
            </w:tcBorders>
            <w:noWrap/>
            <w:vAlign w:val="center"/>
            <w:hideMark/>
          </w:tcPr>
          <w:p w14:paraId="10CC16B5"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41</w:t>
            </w:r>
          </w:p>
        </w:tc>
        <w:tc>
          <w:tcPr>
            <w:tcW w:w="972" w:type="dxa"/>
            <w:tcBorders>
              <w:top w:val="nil"/>
              <w:left w:val="nil"/>
              <w:bottom w:val="nil"/>
              <w:right w:val="nil"/>
            </w:tcBorders>
            <w:noWrap/>
            <w:vAlign w:val="center"/>
            <w:hideMark/>
          </w:tcPr>
          <w:p w14:paraId="008FE0E5"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50</w:t>
            </w:r>
          </w:p>
        </w:tc>
        <w:tc>
          <w:tcPr>
            <w:tcW w:w="971" w:type="dxa"/>
            <w:tcBorders>
              <w:top w:val="nil"/>
              <w:left w:val="nil"/>
              <w:bottom w:val="nil"/>
              <w:right w:val="nil"/>
            </w:tcBorders>
            <w:noWrap/>
            <w:vAlign w:val="center"/>
            <w:hideMark/>
          </w:tcPr>
          <w:p w14:paraId="2AB35B14"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58</w:t>
            </w:r>
          </w:p>
        </w:tc>
        <w:tc>
          <w:tcPr>
            <w:tcW w:w="972" w:type="dxa"/>
            <w:tcBorders>
              <w:top w:val="nil"/>
              <w:left w:val="nil"/>
              <w:bottom w:val="nil"/>
              <w:right w:val="nil"/>
            </w:tcBorders>
            <w:noWrap/>
            <w:vAlign w:val="center"/>
            <w:hideMark/>
          </w:tcPr>
          <w:p w14:paraId="3DB9D659"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64</w:t>
            </w:r>
          </w:p>
        </w:tc>
        <w:tc>
          <w:tcPr>
            <w:tcW w:w="971" w:type="dxa"/>
            <w:tcBorders>
              <w:top w:val="nil"/>
              <w:left w:val="nil"/>
              <w:bottom w:val="nil"/>
              <w:right w:val="nil"/>
            </w:tcBorders>
            <w:noWrap/>
            <w:vAlign w:val="center"/>
            <w:hideMark/>
          </w:tcPr>
          <w:p w14:paraId="1D60EFA2"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69</w:t>
            </w:r>
          </w:p>
        </w:tc>
        <w:tc>
          <w:tcPr>
            <w:tcW w:w="972" w:type="dxa"/>
            <w:tcBorders>
              <w:top w:val="nil"/>
              <w:left w:val="nil"/>
              <w:bottom w:val="nil"/>
              <w:right w:val="nil"/>
            </w:tcBorders>
            <w:noWrap/>
            <w:vAlign w:val="center"/>
            <w:hideMark/>
          </w:tcPr>
          <w:p w14:paraId="2AD5ED2C"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73</w:t>
            </w:r>
          </w:p>
        </w:tc>
        <w:tc>
          <w:tcPr>
            <w:tcW w:w="556" w:type="dxa"/>
            <w:tcBorders>
              <w:top w:val="nil"/>
              <w:left w:val="nil"/>
              <w:bottom w:val="nil"/>
              <w:right w:val="nil"/>
            </w:tcBorders>
            <w:noWrap/>
            <w:vAlign w:val="center"/>
            <w:hideMark/>
          </w:tcPr>
          <w:p w14:paraId="6BF88A39"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77</w:t>
            </w:r>
          </w:p>
        </w:tc>
      </w:tr>
      <w:tr w:rsidR="008F3FEE" w:rsidRPr="008F3FEE" w14:paraId="72B6C048" w14:textId="77777777" w:rsidTr="008F3FEE">
        <w:trPr>
          <w:trHeight w:val="335"/>
        </w:trPr>
        <w:tc>
          <w:tcPr>
            <w:tcW w:w="1702" w:type="dxa"/>
            <w:tcBorders>
              <w:top w:val="nil"/>
              <w:left w:val="nil"/>
              <w:bottom w:val="nil"/>
              <w:right w:val="nil"/>
            </w:tcBorders>
            <w:noWrap/>
            <w:vAlign w:val="center"/>
            <w:hideMark/>
          </w:tcPr>
          <w:p w14:paraId="5AB10491" w14:textId="77777777" w:rsidR="008F3FEE" w:rsidRPr="008F3FEE" w:rsidRDefault="008F3FEE" w:rsidP="00A40DCE">
            <w:pPr>
              <w:jc w:val="right"/>
              <w:rPr>
                <w:rFonts w:ascii="Calibri" w:eastAsia="PMingLiU" w:hAnsi="Calibri" w:cs="Calibri"/>
                <w:sz w:val="20"/>
                <w:szCs w:val="20"/>
              </w:rPr>
            </w:pPr>
            <w:r w:rsidRPr="008F3FEE">
              <w:rPr>
                <w:rFonts w:ascii="Calibri" w:eastAsia="PMingLiU" w:hAnsi="Calibri" w:cs="Calibri"/>
                <w:sz w:val="20"/>
                <w:szCs w:val="20"/>
              </w:rPr>
              <w:t>5,809 (80%)</w:t>
            </w:r>
          </w:p>
        </w:tc>
        <w:tc>
          <w:tcPr>
            <w:tcW w:w="971" w:type="dxa"/>
            <w:tcBorders>
              <w:top w:val="nil"/>
              <w:left w:val="nil"/>
              <w:bottom w:val="nil"/>
              <w:right w:val="nil"/>
            </w:tcBorders>
            <w:noWrap/>
            <w:vAlign w:val="center"/>
            <w:hideMark/>
          </w:tcPr>
          <w:p w14:paraId="540907D7"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10</w:t>
            </w:r>
          </w:p>
        </w:tc>
        <w:tc>
          <w:tcPr>
            <w:tcW w:w="972" w:type="dxa"/>
            <w:tcBorders>
              <w:top w:val="nil"/>
              <w:left w:val="nil"/>
              <w:bottom w:val="nil"/>
              <w:right w:val="nil"/>
            </w:tcBorders>
            <w:noWrap/>
            <w:vAlign w:val="center"/>
            <w:hideMark/>
          </w:tcPr>
          <w:p w14:paraId="797EA2C9"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18</w:t>
            </w:r>
          </w:p>
        </w:tc>
        <w:tc>
          <w:tcPr>
            <w:tcW w:w="971" w:type="dxa"/>
            <w:tcBorders>
              <w:top w:val="nil"/>
              <w:left w:val="nil"/>
              <w:bottom w:val="nil"/>
              <w:right w:val="nil"/>
            </w:tcBorders>
            <w:noWrap/>
            <w:vAlign w:val="center"/>
            <w:hideMark/>
          </w:tcPr>
          <w:p w14:paraId="0A37F781"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26</w:t>
            </w:r>
          </w:p>
        </w:tc>
        <w:tc>
          <w:tcPr>
            <w:tcW w:w="972" w:type="dxa"/>
            <w:tcBorders>
              <w:top w:val="nil"/>
              <w:left w:val="nil"/>
              <w:bottom w:val="nil"/>
              <w:right w:val="nil"/>
            </w:tcBorders>
            <w:noWrap/>
            <w:vAlign w:val="center"/>
            <w:hideMark/>
          </w:tcPr>
          <w:p w14:paraId="201EB45B"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34</w:t>
            </w:r>
          </w:p>
        </w:tc>
        <w:tc>
          <w:tcPr>
            <w:tcW w:w="972" w:type="dxa"/>
            <w:tcBorders>
              <w:top w:val="nil"/>
              <w:left w:val="nil"/>
              <w:bottom w:val="nil"/>
              <w:right w:val="nil"/>
            </w:tcBorders>
            <w:noWrap/>
            <w:vAlign w:val="center"/>
            <w:hideMark/>
          </w:tcPr>
          <w:p w14:paraId="54F9CC24"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41</w:t>
            </w:r>
          </w:p>
        </w:tc>
        <w:tc>
          <w:tcPr>
            <w:tcW w:w="971" w:type="dxa"/>
            <w:tcBorders>
              <w:top w:val="nil"/>
              <w:left w:val="nil"/>
              <w:bottom w:val="nil"/>
              <w:right w:val="nil"/>
            </w:tcBorders>
            <w:noWrap/>
            <w:vAlign w:val="center"/>
            <w:hideMark/>
          </w:tcPr>
          <w:p w14:paraId="0E196D0E"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47</w:t>
            </w:r>
          </w:p>
        </w:tc>
        <w:tc>
          <w:tcPr>
            <w:tcW w:w="972" w:type="dxa"/>
            <w:tcBorders>
              <w:top w:val="nil"/>
              <w:left w:val="nil"/>
              <w:bottom w:val="nil"/>
              <w:right w:val="nil"/>
            </w:tcBorders>
            <w:noWrap/>
            <w:vAlign w:val="center"/>
            <w:hideMark/>
          </w:tcPr>
          <w:p w14:paraId="00795BC0"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53</w:t>
            </w:r>
          </w:p>
        </w:tc>
        <w:tc>
          <w:tcPr>
            <w:tcW w:w="971" w:type="dxa"/>
            <w:tcBorders>
              <w:top w:val="nil"/>
              <w:left w:val="nil"/>
              <w:bottom w:val="nil"/>
              <w:right w:val="nil"/>
            </w:tcBorders>
            <w:noWrap/>
            <w:vAlign w:val="center"/>
            <w:hideMark/>
          </w:tcPr>
          <w:p w14:paraId="4AC187ED"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57</w:t>
            </w:r>
          </w:p>
        </w:tc>
        <w:tc>
          <w:tcPr>
            <w:tcW w:w="972" w:type="dxa"/>
            <w:tcBorders>
              <w:top w:val="nil"/>
              <w:left w:val="nil"/>
              <w:bottom w:val="nil"/>
              <w:right w:val="nil"/>
            </w:tcBorders>
            <w:noWrap/>
            <w:vAlign w:val="center"/>
            <w:hideMark/>
          </w:tcPr>
          <w:p w14:paraId="7D886B42"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61</w:t>
            </w:r>
          </w:p>
        </w:tc>
        <w:tc>
          <w:tcPr>
            <w:tcW w:w="556" w:type="dxa"/>
            <w:tcBorders>
              <w:top w:val="nil"/>
              <w:left w:val="nil"/>
              <w:bottom w:val="nil"/>
              <w:right w:val="nil"/>
            </w:tcBorders>
            <w:noWrap/>
            <w:vAlign w:val="center"/>
            <w:hideMark/>
          </w:tcPr>
          <w:p w14:paraId="7587B850"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64</w:t>
            </w:r>
          </w:p>
        </w:tc>
      </w:tr>
      <w:tr w:rsidR="008F3FEE" w:rsidRPr="008F3FEE" w14:paraId="6D77D03B" w14:textId="77777777" w:rsidTr="008F3FEE">
        <w:trPr>
          <w:trHeight w:val="335"/>
        </w:trPr>
        <w:tc>
          <w:tcPr>
            <w:tcW w:w="1702" w:type="dxa"/>
            <w:tcBorders>
              <w:top w:val="nil"/>
              <w:left w:val="nil"/>
              <w:bottom w:val="nil"/>
              <w:right w:val="nil"/>
            </w:tcBorders>
            <w:noWrap/>
            <w:vAlign w:val="center"/>
            <w:hideMark/>
          </w:tcPr>
          <w:p w14:paraId="67FB87A9" w14:textId="77777777" w:rsidR="008F3FEE" w:rsidRPr="008F3FEE" w:rsidRDefault="008F3FEE" w:rsidP="00A40DCE">
            <w:pPr>
              <w:jc w:val="right"/>
              <w:rPr>
                <w:rFonts w:ascii="Calibri" w:eastAsia="PMingLiU" w:hAnsi="Calibri" w:cs="Calibri"/>
                <w:sz w:val="20"/>
                <w:szCs w:val="20"/>
              </w:rPr>
            </w:pPr>
            <w:r w:rsidRPr="008F3FEE">
              <w:rPr>
                <w:rFonts w:ascii="Calibri" w:eastAsia="PMingLiU" w:hAnsi="Calibri" w:cs="Calibri"/>
                <w:sz w:val="20"/>
                <w:szCs w:val="20"/>
              </w:rPr>
              <w:t>6,536 (90%)</w:t>
            </w:r>
          </w:p>
        </w:tc>
        <w:tc>
          <w:tcPr>
            <w:tcW w:w="971" w:type="dxa"/>
            <w:tcBorders>
              <w:top w:val="nil"/>
              <w:left w:val="nil"/>
              <w:bottom w:val="nil"/>
              <w:right w:val="nil"/>
            </w:tcBorders>
            <w:noWrap/>
            <w:vAlign w:val="center"/>
            <w:hideMark/>
          </w:tcPr>
          <w:p w14:paraId="379041D3"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10</w:t>
            </w:r>
          </w:p>
        </w:tc>
        <w:tc>
          <w:tcPr>
            <w:tcW w:w="972" w:type="dxa"/>
            <w:tcBorders>
              <w:top w:val="nil"/>
              <w:left w:val="nil"/>
              <w:bottom w:val="nil"/>
              <w:right w:val="nil"/>
            </w:tcBorders>
            <w:noWrap/>
            <w:vAlign w:val="center"/>
            <w:hideMark/>
          </w:tcPr>
          <w:p w14:paraId="343A16EB"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16</w:t>
            </w:r>
          </w:p>
        </w:tc>
        <w:tc>
          <w:tcPr>
            <w:tcW w:w="971" w:type="dxa"/>
            <w:tcBorders>
              <w:top w:val="nil"/>
              <w:left w:val="nil"/>
              <w:bottom w:val="nil"/>
              <w:right w:val="nil"/>
            </w:tcBorders>
            <w:noWrap/>
            <w:vAlign w:val="center"/>
            <w:hideMark/>
          </w:tcPr>
          <w:p w14:paraId="338DF1FD"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22</w:t>
            </w:r>
          </w:p>
        </w:tc>
        <w:tc>
          <w:tcPr>
            <w:tcW w:w="972" w:type="dxa"/>
            <w:tcBorders>
              <w:top w:val="nil"/>
              <w:left w:val="nil"/>
              <w:bottom w:val="nil"/>
              <w:right w:val="nil"/>
            </w:tcBorders>
            <w:noWrap/>
            <w:vAlign w:val="center"/>
            <w:hideMark/>
          </w:tcPr>
          <w:p w14:paraId="67894EB9"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27</w:t>
            </w:r>
          </w:p>
        </w:tc>
        <w:tc>
          <w:tcPr>
            <w:tcW w:w="972" w:type="dxa"/>
            <w:tcBorders>
              <w:top w:val="nil"/>
              <w:left w:val="nil"/>
              <w:bottom w:val="nil"/>
              <w:right w:val="nil"/>
            </w:tcBorders>
            <w:noWrap/>
            <w:vAlign w:val="center"/>
            <w:hideMark/>
          </w:tcPr>
          <w:p w14:paraId="199E0AEB"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33</w:t>
            </w:r>
          </w:p>
        </w:tc>
        <w:tc>
          <w:tcPr>
            <w:tcW w:w="971" w:type="dxa"/>
            <w:tcBorders>
              <w:top w:val="nil"/>
              <w:left w:val="nil"/>
              <w:bottom w:val="nil"/>
              <w:right w:val="nil"/>
            </w:tcBorders>
            <w:noWrap/>
            <w:vAlign w:val="center"/>
            <w:hideMark/>
          </w:tcPr>
          <w:p w14:paraId="5F158893"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37</w:t>
            </w:r>
          </w:p>
        </w:tc>
        <w:tc>
          <w:tcPr>
            <w:tcW w:w="972" w:type="dxa"/>
            <w:tcBorders>
              <w:top w:val="nil"/>
              <w:left w:val="nil"/>
              <w:bottom w:val="nil"/>
              <w:right w:val="nil"/>
            </w:tcBorders>
            <w:noWrap/>
            <w:vAlign w:val="center"/>
            <w:hideMark/>
          </w:tcPr>
          <w:p w14:paraId="582559E0"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41</w:t>
            </w:r>
          </w:p>
        </w:tc>
        <w:tc>
          <w:tcPr>
            <w:tcW w:w="971" w:type="dxa"/>
            <w:tcBorders>
              <w:top w:val="nil"/>
              <w:left w:val="nil"/>
              <w:bottom w:val="nil"/>
              <w:right w:val="nil"/>
            </w:tcBorders>
            <w:noWrap/>
            <w:vAlign w:val="center"/>
            <w:hideMark/>
          </w:tcPr>
          <w:p w14:paraId="2BF5C47D"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44</w:t>
            </w:r>
          </w:p>
        </w:tc>
        <w:tc>
          <w:tcPr>
            <w:tcW w:w="972" w:type="dxa"/>
            <w:tcBorders>
              <w:top w:val="nil"/>
              <w:left w:val="nil"/>
              <w:bottom w:val="nil"/>
              <w:right w:val="nil"/>
            </w:tcBorders>
            <w:noWrap/>
            <w:vAlign w:val="center"/>
            <w:hideMark/>
          </w:tcPr>
          <w:p w14:paraId="0E7FA849"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47</w:t>
            </w:r>
          </w:p>
        </w:tc>
        <w:tc>
          <w:tcPr>
            <w:tcW w:w="556" w:type="dxa"/>
            <w:tcBorders>
              <w:top w:val="nil"/>
              <w:left w:val="nil"/>
              <w:bottom w:val="nil"/>
              <w:right w:val="nil"/>
            </w:tcBorders>
            <w:noWrap/>
            <w:vAlign w:val="center"/>
            <w:hideMark/>
          </w:tcPr>
          <w:p w14:paraId="5267A6D3"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50</w:t>
            </w:r>
          </w:p>
        </w:tc>
      </w:tr>
      <w:tr w:rsidR="008F3FEE" w:rsidRPr="008F3FEE" w14:paraId="724D7281" w14:textId="77777777" w:rsidTr="008F3FEE">
        <w:trPr>
          <w:trHeight w:val="335"/>
        </w:trPr>
        <w:tc>
          <w:tcPr>
            <w:tcW w:w="1702" w:type="dxa"/>
            <w:tcBorders>
              <w:top w:val="nil"/>
              <w:left w:val="nil"/>
              <w:bottom w:val="nil"/>
              <w:right w:val="nil"/>
            </w:tcBorders>
            <w:noWrap/>
            <w:vAlign w:val="center"/>
            <w:hideMark/>
          </w:tcPr>
          <w:p w14:paraId="287C50A2" w14:textId="77777777" w:rsidR="008F3FEE" w:rsidRPr="008F3FEE" w:rsidRDefault="008F3FEE" w:rsidP="00A40DCE">
            <w:pPr>
              <w:jc w:val="right"/>
              <w:rPr>
                <w:rFonts w:ascii="Calibri" w:eastAsia="PMingLiU" w:hAnsi="Calibri" w:cs="Calibri"/>
                <w:sz w:val="20"/>
                <w:szCs w:val="20"/>
              </w:rPr>
            </w:pPr>
            <w:r w:rsidRPr="008F3FEE">
              <w:rPr>
                <w:rFonts w:ascii="Calibri" w:eastAsia="PMingLiU" w:hAnsi="Calibri" w:cs="Calibri"/>
                <w:sz w:val="20"/>
                <w:szCs w:val="20"/>
              </w:rPr>
              <w:t>7,262 (100%)</w:t>
            </w:r>
          </w:p>
        </w:tc>
        <w:tc>
          <w:tcPr>
            <w:tcW w:w="971" w:type="dxa"/>
            <w:tcBorders>
              <w:top w:val="nil"/>
              <w:left w:val="nil"/>
              <w:bottom w:val="nil"/>
              <w:right w:val="nil"/>
            </w:tcBorders>
            <w:noWrap/>
            <w:vAlign w:val="center"/>
            <w:hideMark/>
          </w:tcPr>
          <w:p w14:paraId="442E3197"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10</w:t>
            </w:r>
          </w:p>
        </w:tc>
        <w:tc>
          <w:tcPr>
            <w:tcW w:w="972" w:type="dxa"/>
            <w:tcBorders>
              <w:top w:val="nil"/>
              <w:left w:val="nil"/>
              <w:bottom w:val="nil"/>
              <w:right w:val="nil"/>
            </w:tcBorders>
            <w:noWrap/>
            <w:vAlign w:val="center"/>
            <w:hideMark/>
          </w:tcPr>
          <w:p w14:paraId="3B31466C"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14</w:t>
            </w:r>
          </w:p>
        </w:tc>
        <w:tc>
          <w:tcPr>
            <w:tcW w:w="971" w:type="dxa"/>
            <w:tcBorders>
              <w:top w:val="nil"/>
              <w:left w:val="nil"/>
              <w:bottom w:val="nil"/>
              <w:right w:val="nil"/>
            </w:tcBorders>
            <w:noWrap/>
            <w:vAlign w:val="center"/>
            <w:hideMark/>
          </w:tcPr>
          <w:p w14:paraId="6C676B88"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18</w:t>
            </w:r>
          </w:p>
        </w:tc>
        <w:tc>
          <w:tcPr>
            <w:tcW w:w="972" w:type="dxa"/>
            <w:tcBorders>
              <w:top w:val="nil"/>
              <w:left w:val="nil"/>
              <w:bottom w:val="nil"/>
              <w:right w:val="nil"/>
            </w:tcBorders>
            <w:noWrap/>
            <w:vAlign w:val="center"/>
            <w:hideMark/>
          </w:tcPr>
          <w:p w14:paraId="5695397D"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22</w:t>
            </w:r>
          </w:p>
        </w:tc>
        <w:tc>
          <w:tcPr>
            <w:tcW w:w="972" w:type="dxa"/>
            <w:tcBorders>
              <w:top w:val="nil"/>
              <w:left w:val="nil"/>
              <w:bottom w:val="nil"/>
              <w:right w:val="nil"/>
            </w:tcBorders>
            <w:noWrap/>
            <w:vAlign w:val="center"/>
            <w:hideMark/>
          </w:tcPr>
          <w:p w14:paraId="35CB5EA1"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25</w:t>
            </w:r>
          </w:p>
        </w:tc>
        <w:tc>
          <w:tcPr>
            <w:tcW w:w="971" w:type="dxa"/>
            <w:tcBorders>
              <w:top w:val="nil"/>
              <w:left w:val="nil"/>
              <w:bottom w:val="nil"/>
              <w:right w:val="nil"/>
            </w:tcBorders>
            <w:noWrap/>
            <w:vAlign w:val="center"/>
            <w:hideMark/>
          </w:tcPr>
          <w:p w14:paraId="55FA27BF"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27</w:t>
            </w:r>
          </w:p>
        </w:tc>
        <w:tc>
          <w:tcPr>
            <w:tcW w:w="972" w:type="dxa"/>
            <w:tcBorders>
              <w:top w:val="nil"/>
              <w:left w:val="nil"/>
              <w:bottom w:val="nil"/>
              <w:right w:val="nil"/>
            </w:tcBorders>
            <w:noWrap/>
            <w:vAlign w:val="center"/>
            <w:hideMark/>
          </w:tcPr>
          <w:p w14:paraId="78D39B62"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30</w:t>
            </w:r>
          </w:p>
        </w:tc>
        <w:tc>
          <w:tcPr>
            <w:tcW w:w="971" w:type="dxa"/>
            <w:tcBorders>
              <w:top w:val="nil"/>
              <w:left w:val="nil"/>
              <w:bottom w:val="nil"/>
              <w:right w:val="nil"/>
            </w:tcBorders>
            <w:noWrap/>
            <w:vAlign w:val="center"/>
            <w:hideMark/>
          </w:tcPr>
          <w:p w14:paraId="68FCE600"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32</w:t>
            </w:r>
          </w:p>
        </w:tc>
        <w:tc>
          <w:tcPr>
            <w:tcW w:w="972" w:type="dxa"/>
            <w:tcBorders>
              <w:top w:val="nil"/>
              <w:left w:val="nil"/>
              <w:bottom w:val="nil"/>
              <w:right w:val="nil"/>
            </w:tcBorders>
            <w:noWrap/>
            <w:vAlign w:val="center"/>
            <w:hideMark/>
          </w:tcPr>
          <w:p w14:paraId="49108150"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34</w:t>
            </w:r>
          </w:p>
        </w:tc>
        <w:tc>
          <w:tcPr>
            <w:tcW w:w="556" w:type="dxa"/>
            <w:tcBorders>
              <w:top w:val="nil"/>
              <w:left w:val="nil"/>
              <w:bottom w:val="nil"/>
              <w:right w:val="nil"/>
            </w:tcBorders>
            <w:noWrap/>
            <w:vAlign w:val="center"/>
            <w:hideMark/>
          </w:tcPr>
          <w:p w14:paraId="193DC8CF"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35</w:t>
            </w:r>
          </w:p>
        </w:tc>
      </w:tr>
      <w:tr w:rsidR="008F3FEE" w:rsidRPr="008F3FEE" w14:paraId="6514A2F9" w14:textId="77777777" w:rsidTr="008F3FEE">
        <w:trPr>
          <w:trHeight w:val="335"/>
        </w:trPr>
        <w:tc>
          <w:tcPr>
            <w:tcW w:w="1702" w:type="dxa"/>
            <w:tcBorders>
              <w:top w:val="nil"/>
              <w:left w:val="nil"/>
              <w:bottom w:val="nil"/>
              <w:right w:val="nil"/>
            </w:tcBorders>
            <w:noWrap/>
            <w:vAlign w:val="center"/>
            <w:hideMark/>
          </w:tcPr>
          <w:p w14:paraId="202EBFBE" w14:textId="77777777" w:rsidR="008F3FEE" w:rsidRPr="008F3FEE" w:rsidRDefault="008F3FEE" w:rsidP="00A40DCE">
            <w:pPr>
              <w:jc w:val="right"/>
              <w:rPr>
                <w:rFonts w:ascii="Calibri" w:eastAsia="PMingLiU" w:hAnsi="Calibri" w:cs="Calibri"/>
                <w:sz w:val="20"/>
                <w:szCs w:val="20"/>
              </w:rPr>
            </w:pPr>
            <w:r w:rsidRPr="008F3FEE">
              <w:rPr>
                <w:rFonts w:ascii="Calibri" w:eastAsia="PMingLiU" w:hAnsi="Calibri" w:cs="Calibri"/>
                <w:sz w:val="20"/>
                <w:szCs w:val="20"/>
              </w:rPr>
              <w:t>7,988 (110%)</w:t>
            </w:r>
          </w:p>
        </w:tc>
        <w:tc>
          <w:tcPr>
            <w:tcW w:w="971" w:type="dxa"/>
            <w:tcBorders>
              <w:top w:val="nil"/>
              <w:left w:val="nil"/>
              <w:bottom w:val="nil"/>
              <w:right w:val="nil"/>
            </w:tcBorders>
            <w:noWrap/>
            <w:vAlign w:val="center"/>
            <w:hideMark/>
          </w:tcPr>
          <w:p w14:paraId="3C7E9FAF"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10</w:t>
            </w:r>
          </w:p>
        </w:tc>
        <w:tc>
          <w:tcPr>
            <w:tcW w:w="972" w:type="dxa"/>
            <w:tcBorders>
              <w:top w:val="nil"/>
              <w:left w:val="nil"/>
              <w:bottom w:val="nil"/>
              <w:right w:val="nil"/>
            </w:tcBorders>
            <w:noWrap/>
            <w:vAlign w:val="center"/>
            <w:hideMark/>
          </w:tcPr>
          <w:p w14:paraId="60C0D73C"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12</w:t>
            </w:r>
          </w:p>
        </w:tc>
        <w:tc>
          <w:tcPr>
            <w:tcW w:w="971" w:type="dxa"/>
            <w:tcBorders>
              <w:top w:val="nil"/>
              <w:left w:val="nil"/>
              <w:bottom w:val="nil"/>
              <w:right w:val="nil"/>
            </w:tcBorders>
            <w:noWrap/>
            <w:vAlign w:val="center"/>
            <w:hideMark/>
          </w:tcPr>
          <w:p w14:paraId="610E10C1"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15</w:t>
            </w:r>
          </w:p>
        </w:tc>
        <w:tc>
          <w:tcPr>
            <w:tcW w:w="972" w:type="dxa"/>
            <w:tcBorders>
              <w:top w:val="nil"/>
              <w:left w:val="nil"/>
              <w:bottom w:val="nil"/>
              <w:right w:val="nil"/>
            </w:tcBorders>
            <w:noWrap/>
            <w:vAlign w:val="center"/>
            <w:hideMark/>
          </w:tcPr>
          <w:p w14:paraId="73A5B4E5"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16</w:t>
            </w:r>
          </w:p>
        </w:tc>
        <w:tc>
          <w:tcPr>
            <w:tcW w:w="972" w:type="dxa"/>
            <w:tcBorders>
              <w:top w:val="nil"/>
              <w:left w:val="nil"/>
              <w:bottom w:val="nil"/>
              <w:right w:val="nil"/>
            </w:tcBorders>
            <w:noWrap/>
            <w:vAlign w:val="center"/>
            <w:hideMark/>
          </w:tcPr>
          <w:p w14:paraId="3719ADE7"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18</w:t>
            </w:r>
          </w:p>
        </w:tc>
        <w:tc>
          <w:tcPr>
            <w:tcW w:w="971" w:type="dxa"/>
            <w:tcBorders>
              <w:top w:val="nil"/>
              <w:left w:val="nil"/>
              <w:bottom w:val="nil"/>
              <w:right w:val="nil"/>
            </w:tcBorders>
            <w:noWrap/>
            <w:vAlign w:val="center"/>
            <w:hideMark/>
          </w:tcPr>
          <w:p w14:paraId="6F31425E"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19</w:t>
            </w:r>
          </w:p>
        </w:tc>
        <w:tc>
          <w:tcPr>
            <w:tcW w:w="972" w:type="dxa"/>
            <w:tcBorders>
              <w:top w:val="nil"/>
              <w:left w:val="nil"/>
              <w:bottom w:val="nil"/>
              <w:right w:val="nil"/>
            </w:tcBorders>
            <w:noWrap/>
            <w:vAlign w:val="center"/>
            <w:hideMark/>
          </w:tcPr>
          <w:p w14:paraId="4FCC0CFA"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20</w:t>
            </w:r>
          </w:p>
        </w:tc>
        <w:tc>
          <w:tcPr>
            <w:tcW w:w="971" w:type="dxa"/>
            <w:tcBorders>
              <w:top w:val="nil"/>
              <w:left w:val="nil"/>
              <w:bottom w:val="nil"/>
              <w:right w:val="nil"/>
            </w:tcBorders>
            <w:noWrap/>
            <w:vAlign w:val="center"/>
            <w:hideMark/>
          </w:tcPr>
          <w:p w14:paraId="621AC456"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21</w:t>
            </w:r>
          </w:p>
        </w:tc>
        <w:tc>
          <w:tcPr>
            <w:tcW w:w="972" w:type="dxa"/>
            <w:tcBorders>
              <w:top w:val="nil"/>
              <w:left w:val="nil"/>
              <w:bottom w:val="nil"/>
              <w:right w:val="nil"/>
            </w:tcBorders>
            <w:noWrap/>
            <w:vAlign w:val="center"/>
            <w:hideMark/>
          </w:tcPr>
          <w:p w14:paraId="37EAF833"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22</w:t>
            </w:r>
          </w:p>
        </w:tc>
        <w:tc>
          <w:tcPr>
            <w:tcW w:w="556" w:type="dxa"/>
            <w:tcBorders>
              <w:top w:val="nil"/>
              <w:left w:val="nil"/>
              <w:bottom w:val="nil"/>
              <w:right w:val="nil"/>
            </w:tcBorders>
            <w:noWrap/>
            <w:vAlign w:val="center"/>
            <w:hideMark/>
          </w:tcPr>
          <w:p w14:paraId="4C409804"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22</w:t>
            </w:r>
          </w:p>
        </w:tc>
      </w:tr>
      <w:tr w:rsidR="008F3FEE" w:rsidRPr="008F3FEE" w14:paraId="7E197428" w14:textId="77777777" w:rsidTr="008F3FEE">
        <w:trPr>
          <w:trHeight w:val="335"/>
        </w:trPr>
        <w:tc>
          <w:tcPr>
            <w:tcW w:w="1702" w:type="dxa"/>
            <w:tcBorders>
              <w:top w:val="nil"/>
              <w:left w:val="nil"/>
              <w:bottom w:val="nil"/>
              <w:right w:val="nil"/>
            </w:tcBorders>
            <w:noWrap/>
            <w:vAlign w:val="center"/>
            <w:hideMark/>
          </w:tcPr>
          <w:p w14:paraId="63BD1C45" w14:textId="77777777" w:rsidR="008F3FEE" w:rsidRPr="008F3FEE" w:rsidRDefault="008F3FEE" w:rsidP="00A40DCE">
            <w:pPr>
              <w:jc w:val="right"/>
              <w:rPr>
                <w:rFonts w:ascii="Calibri" w:eastAsia="PMingLiU" w:hAnsi="Calibri" w:cs="Calibri"/>
                <w:sz w:val="20"/>
                <w:szCs w:val="20"/>
              </w:rPr>
            </w:pPr>
            <w:r w:rsidRPr="008F3FEE">
              <w:rPr>
                <w:rFonts w:ascii="Calibri" w:eastAsia="PMingLiU" w:hAnsi="Calibri" w:cs="Calibri"/>
                <w:sz w:val="20"/>
                <w:szCs w:val="20"/>
              </w:rPr>
              <w:t>8,714 (120%)</w:t>
            </w:r>
          </w:p>
        </w:tc>
        <w:tc>
          <w:tcPr>
            <w:tcW w:w="971" w:type="dxa"/>
            <w:tcBorders>
              <w:top w:val="nil"/>
              <w:left w:val="nil"/>
              <w:bottom w:val="nil"/>
              <w:right w:val="nil"/>
            </w:tcBorders>
            <w:noWrap/>
            <w:vAlign w:val="center"/>
            <w:hideMark/>
          </w:tcPr>
          <w:p w14:paraId="68F27FE5"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8</w:t>
            </w:r>
          </w:p>
        </w:tc>
        <w:tc>
          <w:tcPr>
            <w:tcW w:w="972" w:type="dxa"/>
            <w:tcBorders>
              <w:top w:val="nil"/>
              <w:left w:val="nil"/>
              <w:bottom w:val="nil"/>
              <w:right w:val="nil"/>
            </w:tcBorders>
            <w:noWrap/>
            <w:vAlign w:val="center"/>
            <w:hideMark/>
          </w:tcPr>
          <w:p w14:paraId="3A21658F"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9</w:t>
            </w:r>
          </w:p>
        </w:tc>
        <w:tc>
          <w:tcPr>
            <w:tcW w:w="971" w:type="dxa"/>
            <w:tcBorders>
              <w:top w:val="nil"/>
              <w:left w:val="nil"/>
              <w:bottom w:val="nil"/>
              <w:right w:val="nil"/>
            </w:tcBorders>
            <w:noWrap/>
            <w:vAlign w:val="center"/>
            <w:hideMark/>
          </w:tcPr>
          <w:p w14:paraId="2E41F1F9"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11</w:t>
            </w:r>
          </w:p>
        </w:tc>
        <w:tc>
          <w:tcPr>
            <w:tcW w:w="972" w:type="dxa"/>
            <w:tcBorders>
              <w:top w:val="nil"/>
              <w:left w:val="nil"/>
              <w:bottom w:val="nil"/>
              <w:right w:val="nil"/>
            </w:tcBorders>
            <w:noWrap/>
            <w:vAlign w:val="center"/>
            <w:hideMark/>
          </w:tcPr>
          <w:p w14:paraId="32EC9AD3"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11</w:t>
            </w:r>
          </w:p>
        </w:tc>
        <w:tc>
          <w:tcPr>
            <w:tcW w:w="972" w:type="dxa"/>
            <w:tcBorders>
              <w:top w:val="nil"/>
              <w:left w:val="nil"/>
              <w:bottom w:val="nil"/>
              <w:right w:val="nil"/>
            </w:tcBorders>
            <w:noWrap/>
            <w:vAlign w:val="center"/>
            <w:hideMark/>
          </w:tcPr>
          <w:p w14:paraId="39FC616D"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12</w:t>
            </w:r>
          </w:p>
        </w:tc>
        <w:tc>
          <w:tcPr>
            <w:tcW w:w="971" w:type="dxa"/>
            <w:tcBorders>
              <w:top w:val="nil"/>
              <w:left w:val="nil"/>
              <w:bottom w:val="nil"/>
              <w:right w:val="nil"/>
            </w:tcBorders>
            <w:noWrap/>
            <w:vAlign w:val="center"/>
            <w:hideMark/>
          </w:tcPr>
          <w:p w14:paraId="22326519"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12</w:t>
            </w:r>
          </w:p>
        </w:tc>
        <w:tc>
          <w:tcPr>
            <w:tcW w:w="972" w:type="dxa"/>
            <w:tcBorders>
              <w:top w:val="nil"/>
              <w:left w:val="nil"/>
              <w:bottom w:val="nil"/>
              <w:right w:val="nil"/>
            </w:tcBorders>
            <w:noWrap/>
            <w:vAlign w:val="center"/>
            <w:hideMark/>
          </w:tcPr>
          <w:p w14:paraId="025D230A"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12</w:t>
            </w:r>
          </w:p>
        </w:tc>
        <w:tc>
          <w:tcPr>
            <w:tcW w:w="971" w:type="dxa"/>
            <w:tcBorders>
              <w:top w:val="nil"/>
              <w:left w:val="nil"/>
              <w:bottom w:val="nil"/>
              <w:right w:val="nil"/>
            </w:tcBorders>
            <w:noWrap/>
            <w:vAlign w:val="center"/>
            <w:hideMark/>
          </w:tcPr>
          <w:p w14:paraId="4A15D787"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13</w:t>
            </w:r>
          </w:p>
        </w:tc>
        <w:tc>
          <w:tcPr>
            <w:tcW w:w="972" w:type="dxa"/>
            <w:tcBorders>
              <w:top w:val="nil"/>
              <w:left w:val="nil"/>
              <w:bottom w:val="nil"/>
              <w:right w:val="nil"/>
            </w:tcBorders>
            <w:noWrap/>
            <w:vAlign w:val="center"/>
            <w:hideMark/>
          </w:tcPr>
          <w:p w14:paraId="42FA25EB"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12</w:t>
            </w:r>
          </w:p>
        </w:tc>
        <w:tc>
          <w:tcPr>
            <w:tcW w:w="556" w:type="dxa"/>
            <w:tcBorders>
              <w:top w:val="nil"/>
              <w:left w:val="nil"/>
              <w:bottom w:val="nil"/>
              <w:right w:val="nil"/>
            </w:tcBorders>
            <w:noWrap/>
            <w:vAlign w:val="center"/>
            <w:hideMark/>
          </w:tcPr>
          <w:p w14:paraId="118D8AFB"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12</w:t>
            </w:r>
          </w:p>
        </w:tc>
      </w:tr>
      <w:tr w:rsidR="008F3FEE" w:rsidRPr="008F3FEE" w14:paraId="66EB274E" w14:textId="77777777" w:rsidTr="008F3FEE">
        <w:trPr>
          <w:trHeight w:val="335"/>
        </w:trPr>
        <w:tc>
          <w:tcPr>
            <w:tcW w:w="1702" w:type="dxa"/>
            <w:tcBorders>
              <w:top w:val="nil"/>
              <w:left w:val="nil"/>
              <w:right w:val="nil"/>
            </w:tcBorders>
            <w:noWrap/>
            <w:vAlign w:val="center"/>
            <w:hideMark/>
          </w:tcPr>
          <w:p w14:paraId="318A0C7B" w14:textId="77777777" w:rsidR="008F3FEE" w:rsidRPr="008F3FEE" w:rsidRDefault="008F3FEE" w:rsidP="00A40DCE">
            <w:pPr>
              <w:jc w:val="right"/>
              <w:rPr>
                <w:rFonts w:ascii="Calibri" w:eastAsia="PMingLiU" w:hAnsi="Calibri" w:cs="Calibri"/>
                <w:sz w:val="20"/>
                <w:szCs w:val="20"/>
              </w:rPr>
            </w:pPr>
            <w:r w:rsidRPr="008F3FEE">
              <w:rPr>
                <w:rFonts w:ascii="Calibri" w:eastAsia="PMingLiU" w:hAnsi="Calibri" w:cs="Calibri"/>
                <w:sz w:val="20"/>
                <w:szCs w:val="20"/>
              </w:rPr>
              <w:t>9,440 (130%)</w:t>
            </w:r>
          </w:p>
        </w:tc>
        <w:tc>
          <w:tcPr>
            <w:tcW w:w="971" w:type="dxa"/>
            <w:tcBorders>
              <w:top w:val="nil"/>
              <w:left w:val="nil"/>
              <w:right w:val="nil"/>
            </w:tcBorders>
            <w:noWrap/>
            <w:vAlign w:val="center"/>
            <w:hideMark/>
          </w:tcPr>
          <w:p w14:paraId="180D9E88"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w:t>
            </w:r>
          </w:p>
        </w:tc>
        <w:tc>
          <w:tcPr>
            <w:tcW w:w="972" w:type="dxa"/>
            <w:tcBorders>
              <w:top w:val="nil"/>
              <w:left w:val="nil"/>
              <w:right w:val="nil"/>
            </w:tcBorders>
            <w:noWrap/>
            <w:vAlign w:val="center"/>
            <w:hideMark/>
          </w:tcPr>
          <w:p w14:paraId="5D8784B2"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w:t>
            </w:r>
          </w:p>
        </w:tc>
        <w:tc>
          <w:tcPr>
            <w:tcW w:w="971" w:type="dxa"/>
            <w:tcBorders>
              <w:top w:val="nil"/>
              <w:left w:val="nil"/>
              <w:right w:val="nil"/>
            </w:tcBorders>
            <w:noWrap/>
            <w:vAlign w:val="center"/>
            <w:hideMark/>
          </w:tcPr>
          <w:p w14:paraId="32FA90D5"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w:t>
            </w:r>
          </w:p>
        </w:tc>
        <w:tc>
          <w:tcPr>
            <w:tcW w:w="972" w:type="dxa"/>
            <w:tcBorders>
              <w:top w:val="nil"/>
              <w:left w:val="nil"/>
              <w:right w:val="nil"/>
            </w:tcBorders>
            <w:noWrap/>
            <w:vAlign w:val="center"/>
            <w:hideMark/>
          </w:tcPr>
          <w:p w14:paraId="519311FF"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7</w:t>
            </w:r>
          </w:p>
        </w:tc>
        <w:tc>
          <w:tcPr>
            <w:tcW w:w="972" w:type="dxa"/>
            <w:tcBorders>
              <w:top w:val="nil"/>
              <w:left w:val="nil"/>
              <w:right w:val="nil"/>
            </w:tcBorders>
            <w:noWrap/>
            <w:vAlign w:val="center"/>
            <w:hideMark/>
          </w:tcPr>
          <w:p w14:paraId="12263C94"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w:t>
            </w:r>
          </w:p>
        </w:tc>
        <w:tc>
          <w:tcPr>
            <w:tcW w:w="971" w:type="dxa"/>
            <w:tcBorders>
              <w:top w:val="nil"/>
              <w:left w:val="nil"/>
              <w:right w:val="nil"/>
            </w:tcBorders>
            <w:noWrap/>
            <w:vAlign w:val="center"/>
            <w:hideMark/>
          </w:tcPr>
          <w:p w14:paraId="5FEEC48B"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w:t>
            </w:r>
          </w:p>
        </w:tc>
        <w:tc>
          <w:tcPr>
            <w:tcW w:w="972" w:type="dxa"/>
            <w:tcBorders>
              <w:top w:val="nil"/>
              <w:left w:val="nil"/>
              <w:right w:val="nil"/>
            </w:tcBorders>
            <w:noWrap/>
            <w:vAlign w:val="center"/>
            <w:hideMark/>
          </w:tcPr>
          <w:p w14:paraId="65F6ECF9"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w:t>
            </w:r>
          </w:p>
        </w:tc>
        <w:tc>
          <w:tcPr>
            <w:tcW w:w="971" w:type="dxa"/>
            <w:tcBorders>
              <w:top w:val="nil"/>
              <w:left w:val="nil"/>
              <w:right w:val="nil"/>
            </w:tcBorders>
            <w:noWrap/>
            <w:vAlign w:val="center"/>
            <w:hideMark/>
          </w:tcPr>
          <w:p w14:paraId="4CEDFC8D"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w:t>
            </w:r>
          </w:p>
        </w:tc>
        <w:tc>
          <w:tcPr>
            <w:tcW w:w="972" w:type="dxa"/>
            <w:tcBorders>
              <w:top w:val="nil"/>
              <w:left w:val="nil"/>
              <w:right w:val="nil"/>
            </w:tcBorders>
            <w:noWrap/>
            <w:vAlign w:val="center"/>
            <w:hideMark/>
          </w:tcPr>
          <w:p w14:paraId="60FE7CDF"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w:t>
            </w:r>
          </w:p>
        </w:tc>
        <w:tc>
          <w:tcPr>
            <w:tcW w:w="556" w:type="dxa"/>
            <w:tcBorders>
              <w:top w:val="nil"/>
              <w:left w:val="nil"/>
              <w:right w:val="nil"/>
            </w:tcBorders>
            <w:noWrap/>
            <w:vAlign w:val="center"/>
            <w:hideMark/>
          </w:tcPr>
          <w:p w14:paraId="1E095413"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6</w:t>
            </w:r>
          </w:p>
        </w:tc>
      </w:tr>
      <w:tr w:rsidR="008F3FEE" w:rsidRPr="008F3FEE" w14:paraId="51B1F39F" w14:textId="77777777" w:rsidTr="008F3FEE">
        <w:trPr>
          <w:trHeight w:val="335"/>
        </w:trPr>
        <w:tc>
          <w:tcPr>
            <w:tcW w:w="1702" w:type="dxa"/>
            <w:tcBorders>
              <w:top w:val="nil"/>
              <w:left w:val="nil"/>
              <w:bottom w:val="single" w:sz="4" w:space="0" w:color="auto"/>
              <w:right w:val="nil"/>
            </w:tcBorders>
            <w:noWrap/>
            <w:vAlign w:val="center"/>
            <w:hideMark/>
          </w:tcPr>
          <w:p w14:paraId="664FC356" w14:textId="77777777" w:rsidR="008F3FEE" w:rsidRPr="008F3FEE" w:rsidRDefault="008F3FEE" w:rsidP="00A40DCE">
            <w:pPr>
              <w:jc w:val="right"/>
              <w:rPr>
                <w:rFonts w:ascii="Calibri" w:eastAsia="PMingLiU" w:hAnsi="Calibri" w:cs="Calibri"/>
                <w:sz w:val="20"/>
                <w:szCs w:val="20"/>
              </w:rPr>
            </w:pPr>
            <w:r w:rsidRPr="008F3FEE">
              <w:rPr>
                <w:rFonts w:ascii="Calibri" w:eastAsia="PMingLiU" w:hAnsi="Calibri" w:cs="Calibri"/>
                <w:sz w:val="20"/>
                <w:szCs w:val="20"/>
              </w:rPr>
              <w:t>10,167 (140%)</w:t>
            </w:r>
          </w:p>
        </w:tc>
        <w:tc>
          <w:tcPr>
            <w:tcW w:w="971" w:type="dxa"/>
            <w:tcBorders>
              <w:top w:val="nil"/>
              <w:left w:val="nil"/>
              <w:bottom w:val="single" w:sz="4" w:space="0" w:color="auto"/>
              <w:right w:val="nil"/>
            </w:tcBorders>
            <w:noWrap/>
            <w:vAlign w:val="center"/>
            <w:hideMark/>
          </w:tcPr>
          <w:p w14:paraId="1D059894"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4</w:t>
            </w:r>
          </w:p>
        </w:tc>
        <w:tc>
          <w:tcPr>
            <w:tcW w:w="972" w:type="dxa"/>
            <w:tcBorders>
              <w:top w:val="nil"/>
              <w:left w:val="nil"/>
              <w:bottom w:val="single" w:sz="4" w:space="0" w:color="auto"/>
              <w:right w:val="nil"/>
            </w:tcBorders>
            <w:noWrap/>
            <w:vAlign w:val="center"/>
            <w:hideMark/>
          </w:tcPr>
          <w:p w14:paraId="7ABB338A"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4</w:t>
            </w:r>
          </w:p>
        </w:tc>
        <w:tc>
          <w:tcPr>
            <w:tcW w:w="971" w:type="dxa"/>
            <w:tcBorders>
              <w:top w:val="nil"/>
              <w:left w:val="nil"/>
              <w:bottom w:val="single" w:sz="4" w:space="0" w:color="auto"/>
              <w:right w:val="nil"/>
            </w:tcBorders>
            <w:noWrap/>
            <w:vAlign w:val="center"/>
            <w:hideMark/>
          </w:tcPr>
          <w:p w14:paraId="7AB523CC"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4</w:t>
            </w:r>
          </w:p>
        </w:tc>
        <w:tc>
          <w:tcPr>
            <w:tcW w:w="972" w:type="dxa"/>
            <w:tcBorders>
              <w:top w:val="nil"/>
              <w:left w:val="nil"/>
              <w:bottom w:val="single" w:sz="4" w:space="0" w:color="auto"/>
              <w:right w:val="nil"/>
            </w:tcBorders>
            <w:noWrap/>
            <w:vAlign w:val="center"/>
            <w:hideMark/>
          </w:tcPr>
          <w:p w14:paraId="122B5441"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4</w:t>
            </w:r>
          </w:p>
        </w:tc>
        <w:tc>
          <w:tcPr>
            <w:tcW w:w="972" w:type="dxa"/>
            <w:tcBorders>
              <w:top w:val="nil"/>
              <w:left w:val="nil"/>
              <w:bottom w:val="single" w:sz="4" w:space="0" w:color="auto"/>
              <w:right w:val="nil"/>
            </w:tcBorders>
            <w:noWrap/>
            <w:vAlign w:val="center"/>
            <w:hideMark/>
          </w:tcPr>
          <w:p w14:paraId="234C00EE"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w:t>
            </w:r>
          </w:p>
        </w:tc>
        <w:tc>
          <w:tcPr>
            <w:tcW w:w="971" w:type="dxa"/>
            <w:tcBorders>
              <w:top w:val="nil"/>
              <w:left w:val="nil"/>
              <w:bottom w:val="single" w:sz="4" w:space="0" w:color="auto"/>
              <w:right w:val="nil"/>
            </w:tcBorders>
            <w:noWrap/>
            <w:vAlign w:val="center"/>
            <w:hideMark/>
          </w:tcPr>
          <w:p w14:paraId="35CC7098"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w:t>
            </w:r>
          </w:p>
        </w:tc>
        <w:tc>
          <w:tcPr>
            <w:tcW w:w="972" w:type="dxa"/>
            <w:tcBorders>
              <w:top w:val="nil"/>
              <w:left w:val="nil"/>
              <w:bottom w:val="single" w:sz="4" w:space="0" w:color="auto"/>
              <w:right w:val="nil"/>
            </w:tcBorders>
            <w:noWrap/>
            <w:vAlign w:val="center"/>
            <w:hideMark/>
          </w:tcPr>
          <w:p w14:paraId="7F0851A7"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w:t>
            </w:r>
          </w:p>
        </w:tc>
        <w:tc>
          <w:tcPr>
            <w:tcW w:w="971" w:type="dxa"/>
            <w:tcBorders>
              <w:top w:val="nil"/>
              <w:left w:val="nil"/>
              <w:bottom w:val="single" w:sz="4" w:space="0" w:color="auto"/>
              <w:right w:val="nil"/>
            </w:tcBorders>
            <w:noWrap/>
            <w:vAlign w:val="center"/>
            <w:hideMark/>
          </w:tcPr>
          <w:p w14:paraId="7D317D15"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w:t>
            </w:r>
          </w:p>
        </w:tc>
        <w:tc>
          <w:tcPr>
            <w:tcW w:w="972" w:type="dxa"/>
            <w:tcBorders>
              <w:top w:val="nil"/>
              <w:left w:val="nil"/>
              <w:bottom w:val="single" w:sz="4" w:space="0" w:color="auto"/>
              <w:right w:val="nil"/>
            </w:tcBorders>
            <w:noWrap/>
            <w:vAlign w:val="center"/>
            <w:hideMark/>
          </w:tcPr>
          <w:p w14:paraId="6E9893EC"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3</w:t>
            </w:r>
          </w:p>
        </w:tc>
        <w:tc>
          <w:tcPr>
            <w:tcW w:w="556" w:type="dxa"/>
            <w:tcBorders>
              <w:top w:val="nil"/>
              <w:left w:val="nil"/>
              <w:bottom w:val="single" w:sz="4" w:space="0" w:color="auto"/>
              <w:right w:val="nil"/>
            </w:tcBorders>
            <w:noWrap/>
            <w:vAlign w:val="center"/>
            <w:hideMark/>
          </w:tcPr>
          <w:p w14:paraId="6E6FCA54" w14:textId="77777777" w:rsidR="008F3FEE" w:rsidRPr="008F3FEE" w:rsidRDefault="008F3FEE" w:rsidP="00A40DCE">
            <w:pPr>
              <w:jc w:val="center"/>
              <w:rPr>
                <w:rFonts w:ascii="Calibri" w:eastAsia="PMingLiU" w:hAnsi="Calibri" w:cs="Calibri"/>
                <w:sz w:val="20"/>
                <w:szCs w:val="20"/>
              </w:rPr>
            </w:pPr>
            <w:r w:rsidRPr="008F3FEE">
              <w:rPr>
                <w:rFonts w:ascii="Calibri" w:hAnsi="Calibri" w:cs="Calibri"/>
                <w:color w:val="000000"/>
                <w:sz w:val="20"/>
                <w:szCs w:val="20"/>
              </w:rPr>
              <w:t>2</w:t>
            </w:r>
          </w:p>
        </w:tc>
      </w:tr>
    </w:tbl>
    <w:p w14:paraId="32DC0563" w14:textId="77777777" w:rsidR="008F3FEE" w:rsidRPr="008F3FEE" w:rsidRDefault="008F3FEE" w:rsidP="008F3FEE">
      <w:pPr>
        <w:keepNext/>
        <w:keepLines/>
        <w:spacing w:before="240" w:after="120"/>
        <w:jc w:val="both"/>
        <w:rPr>
          <w:rFonts w:ascii="Calibri" w:hAnsi="Calibri" w:cs="Calibri"/>
          <w:sz w:val="20"/>
          <w:szCs w:val="20"/>
        </w:rPr>
      </w:pPr>
    </w:p>
    <w:p w14:paraId="3DC76CA6" w14:textId="77777777" w:rsidR="008F3FEE" w:rsidRPr="008F3FEE" w:rsidRDefault="008F3FEE" w:rsidP="008F3FEE">
      <w:pPr>
        <w:keepNext/>
        <w:keepLines/>
        <w:spacing w:before="360" w:after="120"/>
        <w:jc w:val="both"/>
        <w:rPr>
          <w:rFonts w:ascii="Calibri" w:hAnsi="Calibri" w:cs="Calibri"/>
          <w:sz w:val="20"/>
          <w:szCs w:val="20"/>
          <w:lang w:eastAsia="en-GB"/>
        </w:rPr>
      </w:pPr>
      <w:r w:rsidRPr="008F3FEE">
        <w:rPr>
          <w:rFonts w:ascii="Calibri" w:hAnsi="Calibri" w:cs="Calibri"/>
          <w:b/>
          <w:sz w:val="20"/>
          <w:szCs w:val="20"/>
        </w:rPr>
        <w:t xml:space="preserve">Table 3. </w:t>
      </w:r>
      <w:r w:rsidRPr="008F3FEE">
        <w:rPr>
          <w:rFonts w:ascii="Calibri" w:hAnsi="Calibri" w:cs="Calibri"/>
          <w:sz w:val="20"/>
          <w:szCs w:val="20"/>
        </w:rPr>
        <w:t xml:space="preserve">Blue marlin: JABBA Indian Ocean assessment Kobe II Strategy Matrix. </w:t>
      </w:r>
      <w:r w:rsidRPr="008F3FEE">
        <w:rPr>
          <w:rFonts w:ascii="Calibri" w:hAnsi="Calibri" w:cs="Calibri"/>
          <w:sz w:val="20"/>
          <w:szCs w:val="20"/>
          <w:lang w:eastAsia="en-GB"/>
        </w:rPr>
        <w:t>Probability (</w:t>
      </w:r>
      <w:r w:rsidRPr="008F3FEE">
        <w:rPr>
          <w:rFonts w:ascii="Calibri" w:hAnsi="Calibri" w:cs="Calibri"/>
          <w:kern w:val="24"/>
          <w:sz w:val="20"/>
          <w:szCs w:val="20"/>
          <w:lang w:eastAsia="en-AU"/>
        </w:rPr>
        <w:t xml:space="preserve">percentage) </w:t>
      </w:r>
      <w:r w:rsidRPr="008F3FEE">
        <w:rPr>
          <w:rFonts w:ascii="Calibri" w:hAnsi="Calibri" w:cs="Calibri"/>
          <w:sz w:val="20"/>
          <w:szCs w:val="20"/>
          <w:lang w:eastAsia="en-GB"/>
        </w:rPr>
        <w:t>of violating the MSY-based target reference points for nine constant catch projections relative to the average catch level from 2021 to 2023 (7,262 t)*, ± 10%, ± 20%, ± 30% ± 40%) projected for 3 and 10 years.</w:t>
      </w:r>
    </w:p>
    <w:p w14:paraId="269FF34C" w14:textId="77777777" w:rsidR="008F3FEE" w:rsidRPr="008F3FEE" w:rsidRDefault="008F3FEE" w:rsidP="008F3FEE">
      <w:pPr>
        <w:rPr>
          <w:rFonts w:ascii="Calibri" w:hAnsi="Calibri" w:cs="Calibri"/>
          <w:sz w:val="20"/>
          <w:szCs w:val="20"/>
        </w:rPr>
      </w:pPr>
    </w:p>
    <w:tbl>
      <w:tblPr>
        <w:tblW w:w="10742" w:type="dxa"/>
        <w:jc w:val="center"/>
        <w:tblCellMar>
          <w:left w:w="0" w:type="dxa"/>
          <w:right w:w="0" w:type="dxa"/>
        </w:tblCellMar>
        <w:tblLook w:val="0600" w:firstRow="0" w:lastRow="0" w:firstColumn="0" w:lastColumn="0" w:noHBand="1" w:noVBand="1"/>
      </w:tblPr>
      <w:tblGrid>
        <w:gridCol w:w="1731"/>
        <w:gridCol w:w="871"/>
        <w:gridCol w:w="1093"/>
        <w:gridCol w:w="796"/>
        <w:gridCol w:w="877"/>
        <w:gridCol w:w="1225"/>
        <w:gridCol w:w="877"/>
        <w:gridCol w:w="1177"/>
        <w:gridCol w:w="1218"/>
        <w:gridCol w:w="877"/>
      </w:tblGrid>
      <w:tr w:rsidR="008F3FEE" w:rsidRPr="008F3FEE" w14:paraId="58352DE2" w14:textId="77777777" w:rsidTr="00A40DCE">
        <w:trPr>
          <w:trHeight w:val="808"/>
          <w:jc w:val="center"/>
        </w:trPr>
        <w:tc>
          <w:tcPr>
            <w:tcW w:w="1731" w:type="dxa"/>
            <w:tcBorders>
              <w:top w:val="single" w:sz="4" w:space="0" w:color="auto"/>
              <w:bottom w:val="single" w:sz="4" w:space="0" w:color="auto"/>
            </w:tcBorders>
            <w:tcMar>
              <w:top w:w="15" w:type="dxa"/>
              <w:left w:w="108" w:type="dxa"/>
              <w:bottom w:w="0" w:type="dxa"/>
              <w:right w:w="108" w:type="dxa"/>
            </w:tcMar>
            <w:vAlign w:val="center"/>
          </w:tcPr>
          <w:p w14:paraId="61458007" w14:textId="77777777" w:rsidR="008F3FEE" w:rsidRPr="008F3FEE" w:rsidRDefault="008F3FEE" w:rsidP="00A40DCE">
            <w:pPr>
              <w:jc w:val="center"/>
              <w:rPr>
                <w:rFonts w:ascii="Calibri" w:hAnsi="Calibri" w:cs="Calibri"/>
                <w:b/>
                <w:sz w:val="20"/>
                <w:szCs w:val="20"/>
                <w:lang w:eastAsia="en-AU"/>
              </w:rPr>
            </w:pPr>
            <w:r w:rsidRPr="008F3FEE">
              <w:rPr>
                <w:rFonts w:ascii="Calibri" w:hAnsi="Calibri" w:cs="Calibri"/>
                <w:b/>
                <w:sz w:val="20"/>
                <w:szCs w:val="20"/>
                <w:lang w:eastAsia="en-AU"/>
              </w:rPr>
              <w:t>Reference point and projection timeframe</w:t>
            </w:r>
          </w:p>
        </w:tc>
        <w:tc>
          <w:tcPr>
            <w:tcW w:w="9011" w:type="dxa"/>
            <w:gridSpan w:val="9"/>
            <w:tcBorders>
              <w:top w:val="single" w:sz="4" w:space="0" w:color="auto"/>
              <w:bottom w:val="single" w:sz="4" w:space="0" w:color="auto"/>
            </w:tcBorders>
            <w:vAlign w:val="center"/>
          </w:tcPr>
          <w:p w14:paraId="424D6914" w14:textId="77777777" w:rsidR="008F3FEE" w:rsidRPr="008F3FEE" w:rsidRDefault="008F3FEE" w:rsidP="00A40DCE">
            <w:pPr>
              <w:jc w:val="center"/>
              <w:rPr>
                <w:rFonts w:ascii="Calibri" w:hAnsi="Calibri" w:cs="Calibri"/>
                <w:b/>
                <w:sz w:val="20"/>
                <w:szCs w:val="20"/>
                <w:lang w:eastAsia="en-AU"/>
              </w:rPr>
            </w:pPr>
            <w:r w:rsidRPr="008F3FEE">
              <w:rPr>
                <w:rFonts w:ascii="Calibri" w:hAnsi="Calibri" w:cs="Calibri"/>
                <w:b/>
                <w:sz w:val="20"/>
                <w:szCs w:val="20"/>
                <w:lang w:eastAsia="en-AU"/>
              </w:rPr>
              <w:t xml:space="preserve">Alternative catch projections (relative to the average catch level from 2021 to 2023 of 7,262 t) </w:t>
            </w:r>
          </w:p>
          <w:p w14:paraId="2EC50A9E" w14:textId="77777777" w:rsidR="008F3FEE" w:rsidRPr="008F3FEE" w:rsidRDefault="008F3FEE" w:rsidP="00A40DCE">
            <w:pPr>
              <w:jc w:val="center"/>
              <w:rPr>
                <w:rFonts w:ascii="Calibri" w:hAnsi="Calibri" w:cs="Calibri"/>
                <w:b/>
                <w:sz w:val="20"/>
                <w:szCs w:val="20"/>
                <w:lang w:eastAsia="en-AU"/>
              </w:rPr>
            </w:pPr>
            <w:r w:rsidRPr="008F3FEE">
              <w:rPr>
                <w:rFonts w:ascii="Calibri" w:hAnsi="Calibri" w:cs="Calibri"/>
                <w:b/>
                <w:sz w:val="20"/>
                <w:szCs w:val="20"/>
                <w:lang w:eastAsia="en-AU"/>
              </w:rPr>
              <w:t>and probability (%) of violating MSY-based target reference points (Btarg = B</w:t>
            </w:r>
            <w:r w:rsidRPr="008F3FEE">
              <w:rPr>
                <w:rFonts w:ascii="Calibri" w:hAnsi="Calibri" w:cs="Calibri"/>
                <w:b/>
                <w:sz w:val="20"/>
                <w:szCs w:val="20"/>
                <w:vertAlign w:val="subscript"/>
                <w:lang w:eastAsia="en-AU"/>
              </w:rPr>
              <w:t>MSY</w:t>
            </w:r>
            <w:r w:rsidRPr="008F3FEE">
              <w:rPr>
                <w:rFonts w:ascii="Calibri" w:hAnsi="Calibri" w:cs="Calibri"/>
                <w:b/>
                <w:sz w:val="20"/>
                <w:szCs w:val="20"/>
                <w:lang w:eastAsia="en-AU"/>
              </w:rPr>
              <w:t>; Ftarg = F</w:t>
            </w:r>
            <w:r w:rsidRPr="008F3FEE">
              <w:rPr>
                <w:rFonts w:ascii="Calibri" w:hAnsi="Calibri" w:cs="Calibri"/>
                <w:b/>
                <w:sz w:val="20"/>
                <w:szCs w:val="20"/>
                <w:vertAlign w:val="subscript"/>
                <w:lang w:eastAsia="en-AU"/>
              </w:rPr>
              <w:t>MSY</w:t>
            </w:r>
            <w:r w:rsidRPr="008F3FEE">
              <w:rPr>
                <w:rFonts w:ascii="Calibri" w:hAnsi="Calibri" w:cs="Calibri"/>
                <w:b/>
                <w:sz w:val="20"/>
                <w:szCs w:val="20"/>
                <w:lang w:eastAsia="en-AU"/>
              </w:rPr>
              <w:t>)</w:t>
            </w:r>
          </w:p>
        </w:tc>
      </w:tr>
      <w:tr w:rsidR="008F3FEE" w:rsidRPr="008F3FEE" w14:paraId="5A0CCA92" w14:textId="77777777" w:rsidTr="00A40DCE">
        <w:trPr>
          <w:trHeight w:val="690"/>
          <w:jc w:val="center"/>
        </w:trPr>
        <w:tc>
          <w:tcPr>
            <w:tcW w:w="1731" w:type="dxa"/>
            <w:tcBorders>
              <w:top w:val="single" w:sz="4" w:space="0" w:color="auto"/>
            </w:tcBorders>
            <w:tcMar>
              <w:top w:w="15" w:type="dxa"/>
              <w:left w:w="108" w:type="dxa"/>
              <w:bottom w:w="0" w:type="dxa"/>
              <w:right w:w="108" w:type="dxa"/>
            </w:tcMar>
            <w:vAlign w:val="center"/>
            <w:hideMark/>
          </w:tcPr>
          <w:p w14:paraId="0B2E12D1" w14:textId="77777777" w:rsidR="008F3FEE" w:rsidRPr="008F3FEE" w:rsidRDefault="008F3FEE" w:rsidP="00A40DCE">
            <w:pPr>
              <w:jc w:val="center"/>
              <w:rPr>
                <w:rFonts w:ascii="Calibri" w:hAnsi="Calibri" w:cs="Calibri"/>
                <w:sz w:val="20"/>
                <w:szCs w:val="20"/>
                <w:lang w:eastAsia="en-AU"/>
              </w:rPr>
            </w:pPr>
          </w:p>
        </w:tc>
        <w:tc>
          <w:tcPr>
            <w:tcW w:w="871" w:type="dxa"/>
            <w:tcBorders>
              <w:top w:val="single" w:sz="4" w:space="0" w:color="auto"/>
              <w:bottom w:val="single" w:sz="4" w:space="0" w:color="auto"/>
            </w:tcBorders>
            <w:tcMar>
              <w:top w:w="15" w:type="dxa"/>
              <w:left w:w="108" w:type="dxa"/>
              <w:bottom w:w="0" w:type="dxa"/>
              <w:right w:w="108" w:type="dxa"/>
            </w:tcMar>
            <w:vAlign w:val="center"/>
            <w:hideMark/>
          </w:tcPr>
          <w:p w14:paraId="01949BFE" w14:textId="77777777" w:rsidR="008F3FEE" w:rsidRPr="008F3FEE" w:rsidRDefault="008F3FEE" w:rsidP="00A40DCE">
            <w:pPr>
              <w:jc w:val="center"/>
              <w:rPr>
                <w:rFonts w:ascii="Calibri" w:hAnsi="Calibri" w:cs="Calibri"/>
                <w:sz w:val="20"/>
                <w:szCs w:val="20"/>
              </w:rPr>
            </w:pPr>
            <w:r w:rsidRPr="008F3FEE">
              <w:rPr>
                <w:rFonts w:ascii="Calibri" w:hAnsi="Calibri" w:cs="Calibri"/>
                <w:sz w:val="20"/>
                <w:szCs w:val="20"/>
              </w:rPr>
              <w:t>60%</w:t>
            </w:r>
          </w:p>
          <w:p w14:paraId="3D311E5D" w14:textId="77777777" w:rsidR="008F3FEE" w:rsidRPr="008F3FEE" w:rsidRDefault="008F3FEE" w:rsidP="00A40DCE">
            <w:pPr>
              <w:jc w:val="center"/>
              <w:rPr>
                <w:rFonts w:ascii="Calibri" w:hAnsi="Calibri" w:cs="Calibri"/>
                <w:sz w:val="20"/>
                <w:szCs w:val="20"/>
                <w:lang w:eastAsia="en-AU"/>
              </w:rPr>
            </w:pPr>
            <w:r w:rsidRPr="008F3FEE">
              <w:rPr>
                <w:rFonts w:ascii="Calibri" w:hAnsi="Calibri" w:cs="Calibri"/>
                <w:sz w:val="20"/>
                <w:szCs w:val="20"/>
              </w:rPr>
              <w:t>(4,357)</w:t>
            </w:r>
          </w:p>
        </w:tc>
        <w:tc>
          <w:tcPr>
            <w:tcW w:w="1093" w:type="dxa"/>
            <w:tcBorders>
              <w:top w:val="single" w:sz="4" w:space="0" w:color="auto"/>
              <w:bottom w:val="single" w:sz="4" w:space="0" w:color="auto"/>
            </w:tcBorders>
            <w:tcMar>
              <w:top w:w="15" w:type="dxa"/>
              <w:left w:w="108" w:type="dxa"/>
              <w:bottom w:w="0" w:type="dxa"/>
              <w:right w:w="108" w:type="dxa"/>
            </w:tcMar>
            <w:vAlign w:val="center"/>
            <w:hideMark/>
          </w:tcPr>
          <w:p w14:paraId="2066AD61" w14:textId="77777777" w:rsidR="008F3FEE" w:rsidRPr="008F3FEE" w:rsidRDefault="008F3FEE" w:rsidP="00A40DCE">
            <w:pPr>
              <w:jc w:val="center"/>
              <w:rPr>
                <w:rFonts w:ascii="Calibri" w:hAnsi="Calibri" w:cs="Calibri"/>
                <w:sz w:val="20"/>
                <w:szCs w:val="20"/>
              </w:rPr>
            </w:pPr>
            <w:r w:rsidRPr="008F3FEE">
              <w:rPr>
                <w:rFonts w:ascii="Calibri" w:hAnsi="Calibri" w:cs="Calibri"/>
                <w:sz w:val="20"/>
                <w:szCs w:val="20"/>
              </w:rPr>
              <w:t>70%</w:t>
            </w:r>
          </w:p>
          <w:p w14:paraId="1E162E25" w14:textId="77777777" w:rsidR="008F3FEE" w:rsidRPr="008F3FEE" w:rsidRDefault="008F3FEE" w:rsidP="00A40DCE">
            <w:pPr>
              <w:jc w:val="center"/>
              <w:rPr>
                <w:rFonts w:ascii="Calibri" w:hAnsi="Calibri" w:cs="Calibri"/>
                <w:sz w:val="20"/>
                <w:szCs w:val="20"/>
                <w:lang w:eastAsia="en-AU"/>
              </w:rPr>
            </w:pPr>
            <w:r w:rsidRPr="008F3FEE">
              <w:rPr>
                <w:rFonts w:ascii="Calibri" w:hAnsi="Calibri" w:cs="Calibri"/>
                <w:sz w:val="20"/>
                <w:szCs w:val="20"/>
              </w:rPr>
              <w:t>(5,083)</w:t>
            </w:r>
          </w:p>
        </w:tc>
        <w:tc>
          <w:tcPr>
            <w:tcW w:w="796" w:type="dxa"/>
            <w:tcBorders>
              <w:top w:val="single" w:sz="4" w:space="0" w:color="auto"/>
              <w:bottom w:val="single" w:sz="4" w:space="0" w:color="auto"/>
            </w:tcBorders>
            <w:vAlign w:val="center"/>
          </w:tcPr>
          <w:p w14:paraId="53F4F4FE" w14:textId="77777777" w:rsidR="008F3FEE" w:rsidRPr="008F3FEE" w:rsidRDefault="008F3FEE" w:rsidP="00A40DCE">
            <w:pPr>
              <w:jc w:val="center"/>
              <w:rPr>
                <w:rFonts w:ascii="Calibri" w:hAnsi="Calibri" w:cs="Calibri"/>
                <w:sz w:val="20"/>
                <w:szCs w:val="20"/>
              </w:rPr>
            </w:pPr>
            <w:r w:rsidRPr="008F3FEE">
              <w:rPr>
                <w:rFonts w:ascii="Calibri" w:hAnsi="Calibri" w:cs="Calibri"/>
                <w:sz w:val="20"/>
                <w:szCs w:val="20"/>
              </w:rPr>
              <w:t>80%</w:t>
            </w:r>
          </w:p>
          <w:p w14:paraId="77678CE9" w14:textId="77777777" w:rsidR="008F3FEE" w:rsidRPr="008F3FEE" w:rsidRDefault="008F3FEE" w:rsidP="00A40DCE">
            <w:pPr>
              <w:jc w:val="center"/>
              <w:rPr>
                <w:rFonts w:ascii="Calibri" w:hAnsi="Calibri" w:cs="Calibri"/>
                <w:bCs/>
                <w:kern w:val="24"/>
                <w:sz w:val="20"/>
                <w:szCs w:val="20"/>
                <w:lang w:eastAsia="en-AU"/>
              </w:rPr>
            </w:pPr>
            <w:r w:rsidRPr="008F3FEE">
              <w:rPr>
                <w:rFonts w:ascii="Calibri" w:hAnsi="Calibri" w:cs="Calibri"/>
                <w:sz w:val="20"/>
                <w:szCs w:val="20"/>
              </w:rPr>
              <w:t>(5,809)</w:t>
            </w:r>
          </w:p>
        </w:tc>
        <w:tc>
          <w:tcPr>
            <w:tcW w:w="877" w:type="dxa"/>
            <w:tcBorders>
              <w:top w:val="single" w:sz="4" w:space="0" w:color="auto"/>
              <w:bottom w:val="single" w:sz="4" w:space="0" w:color="auto"/>
            </w:tcBorders>
            <w:vAlign w:val="center"/>
          </w:tcPr>
          <w:p w14:paraId="5A95C246" w14:textId="77777777" w:rsidR="008F3FEE" w:rsidRPr="008F3FEE" w:rsidRDefault="008F3FEE" w:rsidP="00A40DCE">
            <w:pPr>
              <w:jc w:val="center"/>
              <w:rPr>
                <w:rFonts w:ascii="Calibri" w:hAnsi="Calibri" w:cs="Calibri"/>
                <w:sz w:val="20"/>
                <w:szCs w:val="20"/>
              </w:rPr>
            </w:pPr>
            <w:r w:rsidRPr="008F3FEE">
              <w:rPr>
                <w:rFonts w:ascii="Calibri" w:hAnsi="Calibri" w:cs="Calibri"/>
                <w:sz w:val="20"/>
                <w:szCs w:val="20"/>
              </w:rPr>
              <w:t>90%</w:t>
            </w:r>
          </w:p>
          <w:p w14:paraId="3E4AEC8B" w14:textId="77777777" w:rsidR="008F3FEE" w:rsidRPr="008F3FEE" w:rsidRDefault="008F3FEE" w:rsidP="00A40DCE">
            <w:pPr>
              <w:jc w:val="center"/>
              <w:rPr>
                <w:rFonts w:ascii="Calibri" w:hAnsi="Calibri" w:cs="Calibri"/>
                <w:bCs/>
                <w:kern w:val="24"/>
                <w:sz w:val="20"/>
                <w:szCs w:val="20"/>
                <w:lang w:eastAsia="en-AU"/>
              </w:rPr>
            </w:pPr>
            <w:r w:rsidRPr="008F3FEE">
              <w:rPr>
                <w:rFonts w:ascii="Calibri" w:hAnsi="Calibri" w:cs="Calibri"/>
                <w:sz w:val="20"/>
                <w:szCs w:val="20"/>
              </w:rPr>
              <w:t>(6,536)</w:t>
            </w:r>
          </w:p>
        </w:tc>
        <w:tc>
          <w:tcPr>
            <w:tcW w:w="1225" w:type="dxa"/>
            <w:tcBorders>
              <w:top w:val="single" w:sz="4" w:space="0" w:color="auto"/>
              <w:bottom w:val="single" w:sz="4" w:space="0" w:color="auto"/>
            </w:tcBorders>
            <w:tcMar>
              <w:top w:w="15" w:type="dxa"/>
              <w:left w:w="108" w:type="dxa"/>
              <w:bottom w:w="0" w:type="dxa"/>
              <w:right w:w="108" w:type="dxa"/>
            </w:tcMar>
            <w:vAlign w:val="center"/>
            <w:hideMark/>
          </w:tcPr>
          <w:p w14:paraId="5B6166AA" w14:textId="77777777" w:rsidR="008F3FEE" w:rsidRPr="008F3FEE" w:rsidRDefault="008F3FEE" w:rsidP="00A40DCE">
            <w:pPr>
              <w:jc w:val="center"/>
              <w:rPr>
                <w:rFonts w:ascii="Calibri" w:hAnsi="Calibri" w:cs="Calibri"/>
                <w:sz w:val="20"/>
                <w:szCs w:val="20"/>
              </w:rPr>
            </w:pPr>
            <w:r w:rsidRPr="008F3FEE">
              <w:rPr>
                <w:rFonts w:ascii="Calibri" w:hAnsi="Calibri" w:cs="Calibri"/>
                <w:sz w:val="20"/>
                <w:szCs w:val="20"/>
              </w:rPr>
              <w:t>100%</w:t>
            </w:r>
          </w:p>
          <w:p w14:paraId="42AC5D40" w14:textId="77777777" w:rsidR="008F3FEE" w:rsidRPr="008F3FEE" w:rsidRDefault="008F3FEE" w:rsidP="00A40DCE">
            <w:pPr>
              <w:jc w:val="center"/>
              <w:rPr>
                <w:rFonts w:ascii="Calibri" w:hAnsi="Calibri" w:cs="Calibri"/>
                <w:sz w:val="20"/>
                <w:szCs w:val="20"/>
                <w:lang w:eastAsia="en-AU"/>
              </w:rPr>
            </w:pPr>
            <w:r w:rsidRPr="008F3FEE">
              <w:rPr>
                <w:rFonts w:ascii="Calibri" w:hAnsi="Calibri" w:cs="Calibri"/>
                <w:sz w:val="20"/>
                <w:szCs w:val="20"/>
              </w:rPr>
              <w:t>(7,262)</w:t>
            </w:r>
          </w:p>
        </w:tc>
        <w:tc>
          <w:tcPr>
            <w:tcW w:w="877" w:type="dxa"/>
            <w:tcBorders>
              <w:top w:val="single" w:sz="4" w:space="0" w:color="auto"/>
              <w:bottom w:val="single" w:sz="4" w:space="0" w:color="auto"/>
            </w:tcBorders>
            <w:vAlign w:val="center"/>
          </w:tcPr>
          <w:p w14:paraId="698243C1" w14:textId="77777777" w:rsidR="008F3FEE" w:rsidRPr="008F3FEE" w:rsidRDefault="008F3FEE" w:rsidP="00A40DCE">
            <w:pPr>
              <w:jc w:val="center"/>
              <w:rPr>
                <w:rFonts w:ascii="Calibri" w:hAnsi="Calibri" w:cs="Calibri"/>
                <w:sz w:val="20"/>
                <w:szCs w:val="20"/>
              </w:rPr>
            </w:pPr>
            <w:r w:rsidRPr="008F3FEE">
              <w:rPr>
                <w:rFonts w:ascii="Calibri" w:hAnsi="Calibri" w:cs="Calibri"/>
                <w:sz w:val="20"/>
                <w:szCs w:val="20"/>
              </w:rPr>
              <w:t>110%</w:t>
            </w:r>
          </w:p>
          <w:p w14:paraId="456E2558" w14:textId="77777777" w:rsidR="008F3FEE" w:rsidRPr="008F3FEE" w:rsidRDefault="008F3FEE" w:rsidP="00A40DCE">
            <w:pPr>
              <w:jc w:val="center"/>
              <w:rPr>
                <w:rFonts w:ascii="Calibri" w:hAnsi="Calibri" w:cs="Calibri"/>
                <w:bCs/>
                <w:kern w:val="24"/>
                <w:sz w:val="20"/>
                <w:szCs w:val="20"/>
                <w:lang w:eastAsia="en-AU"/>
              </w:rPr>
            </w:pPr>
            <w:r w:rsidRPr="008F3FEE">
              <w:rPr>
                <w:rFonts w:ascii="Calibri" w:hAnsi="Calibri" w:cs="Calibri"/>
                <w:sz w:val="20"/>
                <w:szCs w:val="20"/>
              </w:rPr>
              <w:t>(7,988)</w:t>
            </w:r>
          </w:p>
        </w:tc>
        <w:tc>
          <w:tcPr>
            <w:tcW w:w="1177" w:type="dxa"/>
            <w:tcBorders>
              <w:top w:val="single" w:sz="4" w:space="0" w:color="auto"/>
              <w:bottom w:val="single" w:sz="4" w:space="0" w:color="auto"/>
            </w:tcBorders>
            <w:tcMar>
              <w:top w:w="15" w:type="dxa"/>
              <w:left w:w="108" w:type="dxa"/>
              <w:bottom w:w="0" w:type="dxa"/>
              <w:right w:w="108" w:type="dxa"/>
            </w:tcMar>
            <w:vAlign w:val="center"/>
            <w:hideMark/>
          </w:tcPr>
          <w:p w14:paraId="2D9B7FD4" w14:textId="77777777" w:rsidR="008F3FEE" w:rsidRPr="008F3FEE" w:rsidRDefault="008F3FEE" w:rsidP="00A40DCE">
            <w:pPr>
              <w:jc w:val="center"/>
              <w:rPr>
                <w:rFonts w:ascii="Calibri" w:hAnsi="Calibri" w:cs="Calibri"/>
                <w:sz w:val="20"/>
                <w:szCs w:val="20"/>
              </w:rPr>
            </w:pPr>
            <w:r w:rsidRPr="008F3FEE">
              <w:rPr>
                <w:rFonts w:ascii="Calibri" w:hAnsi="Calibri" w:cs="Calibri"/>
                <w:sz w:val="20"/>
                <w:szCs w:val="20"/>
              </w:rPr>
              <w:t>120%</w:t>
            </w:r>
          </w:p>
          <w:p w14:paraId="4183C035" w14:textId="77777777" w:rsidR="008F3FEE" w:rsidRPr="008F3FEE" w:rsidRDefault="008F3FEE" w:rsidP="00A40DCE">
            <w:pPr>
              <w:jc w:val="center"/>
              <w:rPr>
                <w:rFonts w:ascii="Calibri" w:hAnsi="Calibri" w:cs="Calibri"/>
                <w:sz w:val="20"/>
                <w:szCs w:val="20"/>
                <w:lang w:eastAsia="en-AU"/>
              </w:rPr>
            </w:pPr>
            <w:r w:rsidRPr="008F3FEE">
              <w:rPr>
                <w:rFonts w:ascii="Calibri" w:hAnsi="Calibri" w:cs="Calibri"/>
                <w:sz w:val="20"/>
                <w:szCs w:val="20"/>
              </w:rPr>
              <w:t>(8,714)</w:t>
            </w:r>
          </w:p>
        </w:tc>
        <w:tc>
          <w:tcPr>
            <w:tcW w:w="1218" w:type="dxa"/>
            <w:tcBorders>
              <w:top w:val="single" w:sz="4" w:space="0" w:color="auto"/>
              <w:bottom w:val="single" w:sz="4" w:space="0" w:color="auto"/>
            </w:tcBorders>
            <w:tcMar>
              <w:top w:w="15" w:type="dxa"/>
              <w:left w:w="108" w:type="dxa"/>
              <w:bottom w:w="0" w:type="dxa"/>
              <w:right w:w="108" w:type="dxa"/>
            </w:tcMar>
            <w:vAlign w:val="center"/>
            <w:hideMark/>
          </w:tcPr>
          <w:p w14:paraId="76718313" w14:textId="77777777" w:rsidR="008F3FEE" w:rsidRPr="008F3FEE" w:rsidRDefault="008F3FEE" w:rsidP="00A40DCE">
            <w:pPr>
              <w:jc w:val="center"/>
              <w:rPr>
                <w:rFonts w:ascii="Calibri" w:hAnsi="Calibri" w:cs="Calibri"/>
                <w:sz w:val="20"/>
                <w:szCs w:val="20"/>
              </w:rPr>
            </w:pPr>
            <w:r w:rsidRPr="008F3FEE">
              <w:rPr>
                <w:rFonts w:ascii="Calibri" w:hAnsi="Calibri" w:cs="Calibri"/>
                <w:sz w:val="20"/>
                <w:szCs w:val="20"/>
              </w:rPr>
              <w:t>130%</w:t>
            </w:r>
          </w:p>
          <w:p w14:paraId="7BBE573A" w14:textId="77777777" w:rsidR="008F3FEE" w:rsidRPr="008F3FEE" w:rsidRDefault="008F3FEE" w:rsidP="00A40DCE">
            <w:pPr>
              <w:jc w:val="center"/>
              <w:rPr>
                <w:rFonts w:ascii="Calibri" w:hAnsi="Calibri" w:cs="Calibri"/>
                <w:sz w:val="20"/>
                <w:szCs w:val="20"/>
                <w:lang w:eastAsia="en-AU"/>
              </w:rPr>
            </w:pPr>
            <w:r w:rsidRPr="008F3FEE">
              <w:rPr>
                <w:rFonts w:ascii="Calibri" w:hAnsi="Calibri" w:cs="Calibri"/>
                <w:sz w:val="20"/>
                <w:szCs w:val="20"/>
              </w:rPr>
              <w:t>(9,440)</w:t>
            </w:r>
          </w:p>
        </w:tc>
        <w:tc>
          <w:tcPr>
            <w:tcW w:w="877" w:type="dxa"/>
            <w:tcBorders>
              <w:top w:val="single" w:sz="4" w:space="0" w:color="auto"/>
              <w:bottom w:val="single" w:sz="4" w:space="0" w:color="auto"/>
            </w:tcBorders>
            <w:vAlign w:val="center"/>
          </w:tcPr>
          <w:p w14:paraId="5025387E" w14:textId="77777777" w:rsidR="008F3FEE" w:rsidRPr="008F3FEE" w:rsidRDefault="008F3FEE" w:rsidP="00A40DCE">
            <w:pPr>
              <w:jc w:val="center"/>
              <w:rPr>
                <w:rFonts w:ascii="Calibri" w:hAnsi="Calibri" w:cs="Calibri"/>
                <w:sz w:val="20"/>
                <w:szCs w:val="20"/>
              </w:rPr>
            </w:pPr>
            <w:r w:rsidRPr="008F3FEE">
              <w:rPr>
                <w:rFonts w:ascii="Calibri" w:hAnsi="Calibri" w:cs="Calibri"/>
                <w:sz w:val="20"/>
                <w:szCs w:val="20"/>
              </w:rPr>
              <w:t>140%</w:t>
            </w:r>
          </w:p>
          <w:p w14:paraId="3EF50D52" w14:textId="77777777" w:rsidR="008F3FEE" w:rsidRPr="008F3FEE" w:rsidRDefault="008F3FEE" w:rsidP="00A40DCE">
            <w:pPr>
              <w:jc w:val="center"/>
              <w:rPr>
                <w:rFonts w:ascii="Calibri" w:hAnsi="Calibri" w:cs="Calibri"/>
                <w:bCs/>
                <w:kern w:val="24"/>
                <w:sz w:val="20"/>
                <w:szCs w:val="20"/>
                <w:lang w:eastAsia="en-AU"/>
              </w:rPr>
            </w:pPr>
            <w:r w:rsidRPr="008F3FEE">
              <w:rPr>
                <w:rFonts w:ascii="Calibri" w:hAnsi="Calibri" w:cs="Calibri"/>
                <w:sz w:val="20"/>
                <w:szCs w:val="20"/>
              </w:rPr>
              <w:t>(10,167)</w:t>
            </w:r>
          </w:p>
        </w:tc>
      </w:tr>
      <w:tr w:rsidR="008F3FEE" w:rsidRPr="008F3FEE" w14:paraId="116D393D" w14:textId="77777777" w:rsidTr="00A40DCE">
        <w:trPr>
          <w:trHeight w:val="283"/>
          <w:jc w:val="center"/>
        </w:trPr>
        <w:tc>
          <w:tcPr>
            <w:tcW w:w="1731" w:type="dxa"/>
            <w:tcMar>
              <w:top w:w="15" w:type="dxa"/>
              <w:left w:w="108" w:type="dxa"/>
              <w:bottom w:w="0" w:type="dxa"/>
              <w:right w:w="108" w:type="dxa"/>
            </w:tcMar>
            <w:vAlign w:val="center"/>
            <w:hideMark/>
          </w:tcPr>
          <w:p w14:paraId="37C41D54" w14:textId="77777777" w:rsidR="008F3FEE" w:rsidRPr="008F3FEE" w:rsidRDefault="008F3FEE" w:rsidP="00A40DCE">
            <w:pPr>
              <w:jc w:val="center"/>
              <w:rPr>
                <w:rFonts w:ascii="Calibri" w:hAnsi="Calibri" w:cs="Calibri"/>
                <w:sz w:val="20"/>
                <w:szCs w:val="20"/>
                <w:lang w:eastAsia="en-AU"/>
              </w:rPr>
            </w:pPr>
            <w:r w:rsidRPr="008F3FEE">
              <w:rPr>
                <w:rFonts w:ascii="Calibri" w:eastAsia="PMingLiU" w:hAnsi="Calibri" w:cs="Calibri"/>
                <w:bCs/>
                <w:sz w:val="20"/>
                <w:szCs w:val="20"/>
              </w:rPr>
              <w:t>B</w:t>
            </w:r>
            <w:r w:rsidRPr="008F3FEE">
              <w:rPr>
                <w:rFonts w:ascii="Calibri" w:eastAsia="PMingLiU" w:hAnsi="Calibri" w:cs="Calibri"/>
                <w:bCs/>
                <w:sz w:val="20"/>
                <w:szCs w:val="20"/>
                <w:vertAlign w:val="subscript"/>
              </w:rPr>
              <w:t>2028</w:t>
            </w:r>
            <w:r w:rsidRPr="008F3FEE">
              <w:rPr>
                <w:rFonts w:ascii="Calibri" w:hAnsi="Calibri" w:cs="Calibri"/>
                <w:kern w:val="24"/>
                <w:sz w:val="20"/>
                <w:szCs w:val="20"/>
                <w:lang w:eastAsia="en-AU"/>
              </w:rPr>
              <w:t xml:space="preserve"> &lt; </w:t>
            </w:r>
            <w:r w:rsidRPr="008F3FEE">
              <w:rPr>
                <w:rFonts w:ascii="Calibri" w:eastAsia="PMingLiU" w:hAnsi="Calibri" w:cs="Calibri"/>
                <w:bCs/>
                <w:sz w:val="20"/>
                <w:szCs w:val="20"/>
              </w:rPr>
              <w:t>B</w:t>
            </w:r>
            <w:r w:rsidRPr="008F3FEE">
              <w:rPr>
                <w:rFonts w:ascii="Calibri" w:eastAsia="PMingLiU" w:hAnsi="Calibri" w:cs="Calibri"/>
                <w:bCs/>
                <w:sz w:val="20"/>
                <w:szCs w:val="20"/>
                <w:vertAlign w:val="subscript"/>
              </w:rPr>
              <w:t>MSY</w:t>
            </w:r>
          </w:p>
        </w:tc>
        <w:tc>
          <w:tcPr>
            <w:tcW w:w="871" w:type="dxa"/>
            <w:tcBorders>
              <w:top w:val="single" w:sz="4" w:space="0" w:color="auto"/>
            </w:tcBorders>
            <w:tcMar>
              <w:top w:w="15" w:type="dxa"/>
              <w:left w:w="15" w:type="dxa"/>
              <w:bottom w:w="0" w:type="dxa"/>
              <w:right w:w="15" w:type="dxa"/>
            </w:tcMar>
            <w:vAlign w:val="center"/>
          </w:tcPr>
          <w:p w14:paraId="79A5F4A2"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65</w:t>
            </w:r>
          </w:p>
        </w:tc>
        <w:tc>
          <w:tcPr>
            <w:tcW w:w="1093" w:type="dxa"/>
            <w:tcBorders>
              <w:top w:val="single" w:sz="4" w:space="0" w:color="auto"/>
            </w:tcBorders>
            <w:tcMar>
              <w:top w:w="15" w:type="dxa"/>
              <w:left w:w="15" w:type="dxa"/>
              <w:bottom w:w="0" w:type="dxa"/>
              <w:right w:w="15" w:type="dxa"/>
            </w:tcMar>
            <w:vAlign w:val="center"/>
          </w:tcPr>
          <w:p w14:paraId="6EA6D1E0"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69</w:t>
            </w:r>
          </w:p>
        </w:tc>
        <w:tc>
          <w:tcPr>
            <w:tcW w:w="796" w:type="dxa"/>
            <w:tcBorders>
              <w:top w:val="single" w:sz="4" w:space="0" w:color="auto"/>
            </w:tcBorders>
            <w:vAlign w:val="center"/>
          </w:tcPr>
          <w:p w14:paraId="10CE754A"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74</w:t>
            </w:r>
          </w:p>
        </w:tc>
        <w:tc>
          <w:tcPr>
            <w:tcW w:w="877" w:type="dxa"/>
            <w:tcBorders>
              <w:top w:val="single" w:sz="4" w:space="0" w:color="auto"/>
            </w:tcBorders>
            <w:vAlign w:val="center"/>
          </w:tcPr>
          <w:p w14:paraId="5B76558C"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78</w:t>
            </w:r>
          </w:p>
        </w:tc>
        <w:tc>
          <w:tcPr>
            <w:tcW w:w="1225" w:type="dxa"/>
            <w:tcBorders>
              <w:top w:val="single" w:sz="4" w:space="0" w:color="auto"/>
            </w:tcBorders>
            <w:tcMar>
              <w:top w:w="15" w:type="dxa"/>
              <w:left w:w="15" w:type="dxa"/>
              <w:bottom w:w="0" w:type="dxa"/>
              <w:right w:w="15" w:type="dxa"/>
            </w:tcMar>
            <w:vAlign w:val="center"/>
          </w:tcPr>
          <w:p w14:paraId="65BCC881"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82</w:t>
            </w:r>
          </w:p>
        </w:tc>
        <w:tc>
          <w:tcPr>
            <w:tcW w:w="877" w:type="dxa"/>
            <w:tcBorders>
              <w:top w:val="single" w:sz="4" w:space="0" w:color="auto"/>
            </w:tcBorders>
            <w:vAlign w:val="center"/>
          </w:tcPr>
          <w:p w14:paraId="1664E53E"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85</w:t>
            </w:r>
          </w:p>
        </w:tc>
        <w:tc>
          <w:tcPr>
            <w:tcW w:w="1177" w:type="dxa"/>
            <w:tcBorders>
              <w:top w:val="single" w:sz="4" w:space="0" w:color="auto"/>
            </w:tcBorders>
            <w:tcMar>
              <w:top w:w="15" w:type="dxa"/>
              <w:left w:w="15" w:type="dxa"/>
              <w:bottom w:w="0" w:type="dxa"/>
              <w:right w:w="15" w:type="dxa"/>
            </w:tcMar>
            <w:vAlign w:val="center"/>
          </w:tcPr>
          <w:p w14:paraId="37BB2FF9"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88</w:t>
            </w:r>
          </w:p>
        </w:tc>
        <w:tc>
          <w:tcPr>
            <w:tcW w:w="1218" w:type="dxa"/>
            <w:tcBorders>
              <w:top w:val="single" w:sz="4" w:space="0" w:color="auto"/>
            </w:tcBorders>
            <w:tcMar>
              <w:top w:w="15" w:type="dxa"/>
              <w:left w:w="15" w:type="dxa"/>
              <w:bottom w:w="0" w:type="dxa"/>
              <w:right w:w="15" w:type="dxa"/>
            </w:tcMar>
            <w:vAlign w:val="center"/>
          </w:tcPr>
          <w:p w14:paraId="232C42FE"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90</w:t>
            </w:r>
          </w:p>
        </w:tc>
        <w:tc>
          <w:tcPr>
            <w:tcW w:w="877" w:type="dxa"/>
            <w:tcBorders>
              <w:top w:val="single" w:sz="4" w:space="0" w:color="auto"/>
            </w:tcBorders>
            <w:vAlign w:val="center"/>
          </w:tcPr>
          <w:p w14:paraId="7412D473"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92</w:t>
            </w:r>
          </w:p>
        </w:tc>
      </w:tr>
      <w:tr w:rsidR="008F3FEE" w:rsidRPr="008F3FEE" w14:paraId="6CAAD35D" w14:textId="77777777" w:rsidTr="00A40DCE">
        <w:trPr>
          <w:trHeight w:val="283"/>
          <w:jc w:val="center"/>
        </w:trPr>
        <w:tc>
          <w:tcPr>
            <w:tcW w:w="1731" w:type="dxa"/>
            <w:tcMar>
              <w:top w:w="15" w:type="dxa"/>
              <w:left w:w="108" w:type="dxa"/>
              <w:bottom w:w="0" w:type="dxa"/>
              <w:right w:w="108" w:type="dxa"/>
            </w:tcMar>
            <w:vAlign w:val="center"/>
            <w:hideMark/>
          </w:tcPr>
          <w:p w14:paraId="26399D92" w14:textId="77777777" w:rsidR="008F3FEE" w:rsidRPr="008F3FEE" w:rsidRDefault="008F3FEE" w:rsidP="00A40DCE">
            <w:pPr>
              <w:jc w:val="center"/>
              <w:rPr>
                <w:rFonts w:ascii="Calibri" w:hAnsi="Calibri" w:cs="Calibri"/>
                <w:sz w:val="20"/>
                <w:szCs w:val="20"/>
                <w:lang w:eastAsia="en-AU"/>
              </w:rPr>
            </w:pPr>
            <w:r w:rsidRPr="008F3FEE">
              <w:rPr>
                <w:rFonts w:ascii="Calibri" w:eastAsia="PMingLiU" w:hAnsi="Calibri" w:cs="Calibri"/>
                <w:bCs/>
                <w:sz w:val="20"/>
                <w:szCs w:val="20"/>
              </w:rPr>
              <w:t>F</w:t>
            </w:r>
            <w:r w:rsidRPr="008F3FEE">
              <w:rPr>
                <w:rFonts w:ascii="Calibri" w:eastAsia="PMingLiU" w:hAnsi="Calibri" w:cs="Calibri"/>
                <w:bCs/>
                <w:sz w:val="20"/>
                <w:szCs w:val="20"/>
                <w:vertAlign w:val="subscript"/>
              </w:rPr>
              <w:t>2028</w:t>
            </w:r>
            <w:r w:rsidRPr="008F3FEE">
              <w:rPr>
                <w:rFonts w:ascii="Calibri" w:hAnsi="Calibri" w:cs="Calibri"/>
                <w:kern w:val="24"/>
                <w:sz w:val="20"/>
                <w:szCs w:val="20"/>
                <w:lang w:eastAsia="en-AU"/>
              </w:rPr>
              <w:t xml:space="preserve"> &gt; F</w:t>
            </w:r>
            <w:r w:rsidRPr="008F3FEE">
              <w:rPr>
                <w:rFonts w:ascii="Calibri" w:eastAsia="PMingLiU" w:hAnsi="Calibri" w:cs="Calibri"/>
                <w:bCs/>
                <w:sz w:val="20"/>
                <w:szCs w:val="20"/>
                <w:vertAlign w:val="subscript"/>
              </w:rPr>
              <w:t>MSY</w:t>
            </w:r>
          </w:p>
        </w:tc>
        <w:tc>
          <w:tcPr>
            <w:tcW w:w="871" w:type="dxa"/>
            <w:tcMar>
              <w:top w:w="15" w:type="dxa"/>
              <w:left w:w="15" w:type="dxa"/>
              <w:bottom w:w="0" w:type="dxa"/>
              <w:right w:w="15" w:type="dxa"/>
            </w:tcMar>
            <w:vAlign w:val="center"/>
          </w:tcPr>
          <w:p w14:paraId="0B5EBDAA"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19</w:t>
            </w:r>
          </w:p>
        </w:tc>
        <w:tc>
          <w:tcPr>
            <w:tcW w:w="1093" w:type="dxa"/>
            <w:tcMar>
              <w:top w:w="15" w:type="dxa"/>
              <w:left w:w="15" w:type="dxa"/>
              <w:bottom w:w="0" w:type="dxa"/>
              <w:right w:w="15" w:type="dxa"/>
            </w:tcMar>
            <w:vAlign w:val="center"/>
          </w:tcPr>
          <w:p w14:paraId="4C9ECB25"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31</w:t>
            </w:r>
          </w:p>
        </w:tc>
        <w:tc>
          <w:tcPr>
            <w:tcW w:w="796" w:type="dxa"/>
            <w:vAlign w:val="center"/>
          </w:tcPr>
          <w:p w14:paraId="02E4209D"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45</w:t>
            </w:r>
          </w:p>
        </w:tc>
        <w:tc>
          <w:tcPr>
            <w:tcW w:w="877" w:type="dxa"/>
            <w:vAlign w:val="center"/>
          </w:tcPr>
          <w:p w14:paraId="04C3D62B"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60</w:t>
            </w:r>
          </w:p>
        </w:tc>
        <w:tc>
          <w:tcPr>
            <w:tcW w:w="1225" w:type="dxa"/>
            <w:tcMar>
              <w:top w:w="15" w:type="dxa"/>
              <w:left w:w="15" w:type="dxa"/>
              <w:bottom w:w="0" w:type="dxa"/>
              <w:right w:w="15" w:type="dxa"/>
            </w:tcMar>
            <w:vAlign w:val="center"/>
          </w:tcPr>
          <w:p w14:paraId="67FBECC3"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72</w:t>
            </w:r>
          </w:p>
        </w:tc>
        <w:tc>
          <w:tcPr>
            <w:tcW w:w="877" w:type="dxa"/>
            <w:vAlign w:val="center"/>
          </w:tcPr>
          <w:p w14:paraId="46B6EE10"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81</w:t>
            </w:r>
          </w:p>
        </w:tc>
        <w:tc>
          <w:tcPr>
            <w:tcW w:w="1177" w:type="dxa"/>
            <w:tcMar>
              <w:top w:w="15" w:type="dxa"/>
              <w:left w:w="15" w:type="dxa"/>
              <w:bottom w:w="0" w:type="dxa"/>
              <w:right w:w="15" w:type="dxa"/>
            </w:tcMar>
            <w:vAlign w:val="center"/>
          </w:tcPr>
          <w:p w14:paraId="72D7C8AE"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88</w:t>
            </w:r>
          </w:p>
        </w:tc>
        <w:tc>
          <w:tcPr>
            <w:tcW w:w="1218" w:type="dxa"/>
            <w:tcMar>
              <w:top w:w="15" w:type="dxa"/>
              <w:left w:w="15" w:type="dxa"/>
              <w:bottom w:w="0" w:type="dxa"/>
              <w:right w:w="15" w:type="dxa"/>
            </w:tcMar>
            <w:vAlign w:val="center"/>
          </w:tcPr>
          <w:p w14:paraId="5B3AB87D"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93</w:t>
            </w:r>
          </w:p>
        </w:tc>
        <w:tc>
          <w:tcPr>
            <w:tcW w:w="877" w:type="dxa"/>
            <w:vAlign w:val="center"/>
          </w:tcPr>
          <w:p w14:paraId="76C48838"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96</w:t>
            </w:r>
          </w:p>
        </w:tc>
      </w:tr>
      <w:tr w:rsidR="008F3FEE" w:rsidRPr="008F3FEE" w14:paraId="434CF39D" w14:textId="77777777" w:rsidTr="00A40DCE">
        <w:trPr>
          <w:trHeight w:val="138"/>
          <w:jc w:val="center"/>
        </w:trPr>
        <w:tc>
          <w:tcPr>
            <w:tcW w:w="1731" w:type="dxa"/>
            <w:tcMar>
              <w:top w:w="15" w:type="dxa"/>
              <w:left w:w="108" w:type="dxa"/>
              <w:bottom w:w="0" w:type="dxa"/>
              <w:right w:w="108" w:type="dxa"/>
            </w:tcMar>
            <w:vAlign w:val="center"/>
            <w:hideMark/>
          </w:tcPr>
          <w:p w14:paraId="707B7CE9" w14:textId="77777777" w:rsidR="008F3FEE" w:rsidRPr="008F3FEE" w:rsidRDefault="008F3FEE" w:rsidP="00A40DCE">
            <w:pPr>
              <w:jc w:val="center"/>
              <w:rPr>
                <w:rFonts w:ascii="Calibri" w:hAnsi="Calibri" w:cs="Calibri"/>
                <w:sz w:val="20"/>
                <w:szCs w:val="20"/>
                <w:lang w:eastAsia="en-AU"/>
              </w:rPr>
            </w:pPr>
          </w:p>
        </w:tc>
        <w:tc>
          <w:tcPr>
            <w:tcW w:w="871" w:type="dxa"/>
            <w:tcMar>
              <w:top w:w="15" w:type="dxa"/>
              <w:left w:w="15" w:type="dxa"/>
              <w:bottom w:w="0" w:type="dxa"/>
              <w:right w:w="15" w:type="dxa"/>
            </w:tcMar>
            <w:vAlign w:val="center"/>
          </w:tcPr>
          <w:p w14:paraId="4C73E6A9" w14:textId="77777777" w:rsidR="008F3FEE" w:rsidRPr="008F3FEE" w:rsidRDefault="008F3FEE" w:rsidP="00A40DCE">
            <w:pPr>
              <w:jc w:val="center"/>
              <w:rPr>
                <w:rFonts w:ascii="Calibri" w:hAnsi="Calibri" w:cs="Calibri"/>
                <w:sz w:val="20"/>
                <w:szCs w:val="20"/>
                <w:lang w:eastAsia="en-AU"/>
              </w:rPr>
            </w:pPr>
          </w:p>
        </w:tc>
        <w:tc>
          <w:tcPr>
            <w:tcW w:w="1093" w:type="dxa"/>
            <w:tcMar>
              <w:top w:w="15" w:type="dxa"/>
              <w:left w:w="15" w:type="dxa"/>
              <w:bottom w:w="0" w:type="dxa"/>
              <w:right w:w="15" w:type="dxa"/>
            </w:tcMar>
            <w:vAlign w:val="center"/>
          </w:tcPr>
          <w:p w14:paraId="1564D084" w14:textId="77777777" w:rsidR="008F3FEE" w:rsidRPr="008F3FEE" w:rsidRDefault="008F3FEE" w:rsidP="00A40DCE">
            <w:pPr>
              <w:jc w:val="center"/>
              <w:rPr>
                <w:rFonts w:ascii="Calibri" w:hAnsi="Calibri" w:cs="Calibri"/>
                <w:sz w:val="20"/>
                <w:szCs w:val="20"/>
                <w:lang w:eastAsia="en-AU"/>
              </w:rPr>
            </w:pPr>
          </w:p>
        </w:tc>
        <w:tc>
          <w:tcPr>
            <w:tcW w:w="796" w:type="dxa"/>
            <w:vAlign w:val="center"/>
          </w:tcPr>
          <w:p w14:paraId="57A019BD" w14:textId="77777777" w:rsidR="008F3FEE" w:rsidRPr="008F3FEE" w:rsidRDefault="008F3FEE" w:rsidP="00A40DCE">
            <w:pPr>
              <w:jc w:val="center"/>
              <w:rPr>
                <w:rFonts w:ascii="Calibri" w:hAnsi="Calibri" w:cs="Calibri"/>
                <w:sz w:val="20"/>
                <w:szCs w:val="20"/>
                <w:lang w:eastAsia="en-AU"/>
              </w:rPr>
            </w:pPr>
          </w:p>
        </w:tc>
        <w:tc>
          <w:tcPr>
            <w:tcW w:w="877" w:type="dxa"/>
            <w:vAlign w:val="center"/>
          </w:tcPr>
          <w:p w14:paraId="340853EF" w14:textId="77777777" w:rsidR="008F3FEE" w:rsidRPr="008F3FEE" w:rsidRDefault="008F3FEE" w:rsidP="00A40DCE">
            <w:pPr>
              <w:jc w:val="center"/>
              <w:rPr>
                <w:rFonts w:ascii="Calibri" w:hAnsi="Calibri" w:cs="Calibri"/>
                <w:sz w:val="20"/>
                <w:szCs w:val="20"/>
                <w:lang w:eastAsia="en-AU"/>
              </w:rPr>
            </w:pPr>
          </w:p>
        </w:tc>
        <w:tc>
          <w:tcPr>
            <w:tcW w:w="1225" w:type="dxa"/>
            <w:tcMar>
              <w:top w:w="15" w:type="dxa"/>
              <w:left w:w="15" w:type="dxa"/>
              <w:bottom w:w="0" w:type="dxa"/>
              <w:right w:w="15" w:type="dxa"/>
            </w:tcMar>
            <w:vAlign w:val="center"/>
          </w:tcPr>
          <w:p w14:paraId="3E88BD5C" w14:textId="77777777" w:rsidR="008F3FEE" w:rsidRPr="008F3FEE" w:rsidRDefault="008F3FEE" w:rsidP="00A40DCE">
            <w:pPr>
              <w:jc w:val="center"/>
              <w:rPr>
                <w:rFonts w:ascii="Calibri" w:hAnsi="Calibri" w:cs="Calibri"/>
                <w:sz w:val="20"/>
                <w:szCs w:val="20"/>
                <w:lang w:eastAsia="en-AU"/>
              </w:rPr>
            </w:pPr>
          </w:p>
        </w:tc>
        <w:tc>
          <w:tcPr>
            <w:tcW w:w="877" w:type="dxa"/>
            <w:vAlign w:val="center"/>
          </w:tcPr>
          <w:p w14:paraId="1ED53B7B" w14:textId="77777777" w:rsidR="008F3FEE" w:rsidRPr="008F3FEE" w:rsidRDefault="008F3FEE" w:rsidP="00A40DCE">
            <w:pPr>
              <w:jc w:val="center"/>
              <w:rPr>
                <w:rFonts w:ascii="Calibri" w:hAnsi="Calibri" w:cs="Calibri"/>
                <w:sz w:val="20"/>
                <w:szCs w:val="20"/>
                <w:lang w:eastAsia="en-AU"/>
              </w:rPr>
            </w:pPr>
          </w:p>
        </w:tc>
        <w:tc>
          <w:tcPr>
            <w:tcW w:w="1177" w:type="dxa"/>
            <w:tcMar>
              <w:top w:w="15" w:type="dxa"/>
              <w:left w:w="15" w:type="dxa"/>
              <w:bottom w:w="0" w:type="dxa"/>
              <w:right w:w="15" w:type="dxa"/>
            </w:tcMar>
            <w:vAlign w:val="center"/>
          </w:tcPr>
          <w:p w14:paraId="755794FA" w14:textId="77777777" w:rsidR="008F3FEE" w:rsidRPr="008F3FEE" w:rsidRDefault="008F3FEE" w:rsidP="00A40DCE">
            <w:pPr>
              <w:jc w:val="center"/>
              <w:rPr>
                <w:rFonts w:ascii="Calibri" w:hAnsi="Calibri" w:cs="Calibri"/>
                <w:sz w:val="20"/>
                <w:szCs w:val="20"/>
                <w:lang w:eastAsia="en-AU"/>
              </w:rPr>
            </w:pPr>
          </w:p>
        </w:tc>
        <w:tc>
          <w:tcPr>
            <w:tcW w:w="1218" w:type="dxa"/>
            <w:tcMar>
              <w:top w:w="15" w:type="dxa"/>
              <w:left w:w="15" w:type="dxa"/>
              <w:bottom w:w="0" w:type="dxa"/>
              <w:right w:w="15" w:type="dxa"/>
            </w:tcMar>
            <w:vAlign w:val="center"/>
          </w:tcPr>
          <w:p w14:paraId="3BFB3CF9" w14:textId="77777777" w:rsidR="008F3FEE" w:rsidRPr="008F3FEE" w:rsidRDefault="008F3FEE" w:rsidP="00A40DCE">
            <w:pPr>
              <w:jc w:val="center"/>
              <w:rPr>
                <w:rFonts w:ascii="Calibri" w:hAnsi="Calibri" w:cs="Calibri"/>
                <w:sz w:val="20"/>
                <w:szCs w:val="20"/>
                <w:lang w:eastAsia="en-AU"/>
              </w:rPr>
            </w:pPr>
          </w:p>
        </w:tc>
        <w:tc>
          <w:tcPr>
            <w:tcW w:w="877" w:type="dxa"/>
            <w:vAlign w:val="center"/>
          </w:tcPr>
          <w:p w14:paraId="305EE391" w14:textId="77777777" w:rsidR="008F3FEE" w:rsidRPr="008F3FEE" w:rsidRDefault="008F3FEE" w:rsidP="00A40DCE">
            <w:pPr>
              <w:jc w:val="center"/>
              <w:rPr>
                <w:rFonts w:ascii="Calibri" w:hAnsi="Calibri" w:cs="Calibri"/>
                <w:sz w:val="20"/>
                <w:szCs w:val="20"/>
                <w:lang w:eastAsia="en-AU"/>
              </w:rPr>
            </w:pPr>
          </w:p>
        </w:tc>
      </w:tr>
      <w:tr w:rsidR="008F3FEE" w:rsidRPr="008F3FEE" w14:paraId="332CA0B0" w14:textId="77777777" w:rsidTr="00A40DCE">
        <w:trPr>
          <w:trHeight w:val="283"/>
          <w:jc w:val="center"/>
        </w:trPr>
        <w:tc>
          <w:tcPr>
            <w:tcW w:w="1731" w:type="dxa"/>
            <w:tcMar>
              <w:top w:w="15" w:type="dxa"/>
              <w:left w:w="108" w:type="dxa"/>
              <w:bottom w:w="0" w:type="dxa"/>
              <w:right w:w="108" w:type="dxa"/>
            </w:tcMar>
            <w:vAlign w:val="center"/>
            <w:hideMark/>
          </w:tcPr>
          <w:p w14:paraId="7A2AA1E0" w14:textId="77777777" w:rsidR="008F3FEE" w:rsidRPr="008F3FEE" w:rsidRDefault="008F3FEE" w:rsidP="00A40DCE">
            <w:pPr>
              <w:jc w:val="center"/>
              <w:rPr>
                <w:rFonts w:ascii="Calibri" w:hAnsi="Calibri" w:cs="Calibri"/>
                <w:sz w:val="20"/>
                <w:szCs w:val="20"/>
                <w:lang w:eastAsia="en-AU"/>
              </w:rPr>
            </w:pPr>
            <w:r w:rsidRPr="008F3FEE">
              <w:rPr>
                <w:rFonts w:ascii="Calibri" w:eastAsia="PMingLiU" w:hAnsi="Calibri" w:cs="Calibri"/>
                <w:bCs/>
                <w:sz w:val="20"/>
                <w:szCs w:val="20"/>
              </w:rPr>
              <w:t>B</w:t>
            </w:r>
            <w:r w:rsidRPr="008F3FEE">
              <w:rPr>
                <w:rFonts w:ascii="Calibri" w:eastAsia="PMingLiU" w:hAnsi="Calibri" w:cs="Calibri"/>
                <w:bCs/>
                <w:sz w:val="20"/>
                <w:szCs w:val="20"/>
                <w:vertAlign w:val="subscript"/>
              </w:rPr>
              <w:t>2035</w:t>
            </w:r>
            <w:r w:rsidRPr="008F3FEE">
              <w:rPr>
                <w:rFonts w:ascii="Calibri" w:hAnsi="Calibri" w:cs="Calibri"/>
                <w:kern w:val="24"/>
                <w:sz w:val="20"/>
                <w:szCs w:val="20"/>
                <w:lang w:eastAsia="en-AU"/>
              </w:rPr>
              <w:t xml:space="preserve"> &lt; </w:t>
            </w:r>
            <w:r w:rsidRPr="008F3FEE">
              <w:rPr>
                <w:rFonts w:ascii="Calibri" w:eastAsia="PMingLiU" w:hAnsi="Calibri" w:cs="Calibri"/>
                <w:bCs/>
                <w:sz w:val="20"/>
                <w:szCs w:val="20"/>
              </w:rPr>
              <w:t>B</w:t>
            </w:r>
            <w:r w:rsidRPr="008F3FEE">
              <w:rPr>
                <w:rFonts w:ascii="Calibri" w:eastAsia="PMingLiU" w:hAnsi="Calibri" w:cs="Calibri"/>
                <w:bCs/>
                <w:sz w:val="20"/>
                <w:szCs w:val="20"/>
                <w:vertAlign w:val="subscript"/>
              </w:rPr>
              <w:t>MSY</w:t>
            </w:r>
          </w:p>
        </w:tc>
        <w:tc>
          <w:tcPr>
            <w:tcW w:w="871" w:type="dxa"/>
            <w:tcMar>
              <w:top w:w="15" w:type="dxa"/>
              <w:left w:w="15" w:type="dxa"/>
              <w:bottom w:w="0" w:type="dxa"/>
              <w:right w:w="15" w:type="dxa"/>
            </w:tcMar>
            <w:vAlign w:val="center"/>
          </w:tcPr>
          <w:p w14:paraId="50911864"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14</w:t>
            </w:r>
          </w:p>
        </w:tc>
        <w:tc>
          <w:tcPr>
            <w:tcW w:w="1093" w:type="dxa"/>
            <w:tcMar>
              <w:top w:w="15" w:type="dxa"/>
              <w:left w:w="15" w:type="dxa"/>
              <w:bottom w:w="0" w:type="dxa"/>
              <w:right w:w="15" w:type="dxa"/>
            </w:tcMar>
            <w:vAlign w:val="center"/>
          </w:tcPr>
          <w:p w14:paraId="6961A4A5"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23</w:t>
            </w:r>
          </w:p>
        </w:tc>
        <w:tc>
          <w:tcPr>
            <w:tcW w:w="796" w:type="dxa"/>
            <w:vAlign w:val="center"/>
          </w:tcPr>
          <w:p w14:paraId="61F6327E"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36</w:t>
            </w:r>
          </w:p>
        </w:tc>
        <w:tc>
          <w:tcPr>
            <w:tcW w:w="877" w:type="dxa"/>
            <w:vAlign w:val="center"/>
          </w:tcPr>
          <w:p w14:paraId="3CFC02D6"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50</w:t>
            </w:r>
          </w:p>
        </w:tc>
        <w:tc>
          <w:tcPr>
            <w:tcW w:w="1225" w:type="dxa"/>
            <w:tcMar>
              <w:top w:w="15" w:type="dxa"/>
              <w:left w:w="15" w:type="dxa"/>
              <w:bottom w:w="0" w:type="dxa"/>
              <w:right w:w="15" w:type="dxa"/>
            </w:tcMar>
            <w:vAlign w:val="center"/>
          </w:tcPr>
          <w:p w14:paraId="2B059746"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64</w:t>
            </w:r>
          </w:p>
        </w:tc>
        <w:tc>
          <w:tcPr>
            <w:tcW w:w="877" w:type="dxa"/>
            <w:vAlign w:val="center"/>
          </w:tcPr>
          <w:p w14:paraId="10890F81"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77</w:t>
            </w:r>
          </w:p>
        </w:tc>
        <w:tc>
          <w:tcPr>
            <w:tcW w:w="1177" w:type="dxa"/>
            <w:tcMar>
              <w:top w:w="15" w:type="dxa"/>
              <w:left w:w="15" w:type="dxa"/>
              <w:bottom w:w="0" w:type="dxa"/>
              <w:right w:w="15" w:type="dxa"/>
            </w:tcMar>
            <w:vAlign w:val="center"/>
          </w:tcPr>
          <w:p w14:paraId="75248EBE"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87</w:t>
            </w:r>
          </w:p>
        </w:tc>
        <w:tc>
          <w:tcPr>
            <w:tcW w:w="1218" w:type="dxa"/>
            <w:tcMar>
              <w:top w:w="15" w:type="dxa"/>
              <w:left w:w="15" w:type="dxa"/>
              <w:bottom w:w="0" w:type="dxa"/>
              <w:right w:w="15" w:type="dxa"/>
            </w:tcMar>
            <w:vAlign w:val="center"/>
          </w:tcPr>
          <w:p w14:paraId="168508C9"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93</w:t>
            </w:r>
          </w:p>
        </w:tc>
        <w:tc>
          <w:tcPr>
            <w:tcW w:w="877" w:type="dxa"/>
            <w:vAlign w:val="center"/>
          </w:tcPr>
          <w:p w14:paraId="08AEC0F1"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97</w:t>
            </w:r>
          </w:p>
        </w:tc>
      </w:tr>
      <w:tr w:rsidR="008F3FEE" w:rsidRPr="008F3FEE" w14:paraId="69A23068" w14:textId="77777777" w:rsidTr="00A40DCE">
        <w:trPr>
          <w:trHeight w:val="283"/>
          <w:jc w:val="center"/>
        </w:trPr>
        <w:tc>
          <w:tcPr>
            <w:tcW w:w="1731" w:type="dxa"/>
            <w:tcBorders>
              <w:bottom w:val="single" w:sz="4" w:space="0" w:color="auto"/>
            </w:tcBorders>
            <w:tcMar>
              <w:top w:w="15" w:type="dxa"/>
              <w:left w:w="108" w:type="dxa"/>
              <w:bottom w:w="0" w:type="dxa"/>
              <w:right w:w="108" w:type="dxa"/>
            </w:tcMar>
            <w:vAlign w:val="center"/>
            <w:hideMark/>
          </w:tcPr>
          <w:p w14:paraId="521D502F" w14:textId="77777777" w:rsidR="008F3FEE" w:rsidRPr="008F3FEE" w:rsidRDefault="008F3FEE" w:rsidP="00A40DCE">
            <w:pPr>
              <w:jc w:val="center"/>
              <w:rPr>
                <w:rFonts w:ascii="Calibri" w:hAnsi="Calibri" w:cs="Calibri"/>
                <w:sz w:val="20"/>
                <w:szCs w:val="20"/>
                <w:lang w:eastAsia="en-AU"/>
              </w:rPr>
            </w:pPr>
            <w:r w:rsidRPr="008F3FEE">
              <w:rPr>
                <w:rFonts w:ascii="Calibri" w:eastAsia="PMingLiU" w:hAnsi="Calibri" w:cs="Calibri"/>
                <w:bCs/>
                <w:sz w:val="20"/>
                <w:szCs w:val="20"/>
              </w:rPr>
              <w:t>F</w:t>
            </w:r>
            <w:r w:rsidRPr="008F3FEE">
              <w:rPr>
                <w:rFonts w:ascii="Calibri" w:eastAsia="PMingLiU" w:hAnsi="Calibri" w:cs="Calibri"/>
                <w:bCs/>
                <w:sz w:val="20"/>
                <w:szCs w:val="20"/>
                <w:vertAlign w:val="subscript"/>
              </w:rPr>
              <w:t>2035</w:t>
            </w:r>
            <w:r w:rsidRPr="008F3FEE">
              <w:rPr>
                <w:rFonts w:ascii="Calibri" w:hAnsi="Calibri" w:cs="Calibri"/>
                <w:kern w:val="24"/>
                <w:sz w:val="20"/>
                <w:szCs w:val="20"/>
                <w:lang w:eastAsia="en-AU"/>
              </w:rPr>
              <w:t xml:space="preserve"> &gt; F</w:t>
            </w:r>
            <w:r w:rsidRPr="008F3FEE">
              <w:rPr>
                <w:rFonts w:ascii="Calibri" w:eastAsia="PMingLiU" w:hAnsi="Calibri" w:cs="Calibri"/>
                <w:bCs/>
                <w:sz w:val="20"/>
                <w:szCs w:val="20"/>
                <w:vertAlign w:val="subscript"/>
              </w:rPr>
              <w:t>MSY</w:t>
            </w:r>
          </w:p>
        </w:tc>
        <w:tc>
          <w:tcPr>
            <w:tcW w:w="871" w:type="dxa"/>
            <w:tcBorders>
              <w:bottom w:val="single" w:sz="4" w:space="0" w:color="auto"/>
            </w:tcBorders>
            <w:tcMar>
              <w:top w:w="15" w:type="dxa"/>
              <w:left w:w="15" w:type="dxa"/>
              <w:bottom w:w="0" w:type="dxa"/>
              <w:right w:w="15" w:type="dxa"/>
            </w:tcMar>
            <w:vAlign w:val="center"/>
          </w:tcPr>
          <w:p w14:paraId="499A0985"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5</w:t>
            </w:r>
          </w:p>
        </w:tc>
        <w:tc>
          <w:tcPr>
            <w:tcW w:w="1093" w:type="dxa"/>
            <w:tcBorders>
              <w:bottom w:val="single" w:sz="4" w:space="0" w:color="auto"/>
            </w:tcBorders>
            <w:tcMar>
              <w:top w:w="15" w:type="dxa"/>
              <w:left w:w="15" w:type="dxa"/>
              <w:bottom w:w="0" w:type="dxa"/>
              <w:right w:w="15" w:type="dxa"/>
            </w:tcMar>
            <w:vAlign w:val="center"/>
          </w:tcPr>
          <w:p w14:paraId="356C031E"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12</w:t>
            </w:r>
          </w:p>
        </w:tc>
        <w:tc>
          <w:tcPr>
            <w:tcW w:w="796" w:type="dxa"/>
            <w:tcBorders>
              <w:bottom w:val="single" w:sz="4" w:space="0" w:color="auto"/>
            </w:tcBorders>
            <w:vAlign w:val="center"/>
          </w:tcPr>
          <w:p w14:paraId="0BC05A89"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23</w:t>
            </w:r>
          </w:p>
        </w:tc>
        <w:tc>
          <w:tcPr>
            <w:tcW w:w="877" w:type="dxa"/>
            <w:tcBorders>
              <w:bottom w:val="single" w:sz="4" w:space="0" w:color="auto"/>
            </w:tcBorders>
            <w:vAlign w:val="center"/>
          </w:tcPr>
          <w:p w14:paraId="6D5DFBEE"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40</w:t>
            </w:r>
          </w:p>
        </w:tc>
        <w:tc>
          <w:tcPr>
            <w:tcW w:w="1225" w:type="dxa"/>
            <w:tcBorders>
              <w:bottom w:val="single" w:sz="4" w:space="0" w:color="auto"/>
            </w:tcBorders>
            <w:tcMar>
              <w:top w:w="15" w:type="dxa"/>
              <w:left w:w="15" w:type="dxa"/>
              <w:bottom w:w="0" w:type="dxa"/>
              <w:right w:w="15" w:type="dxa"/>
            </w:tcMar>
            <w:vAlign w:val="center"/>
          </w:tcPr>
          <w:p w14:paraId="4996C236"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58</w:t>
            </w:r>
          </w:p>
        </w:tc>
        <w:tc>
          <w:tcPr>
            <w:tcW w:w="877" w:type="dxa"/>
            <w:tcBorders>
              <w:bottom w:val="single" w:sz="4" w:space="0" w:color="auto"/>
            </w:tcBorders>
            <w:vAlign w:val="center"/>
          </w:tcPr>
          <w:p w14:paraId="37A5690F" w14:textId="77777777" w:rsidR="008F3FEE" w:rsidRPr="008F3FEE" w:rsidRDefault="008F3FEE" w:rsidP="00A40DCE">
            <w:pPr>
              <w:jc w:val="center"/>
              <w:textAlignment w:val="bottom"/>
              <w:rPr>
                <w:rFonts w:ascii="Calibri" w:hAnsi="Calibri" w:cs="Calibri"/>
                <w:sz w:val="20"/>
                <w:szCs w:val="20"/>
                <w:lang w:eastAsia="ja-JP"/>
              </w:rPr>
            </w:pPr>
            <w:r w:rsidRPr="008F3FEE">
              <w:rPr>
                <w:rFonts w:ascii="Calibri" w:hAnsi="Calibri" w:cs="Calibri"/>
                <w:color w:val="000000"/>
                <w:sz w:val="20"/>
                <w:szCs w:val="20"/>
              </w:rPr>
              <w:t>75</w:t>
            </w:r>
          </w:p>
        </w:tc>
        <w:tc>
          <w:tcPr>
            <w:tcW w:w="1177" w:type="dxa"/>
            <w:tcBorders>
              <w:bottom w:val="single" w:sz="4" w:space="0" w:color="auto"/>
            </w:tcBorders>
            <w:tcMar>
              <w:top w:w="15" w:type="dxa"/>
              <w:left w:w="15" w:type="dxa"/>
              <w:bottom w:w="0" w:type="dxa"/>
              <w:right w:w="15" w:type="dxa"/>
            </w:tcMar>
            <w:vAlign w:val="center"/>
          </w:tcPr>
          <w:p w14:paraId="5FBC3D50"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87</w:t>
            </w:r>
          </w:p>
        </w:tc>
        <w:tc>
          <w:tcPr>
            <w:tcW w:w="1218" w:type="dxa"/>
            <w:tcBorders>
              <w:bottom w:val="single" w:sz="4" w:space="0" w:color="auto"/>
            </w:tcBorders>
            <w:tcMar>
              <w:top w:w="15" w:type="dxa"/>
              <w:left w:w="15" w:type="dxa"/>
              <w:bottom w:w="0" w:type="dxa"/>
              <w:right w:w="15" w:type="dxa"/>
            </w:tcMar>
            <w:vAlign w:val="center"/>
          </w:tcPr>
          <w:p w14:paraId="5389103C"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94</w:t>
            </w:r>
          </w:p>
        </w:tc>
        <w:tc>
          <w:tcPr>
            <w:tcW w:w="877" w:type="dxa"/>
            <w:tcBorders>
              <w:bottom w:val="single" w:sz="4" w:space="0" w:color="auto"/>
            </w:tcBorders>
            <w:vAlign w:val="center"/>
          </w:tcPr>
          <w:p w14:paraId="4C40B665" w14:textId="77777777" w:rsidR="008F3FEE" w:rsidRPr="008F3FEE" w:rsidRDefault="008F3FEE" w:rsidP="00A40DCE">
            <w:pPr>
              <w:jc w:val="center"/>
              <w:textAlignment w:val="bottom"/>
              <w:rPr>
                <w:rFonts w:ascii="Calibri" w:hAnsi="Calibri" w:cs="Calibri"/>
                <w:sz w:val="20"/>
                <w:szCs w:val="20"/>
                <w:lang w:eastAsia="en-AU"/>
              </w:rPr>
            </w:pPr>
            <w:r w:rsidRPr="008F3FEE">
              <w:rPr>
                <w:rFonts w:ascii="Calibri" w:hAnsi="Calibri" w:cs="Calibri"/>
                <w:color w:val="000000"/>
                <w:sz w:val="20"/>
                <w:szCs w:val="20"/>
              </w:rPr>
              <w:t>98</w:t>
            </w:r>
          </w:p>
        </w:tc>
      </w:tr>
    </w:tbl>
    <w:p w14:paraId="60759C11" w14:textId="7DF42F01" w:rsidR="00575530" w:rsidRPr="00A34B73" w:rsidRDefault="00512269" w:rsidP="00A34B73">
      <w:pPr>
        <w:spacing w:after="160" w:line="259" w:lineRule="auto"/>
        <w:rPr>
          <w:rFonts w:ascii="Calibri" w:hAnsi="Calibri" w:cs="Calibri"/>
          <w:color w:val="000000"/>
          <w:highlight w:val="yellow"/>
          <w:lang w:val="en-AU"/>
        </w:rPr>
      </w:pPr>
      <w:r w:rsidRPr="5485DB25">
        <w:rPr>
          <w:rFonts w:ascii="Calibri" w:hAnsi="Calibri" w:cs="Calibri"/>
          <w:color w:val="000000" w:themeColor="text1"/>
          <w:highlight w:val="yellow"/>
          <w:lang w:val="en-AU"/>
        </w:rPr>
        <w:br w:type="page"/>
      </w:r>
    </w:p>
    <w:p w14:paraId="3CA1DB57" w14:textId="689EED6C" w:rsidR="0058551D" w:rsidRPr="00004A87" w:rsidRDefault="0058551D" w:rsidP="002C77EE">
      <w:pPr>
        <w:pStyle w:val="AppendixHeading"/>
      </w:pPr>
      <w:bookmarkStart w:id="141" w:name="APP7"/>
      <w:bookmarkStart w:id="142" w:name="_Toc210218021"/>
      <w:r w:rsidRPr="00004A87">
        <w:lastRenderedPageBreak/>
        <w:t xml:space="preserve">Appendix </w:t>
      </w:r>
      <w:r w:rsidR="00B36C02">
        <w:t>VII</w:t>
      </w:r>
      <w:r w:rsidR="002C77EE" w:rsidRPr="00004A87">
        <w:t xml:space="preserve"> </w:t>
      </w:r>
      <w:bookmarkEnd w:id="141"/>
      <w:r w:rsidR="002C77EE" w:rsidRPr="00004A87">
        <w:t xml:space="preserve">- </w:t>
      </w:r>
      <w:r w:rsidRPr="00004A87">
        <w:t>[ Draft ] resource stock status summaries – Striped marlin</w:t>
      </w:r>
      <w:bookmarkEnd w:id="138"/>
      <w:bookmarkEnd w:id="139"/>
      <w:bookmarkEnd w:id="142"/>
    </w:p>
    <w:p w14:paraId="28686602" w14:textId="77777777" w:rsidR="0058551D" w:rsidRPr="00004A87" w:rsidRDefault="0058551D" w:rsidP="0058551D">
      <w:pPr>
        <w:shd w:val="clear" w:color="auto" w:fill="FFFFFF" w:themeFill="background1"/>
        <w:rPr>
          <w:rFonts w:ascii="Calibri" w:hAnsi="Calibri" w:cs="Calibri"/>
          <w:lang w:eastAsia="en-US"/>
        </w:rPr>
      </w:pPr>
    </w:p>
    <w:p w14:paraId="481E268E" w14:textId="77777777" w:rsidR="0058551D" w:rsidRPr="00004A87" w:rsidRDefault="0058551D" w:rsidP="0058551D">
      <w:pPr>
        <w:rPr>
          <w:rFonts w:ascii="Calibri" w:hAnsi="Calibri" w:cs="Calibri"/>
        </w:rPr>
      </w:pPr>
      <w:bookmarkStart w:id="143" w:name="_Toc335235213"/>
      <w:bookmarkStart w:id="144" w:name="_Toc335346028"/>
      <w:bookmarkStart w:id="145" w:name="_Toc335346164"/>
      <w:bookmarkStart w:id="146" w:name="_Toc335346930"/>
      <w:bookmarkStart w:id="147" w:name="_Toc335446187"/>
      <w:bookmarkStart w:id="148" w:name="_Toc335473517"/>
      <w:bookmarkStart w:id="149" w:name="_Toc335473561"/>
      <w:bookmarkStart w:id="150" w:name="_Toc336415102"/>
      <w:bookmarkStart w:id="151" w:name="_Toc336424963"/>
      <w:bookmarkStart w:id="152" w:name="_Toc336426028"/>
      <w:bookmarkStart w:id="153" w:name="_Toc336947278"/>
      <w:bookmarkStart w:id="154" w:name="_Toc336950767"/>
      <w:bookmarkStart w:id="155" w:name="_Toc367585685"/>
      <w:bookmarkStart w:id="156" w:name="_Toc367585778"/>
      <w:bookmarkStart w:id="157" w:name="_Toc367590510"/>
      <w:bookmarkStart w:id="158" w:name="_Toc368303989"/>
      <w:bookmarkStart w:id="159" w:name="_Toc368304605"/>
      <w:bookmarkStart w:id="160" w:name="_Toc368477139"/>
      <w:bookmarkStart w:id="161" w:name="_Toc401726951"/>
      <w:bookmarkStart w:id="162" w:name="_Toc402257457"/>
      <w:bookmarkStart w:id="163" w:name="_Toc402877912"/>
      <w:bookmarkStart w:id="164" w:name="_Toc402883444"/>
      <w:bookmarkStart w:id="165" w:name="_Toc427843791"/>
      <w:bookmarkStart w:id="166" w:name="_Toc428447308"/>
      <w:bookmarkStart w:id="167" w:name="_Toc429177476"/>
      <w:bookmarkStart w:id="168" w:name="_Toc429204152"/>
      <w:bookmarkStart w:id="169" w:name="_Toc429204262"/>
      <w:bookmarkStart w:id="170" w:name="_Toc430342618"/>
      <w:bookmarkStart w:id="171" w:name="_Toc462328938"/>
      <w:bookmarkStart w:id="172" w:name="_Toc462329667"/>
      <w:bookmarkStart w:id="173" w:name="_Toc462332442"/>
      <w:bookmarkStart w:id="174" w:name="_Toc462402857"/>
      <w:bookmarkStart w:id="175" w:name="_Toc462403246"/>
      <w:bookmarkStart w:id="176" w:name="_Toc462403313"/>
      <w:bookmarkStart w:id="177" w:name="_Toc462403381"/>
      <w:bookmarkStart w:id="178" w:name="_Toc492648176"/>
      <w:r w:rsidRPr="00004A87">
        <w:rPr>
          <w:rFonts w:ascii="Calibri" w:hAnsi="Calibri" w:cs="Calibri"/>
          <w:noProof/>
          <w:lang w:val="en-ZA" w:eastAsia="en-ZA"/>
        </w:rPr>
        <mc:AlternateContent>
          <mc:Choice Requires="wps">
            <w:drawing>
              <wp:anchor distT="0" distB="0" distL="114300" distR="114300" simplePos="0" relativeHeight="251658244" behindDoc="0" locked="0" layoutInCell="1" allowOverlap="1" wp14:anchorId="53058CD9" wp14:editId="16F93C9F">
                <wp:simplePos x="0" y="0"/>
                <wp:positionH relativeFrom="column">
                  <wp:posOffset>-7620</wp:posOffset>
                </wp:positionH>
                <wp:positionV relativeFrom="paragraph">
                  <wp:posOffset>-73025</wp:posOffset>
                </wp:positionV>
                <wp:extent cx="6069965" cy="904240"/>
                <wp:effectExtent l="0" t="0" r="0" b="0"/>
                <wp:wrapNone/>
                <wp:docPr id="90"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9965" cy="904240"/>
                        </a:xfrm>
                        <a:prstGeom prst="rect">
                          <a:avLst/>
                        </a:prstGeom>
                        <a:noFill/>
                        <a:ln w="6350">
                          <a:noFill/>
                        </a:ln>
                        <a:effectLst/>
                      </wps:spPr>
                      <wps:txbx>
                        <w:txbxContent>
                          <w:p w14:paraId="3A8BB594" w14:textId="7AD23D88" w:rsidR="005E594A" w:rsidRDefault="005E594A" w:rsidP="009E26FC">
                            <w:pPr>
                              <w:jc w:val="center"/>
                            </w:pPr>
                            <w:r w:rsidRPr="00270C20">
                              <w:rPr>
                                <w:rFonts w:eastAsia="Calibri"/>
                                <w:noProof/>
                                <w:lang w:val="en-ZA" w:eastAsia="en-ZA"/>
                              </w:rPr>
                              <w:drawing>
                                <wp:inline distT="0" distB="0" distL="0" distR="0" wp14:anchorId="5352C812" wp14:editId="6E8F72C7">
                                  <wp:extent cx="2238375" cy="786774"/>
                                  <wp:effectExtent l="0" t="0" r="0" b="0"/>
                                  <wp:docPr id="1541753927" name="Picture 1541753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241962" cy="7880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058CD9" id="Text Box 90" o:spid="_x0000_s1030" type="#_x0000_t202" style="position:absolute;margin-left:-.6pt;margin-top:-5.75pt;width:477.95pt;height:71.2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" filled="f" stroked="f" strokeweight=".5pt">
                <v:textbox>
                  <w:txbxContent>
                    <w:p w14:paraId="3A8BB594" w14:textId="7AD23D88" w:rsidR="005E594A" w:rsidRDefault="005E594A" w:rsidP="009E26FC">
                      <w:pPr>
                        <w:jc w:val="center"/>
                      </w:pPr>
                      <w:r w:rsidRPr="00270C20">
                        <w:rPr>
                          <w:rFonts w:eastAsia="Calibri"/>
                          <w:noProof/>
                          <w:lang w:val="en-ZA" w:eastAsia="en-ZA"/>
                        </w:rPr>
                        <w:drawing>
                          <wp:inline distT="0" distB="0" distL="0" distR="0" wp14:anchorId="5352C812" wp14:editId="6E8F72C7">
                            <wp:extent cx="2238375" cy="786774"/>
                            <wp:effectExtent l="0" t="0" r="0" b="0"/>
                            <wp:docPr id="1541753927" name="Picture 1541753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241962" cy="788035"/>
                                    </a:xfrm>
                                    <a:prstGeom prst="rect">
                                      <a:avLst/>
                                    </a:prstGeom>
                                    <a:noFill/>
                                    <a:ln>
                                      <a:noFill/>
                                    </a:ln>
                                  </pic:spPr>
                                </pic:pic>
                              </a:graphicData>
                            </a:graphic>
                          </wp:inline>
                        </w:drawing>
                      </w:r>
                    </w:p>
                  </w:txbxContent>
                </v:textbox>
              </v:shape>
            </w:pict>
          </mc:Fallback>
        </mc:AlternateContent>
      </w:r>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14:paraId="47B9E888" w14:textId="77777777" w:rsidR="0058551D" w:rsidRPr="00004A87" w:rsidRDefault="0058551D" w:rsidP="0058551D">
      <w:pPr>
        <w:pStyle w:val="AnnexTitle"/>
        <w:shd w:val="clear" w:color="auto" w:fill="FFFFFF" w:themeFill="background1"/>
        <w:spacing w:after="0"/>
        <w:rPr>
          <w:rFonts w:ascii="Calibri" w:hAnsi="Calibri" w:cs="Calibri"/>
          <w:kern w:val="32"/>
          <w:lang w:val="en-GB"/>
        </w:rPr>
      </w:pPr>
    </w:p>
    <w:p w14:paraId="421A862B" w14:textId="77777777" w:rsidR="0058551D" w:rsidRPr="0037320B" w:rsidRDefault="0058551D" w:rsidP="0058551D">
      <w:pPr>
        <w:pStyle w:val="AnnexTitle"/>
        <w:shd w:val="clear" w:color="auto" w:fill="FFFFFF" w:themeFill="background1"/>
        <w:spacing w:after="0"/>
        <w:jc w:val="right"/>
        <w:rPr>
          <w:rFonts w:ascii="Calibri" w:hAnsi="Calibri" w:cs="Calibri"/>
          <w:kern w:val="32"/>
          <w:highlight w:val="yellow"/>
          <w:lang w:val="en-GB"/>
        </w:rPr>
      </w:pPr>
    </w:p>
    <w:p w14:paraId="0E99F485" w14:textId="77777777" w:rsidR="0058551D" w:rsidRPr="0037320B" w:rsidRDefault="0058551D" w:rsidP="0058551D">
      <w:pPr>
        <w:pStyle w:val="AnnexTitle"/>
        <w:shd w:val="clear" w:color="auto" w:fill="FFFFFF" w:themeFill="background1"/>
        <w:spacing w:after="0"/>
        <w:rPr>
          <w:rFonts w:ascii="Calibri" w:hAnsi="Calibri" w:cs="Calibri"/>
          <w:kern w:val="32"/>
          <w:highlight w:val="yellow"/>
          <w:lang w:val="en-GB"/>
        </w:rPr>
      </w:pPr>
    </w:p>
    <w:p w14:paraId="43463E13" w14:textId="77777777" w:rsidR="0058551D" w:rsidRPr="0037320B" w:rsidRDefault="0058551D" w:rsidP="0058551D">
      <w:pPr>
        <w:pStyle w:val="AnnexTitle"/>
        <w:shd w:val="clear" w:color="auto" w:fill="FFFFFF" w:themeFill="background1"/>
        <w:spacing w:after="0"/>
        <w:rPr>
          <w:rFonts w:ascii="Calibri" w:hAnsi="Calibri" w:cs="Calibri"/>
          <w:kern w:val="32"/>
          <w:highlight w:val="yellow"/>
          <w:lang w:val="en-GB"/>
        </w:rPr>
      </w:pPr>
    </w:p>
    <w:p w14:paraId="6C82ADFF" w14:textId="77777777" w:rsidR="00D95EAD" w:rsidRPr="00784C3D" w:rsidRDefault="00D95EAD" w:rsidP="00D95EAD">
      <w:pPr>
        <w:spacing w:after="120"/>
        <w:jc w:val="center"/>
        <w:rPr>
          <w:rFonts w:ascii="Calibri" w:hAnsi="Calibri" w:cs="Calibri"/>
        </w:rPr>
      </w:pPr>
      <w:bookmarkStart w:id="179" w:name="_Toc336947279"/>
      <w:bookmarkStart w:id="180" w:name="_Toc430342619"/>
      <w:r w:rsidRPr="00784C3D">
        <w:rPr>
          <w:rFonts w:ascii="Calibri" w:hAnsi="Calibri" w:cs="Calibri"/>
          <w:b/>
        </w:rPr>
        <w:t>Table 1</w:t>
      </w:r>
      <w:r w:rsidRPr="00784C3D">
        <w:rPr>
          <w:rFonts w:ascii="Calibri" w:hAnsi="Calibri" w:cs="Calibri"/>
        </w:rPr>
        <w:t>. Status of striped marlin (</w:t>
      </w:r>
      <w:r w:rsidRPr="00784C3D">
        <w:rPr>
          <w:rFonts w:ascii="Calibri" w:hAnsi="Calibri" w:cs="Calibri"/>
          <w:i/>
        </w:rPr>
        <w:t>Kajikia audax</w:t>
      </w:r>
      <w:r w:rsidRPr="00784C3D">
        <w:rPr>
          <w:rFonts w:ascii="Calibri" w:hAnsi="Calibri" w:cs="Calibri"/>
        </w:rPr>
        <w:t>) in the Indian Ocean</w:t>
      </w:r>
    </w:p>
    <w:tbl>
      <w:tblPr>
        <w:tblStyle w:val="TableGrid25311"/>
        <w:tblW w:w="9225" w:type="dxa"/>
        <w:jc w:val="center"/>
        <w:tblLayout w:type="fixed"/>
        <w:tblLook w:val="04A0" w:firstRow="1" w:lastRow="0" w:firstColumn="1" w:lastColumn="0" w:noHBand="0" w:noVBand="1"/>
      </w:tblPr>
      <w:tblGrid>
        <w:gridCol w:w="2370"/>
        <w:gridCol w:w="2755"/>
        <w:gridCol w:w="2467"/>
        <w:gridCol w:w="1633"/>
      </w:tblGrid>
      <w:tr w:rsidR="00D95EAD" w:rsidRPr="00784C3D" w14:paraId="41698BAD" w14:textId="77777777" w:rsidTr="00444A1C">
        <w:trPr>
          <w:trHeight w:val="960"/>
          <w:jc w:val="center"/>
        </w:trPr>
        <w:tc>
          <w:tcPr>
            <w:tcW w:w="2370" w:type="dxa"/>
            <w:tcBorders>
              <w:top w:val="single" w:sz="4" w:space="0" w:color="auto"/>
              <w:left w:val="single" w:sz="4" w:space="0" w:color="auto"/>
              <w:bottom w:val="single" w:sz="4" w:space="0" w:color="auto"/>
              <w:right w:val="single" w:sz="4" w:space="0" w:color="auto"/>
            </w:tcBorders>
            <w:vAlign w:val="center"/>
            <w:hideMark/>
          </w:tcPr>
          <w:p w14:paraId="6C59F7DC" w14:textId="77777777" w:rsidR="00D95EAD" w:rsidRPr="00784C3D" w:rsidRDefault="00D95EAD" w:rsidP="00444A1C">
            <w:pPr>
              <w:jc w:val="center"/>
              <w:rPr>
                <w:rFonts w:ascii="Calibri" w:hAnsi="Calibri" w:cs="Calibri"/>
                <w:b/>
                <w:color w:val="000000"/>
                <w:sz w:val="20"/>
              </w:rPr>
            </w:pPr>
            <w:r w:rsidRPr="00784C3D">
              <w:rPr>
                <w:rFonts w:ascii="Calibri" w:hAnsi="Calibri" w:cs="Calibri"/>
                <w:b/>
                <w:color w:val="000000"/>
                <w:sz w:val="20"/>
              </w:rPr>
              <w:t>Area</w:t>
            </w:r>
            <w:r w:rsidRPr="00784C3D">
              <w:rPr>
                <w:rFonts w:ascii="Calibri" w:hAnsi="Calibri" w:cs="Calibri"/>
                <w:b/>
                <w:color w:val="000000"/>
                <w:sz w:val="20"/>
                <w:vertAlign w:val="superscript"/>
              </w:rPr>
              <w:t>1</w:t>
            </w:r>
          </w:p>
        </w:tc>
        <w:tc>
          <w:tcPr>
            <w:tcW w:w="5222" w:type="dxa"/>
            <w:gridSpan w:val="2"/>
            <w:tcBorders>
              <w:top w:val="single" w:sz="4" w:space="0" w:color="auto"/>
              <w:left w:val="single" w:sz="4" w:space="0" w:color="auto"/>
              <w:bottom w:val="single" w:sz="4" w:space="0" w:color="auto"/>
              <w:right w:val="single" w:sz="4" w:space="0" w:color="auto"/>
            </w:tcBorders>
            <w:vAlign w:val="center"/>
            <w:hideMark/>
          </w:tcPr>
          <w:p w14:paraId="5286A63C" w14:textId="77777777" w:rsidR="00D95EAD" w:rsidRPr="00784C3D" w:rsidRDefault="00D95EAD" w:rsidP="00444A1C">
            <w:pPr>
              <w:autoSpaceDE w:val="0"/>
              <w:jc w:val="center"/>
              <w:rPr>
                <w:rFonts w:ascii="Calibri" w:hAnsi="Calibri" w:cs="Calibri"/>
                <w:b/>
                <w:color w:val="000000"/>
                <w:sz w:val="20"/>
              </w:rPr>
            </w:pPr>
            <w:r w:rsidRPr="00784C3D">
              <w:rPr>
                <w:rFonts w:ascii="Calibri" w:hAnsi="Calibri" w:cs="Calibri"/>
                <w:b/>
                <w:color w:val="000000"/>
                <w:sz w:val="20"/>
              </w:rPr>
              <w:t>Indicators</w:t>
            </w:r>
          </w:p>
        </w:tc>
        <w:tc>
          <w:tcPr>
            <w:tcW w:w="1633" w:type="dxa"/>
            <w:tcBorders>
              <w:top w:val="single" w:sz="4" w:space="0" w:color="auto"/>
              <w:left w:val="single" w:sz="4" w:space="0" w:color="auto"/>
              <w:bottom w:val="single" w:sz="4" w:space="0" w:color="auto"/>
              <w:right w:val="single" w:sz="4" w:space="0" w:color="auto"/>
            </w:tcBorders>
            <w:vAlign w:val="center"/>
            <w:hideMark/>
          </w:tcPr>
          <w:p w14:paraId="12A43A9E" w14:textId="77777777" w:rsidR="00D95EAD" w:rsidRPr="00EB7B5A" w:rsidRDefault="00D95EAD" w:rsidP="00444A1C">
            <w:pPr>
              <w:autoSpaceDE w:val="0"/>
              <w:jc w:val="center"/>
              <w:rPr>
                <w:rFonts w:ascii="Calibri" w:hAnsi="Calibri" w:cs="Calibri"/>
                <w:b/>
                <w:color w:val="000000"/>
                <w:sz w:val="20"/>
                <w:vertAlign w:val="superscript"/>
              </w:rPr>
            </w:pPr>
            <w:r w:rsidRPr="00784C3D">
              <w:rPr>
                <w:rFonts w:ascii="Calibri" w:hAnsi="Calibri" w:cs="Calibri"/>
                <w:b/>
                <w:sz w:val="20"/>
              </w:rPr>
              <w:t>202</w:t>
            </w:r>
            <w:r>
              <w:rPr>
                <w:rFonts w:ascii="Calibri" w:hAnsi="Calibri" w:cs="Calibri"/>
                <w:b/>
                <w:sz w:val="20"/>
              </w:rPr>
              <w:t>4</w:t>
            </w:r>
            <w:r w:rsidRPr="00784C3D">
              <w:rPr>
                <w:rFonts w:ascii="Calibri" w:hAnsi="Calibri" w:cs="Calibri"/>
                <w:b/>
                <w:sz w:val="20"/>
              </w:rPr>
              <w:t xml:space="preserve"> </w:t>
            </w:r>
            <w:r w:rsidRPr="00784C3D">
              <w:rPr>
                <w:rFonts w:ascii="Calibri" w:hAnsi="Calibri" w:cs="Calibri"/>
                <w:b/>
                <w:color w:val="000000"/>
                <w:sz w:val="20"/>
              </w:rPr>
              <w:t>stock status determination</w:t>
            </w:r>
            <w:r>
              <w:rPr>
                <w:rFonts w:ascii="Calibri" w:hAnsi="Calibri" w:cs="Calibri"/>
                <w:b/>
                <w:color w:val="000000"/>
                <w:sz w:val="20"/>
                <w:vertAlign w:val="superscript"/>
              </w:rPr>
              <w:t>5</w:t>
            </w:r>
          </w:p>
        </w:tc>
      </w:tr>
      <w:tr w:rsidR="00F86804" w:rsidRPr="00784C3D" w14:paraId="7BDB2342" w14:textId="77777777" w:rsidTr="00444A1C">
        <w:trPr>
          <w:trHeight w:val="530"/>
          <w:jc w:val="center"/>
        </w:trPr>
        <w:tc>
          <w:tcPr>
            <w:tcW w:w="2370" w:type="dxa"/>
            <w:vMerge w:val="restart"/>
            <w:tcBorders>
              <w:top w:val="single" w:sz="4" w:space="0" w:color="auto"/>
              <w:left w:val="single" w:sz="4" w:space="0" w:color="auto"/>
              <w:bottom w:val="single" w:sz="4" w:space="0" w:color="auto"/>
              <w:right w:val="single" w:sz="4" w:space="0" w:color="auto"/>
            </w:tcBorders>
            <w:vAlign w:val="center"/>
            <w:hideMark/>
          </w:tcPr>
          <w:p w14:paraId="0920423E" w14:textId="77777777" w:rsidR="00F86804" w:rsidRPr="00784C3D" w:rsidRDefault="00F86804" w:rsidP="00F86804">
            <w:pPr>
              <w:jc w:val="center"/>
              <w:rPr>
                <w:rFonts w:ascii="Calibri" w:hAnsi="Calibri" w:cs="Calibri"/>
                <w:sz w:val="20"/>
              </w:rPr>
            </w:pPr>
            <w:r w:rsidRPr="00784C3D">
              <w:rPr>
                <w:rFonts w:ascii="Calibri" w:hAnsi="Calibri" w:cs="Calibri"/>
                <w:sz w:val="20"/>
              </w:rPr>
              <w:t>Indian Ocean</w:t>
            </w:r>
          </w:p>
        </w:tc>
        <w:tc>
          <w:tcPr>
            <w:tcW w:w="2755" w:type="dxa"/>
            <w:tcBorders>
              <w:top w:val="single" w:sz="4" w:space="0" w:color="auto"/>
              <w:left w:val="single" w:sz="4" w:space="0" w:color="auto"/>
              <w:bottom w:val="single" w:sz="4" w:space="0" w:color="auto"/>
              <w:right w:val="single" w:sz="4" w:space="0" w:color="auto"/>
            </w:tcBorders>
            <w:vAlign w:val="center"/>
            <w:hideMark/>
          </w:tcPr>
          <w:p w14:paraId="2B6B41C8" w14:textId="77777777" w:rsidR="00F86804" w:rsidRPr="00784C3D" w:rsidRDefault="00F86804" w:rsidP="00F86804">
            <w:pPr>
              <w:tabs>
                <w:tab w:val="right" w:pos="932"/>
                <w:tab w:val="left" w:pos="1168"/>
              </w:tabs>
              <w:jc w:val="right"/>
              <w:rPr>
                <w:rFonts w:ascii="Calibri" w:hAnsi="Calibri" w:cs="Calibri"/>
                <w:sz w:val="20"/>
              </w:rPr>
            </w:pPr>
            <w:r w:rsidRPr="00784C3D">
              <w:rPr>
                <w:rFonts w:ascii="Calibri" w:hAnsi="Calibri" w:cs="Calibri"/>
                <w:sz w:val="20"/>
              </w:rPr>
              <w:t>Catch 202</w:t>
            </w:r>
            <w:r>
              <w:rPr>
                <w:rFonts w:ascii="Calibri" w:hAnsi="Calibri" w:cs="Calibri"/>
                <w:sz w:val="20"/>
              </w:rPr>
              <w:t>3</w:t>
            </w:r>
            <w:r w:rsidRPr="00784C3D">
              <w:rPr>
                <w:rFonts w:ascii="Calibri" w:hAnsi="Calibri" w:cs="Calibri"/>
                <w:sz w:val="20"/>
                <w:vertAlign w:val="superscript"/>
              </w:rPr>
              <w:t>2</w:t>
            </w:r>
            <w:r w:rsidRPr="00784C3D">
              <w:rPr>
                <w:rFonts w:ascii="Calibri" w:hAnsi="Calibri" w:cs="Calibri"/>
                <w:sz w:val="20"/>
              </w:rPr>
              <w:t xml:space="preserve"> (t)</w:t>
            </w:r>
          </w:p>
          <w:p w14:paraId="71472D17" w14:textId="4CC76382" w:rsidR="00F86804" w:rsidRPr="00784C3D" w:rsidRDefault="00F86804" w:rsidP="00F86804">
            <w:pPr>
              <w:jc w:val="right"/>
              <w:rPr>
                <w:rFonts w:ascii="Calibri" w:hAnsi="Calibri" w:cs="Calibri"/>
                <w:sz w:val="20"/>
              </w:rPr>
            </w:pPr>
            <w:r w:rsidRPr="00784C3D">
              <w:rPr>
                <w:rFonts w:ascii="Calibri" w:hAnsi="Calibri" w:cs="Calibri"/>
                <w:sz w:val="20"/>
              </w:rPr>
              <w:t>Average catch 201</w:t>
            </w:r>
            <w:r>
              <w:rPr>
                <w:rFonts w:ascii="Calibri" w:hAnsi="Calibri" w:cs="Calibri"/>
                <w:sz w:val="20"/>
              </w:rPr>
              <w:t>9</w:t>
            </w:r>
            <w:r w:rsidRPr="00784C3D">
              <w:rPr>
                <w:rFonts w:ascii="Calibri" w:hAnsi="Calibri" w:cs="Calibri"/>
                <w:sz w:val="20"/>
              </w:rPr>
              <w:t>-202</w:t>
            </w:r>
            <w:r>
              <w:rPr>
                <w:rFonts w:ascii="Calibri" w:hAnsi="Calibri" w:cs="Calibri"/>
                <w:sz w:val="20"/>
              </w:rPr>
              <w:t>3</w:t>
            </w:r>
            <w:r w:rsidRPr="00784C3D">
              <w:rPr>
                <w:rFonts w:ascii="Calibri" w:hAnsi="Calibri" w:cs="Calibri"/>
                <w:sz w:val="20"/>
              </w:rPr>
              <w:t xml:space="preserve"> (t)</w:t>
            </w:r>
          </w:p>
        </w:tc>
        <w:tc>
          <w:tcPr>
            <w:tcW w:w="2467" w:type="dxa"/>
            <w:tcBorders>
              <w:top w:val="single" w:sz="4" w:space="0" w:color="auto"/>
              <w:left w:val="single" w:sz="4" w:space="0" w:color="auto"/>
              <w:bottom w:val="single" w:sz="4" w:space="0" w:color="auto"/>
              <w:right w:val="single" w:sz="4" w:space="0" w:color="auto"/>
            </w:tcBorders>
            <w:vAlign w:val="center"/>
            <w:hideMark/>
          </w:tcPr>
          <w:p w14:paraId="1A7AAC16" w14:textId="77777777" w:rsidR="00F86804" w:rsidRDefault="00F86804" w:rsidP="00F86804">
            <w:pPr>
              <w:rPr>
                <w:rFonts w:ascii="Calibri" w:hAnsi="Calibri" w:cs="Calibri"/>
                <w:sz w:val="20"/>
                <w:szCs w:val="20"/>
              </w:rPr>
            </w:pPr>
            <w:r w:rsidRPr="13FF365C">
              <w:rPr>
                <w:rFonts w:ascii="Calibri" w:hAnsi="Calibri" w:cs="Calibri"/>
                <w:sz w:val="20"/>
                <w:szCs w:val="20"/>
              </w:rPr>
              <w:t>3,556</w:t>
            </w:r>
          </w:p>
          <w:p w14:paraId="6CD0508F" w14:textId="6F2880A3" w:rsidR="00F86804" w:rsidRPr="00784C3D" w:rsidRDefault="00F86804" w:rsidP="00F86804">
            <w:pPr>
              <w:rPr>
                <w:rFonts w:ascii="Calibri" w:hAnsi="Calibri" w:cs="Calibri"/>
                <w:sz w:val="20"/>
              </w:rPr>
            </w:pPr>
            <w:r w:rsidRPr="13FF365C">
              <w:rPr>
                <w:rFonts w:ascii="Calibri" w:hAnsi="Calibri" w:cs="Calibri"/>
                <w:sz w:val="20"/>
                <w:szCs w:val="20"/>
              </w:rPr>
              <w:t>3,017</w:t>
            </w:r>
          </w:p>
        </w:tc>
        <w:tc>
          <w:tcPr>
            <w:tcW w:w="1633" w:type="dxa"/>
            <w:vMerge w:val="restart"/>
            <w:tcBorders>
              <w:top w:val="single" w:sz="4" w:space="0" w:color="auto"/>
              <w:left w:val="single" w:sz="4" w:space="0" w:color="auto"/>
              <w:bottom w:val="single" w:sz="4" w:space="0" w:color="auto"/>
              <w:right w:val="single" w:sz="4" w:space="0" w:color="auto"/>
            </w:tcBorders>
            <w:shd w:val="clear" w:color="auto" w:fill="FF0000"/>
            <w:vAlign w:val="center"/>
            <w:hideMark/>
          </w:tcPr>
          <w:p w14:paraId="0EAF72FE" w14:textId="77777777" w:rsidR="00F86804" w:rsidRPr="00784C3D" w:rsidRDefault="00F86804" w:rsidP="00F86804">
            <w:pPr>
              <w:keepNext/>
              <w:keepLines/>
              <w:jc w:val="center"/>
              <w:outlineLvl w:val="0"/>
              <w:rPr>
                <w:rFonts w:ascii="Calibri" w:hAnsi="Calibri" w:cs="Calibri"/>
                <w:b/>
                <w:bCs/>
                <w:smallCaps/>
                <w:color w:val="FFFFFF"/>
                <w:kern w:val="32"/>
                <w:sz w:val="28"/>
                <w:szCs w:val="28"/>
              </w:rPr>
            </w:pPr>
            <w:r w:rsidRPr="00784C3D">
              <w:rPr>
                <w:rFonts w:ascii="Calibri" w:hAnsi="Calibri" w:cs="Calibri"/>
                <w:b/>
                <w:color w:val="FFFFFF"/>
                <w:sz w:val="28"/>
                <w:szCs w:val="28"/>
                <w:highlight w:val="red"/>
              </w:rPr>
              <w:t>100%</w:t>
            </w:r>
            <w:r w:rsidRPr="00784C3D">
              <w:rPr>
                <w:rFonts w:ascii="Calibri" w:hAnsi="Calibri" w:cs="Calibri"/>
                <w:b/>
                <w:color w:val="FFFFFF"/>
                <w:sz w:val="28"/>
                <w:szCs w:val="28"/>
              </w:rPr>
              <w:t>*</w:t>
            </w:r>
          </w:p>
        </w:tc>
      </w:tr>
      <w:tr w:rsidR="00D95EAD" w:rsidRPr="00784C3D" w14:paraId="392470C2" w14:textId="77777777" w:rsidTr="00444A1C">
        <w:trPr>
          <w:trHeight w:val="530"/>
          <w:jc w:val="center"/>
        </w:trPr>
        <w:tc>
          <w:tcPr>
            <w:tcW w:w="2370" w:type="dxa"/>
            <w:vMerge/>
            <w:tcBorders>
              <w:top w:val="single" w:sz="4" w:space="0" w:color="auto"/>
              <w:left w:val="single" w:sz="4" w:space="0" w:color="auto"/>
              <w:bottom w:val="single" w:sz="4" w:space="0" w:color="auto"/>
              <w:right w:val="single" w:sz="4" w:space="0" w:color="auto"/>
            </w:tcBorders>
            <w:vAlign w:val="center"/>
            <w:hideMark/>
          </w:tcPr>
          <w:p w14:paraId="20E48288" w14:textId="77777777" w:rsidR="00D95EAD" w:rsidRPr="00784C3D" w:rsidRDefault="00D95EAD" w:rsidP="00444A1C">
            <w:pPr>
              <w:rPr>
                <w:rFonts w:ascii="Calibri" w:hAnsi="Calibri" w:cs="Calibri"/>
                <w:sz w:val="20"/>
              </w:rPr>
            </w:pPr>
          </w:p>
        </w:tc>
        <w:tc>
          <w:tcPr>
            <w:tcW w:w="2755" w:type="dxa"/>
            <w:tcBorders>
              <w:top w:val="single" w:sz="4" w:space="0" w:color="auto"/>
              <w:left w:val="single" w:sz="4" w:space="0" w:color="auto"/>
              <w:bottom w:val="single" w:sz="4" w:space="0" w:color="auto"/>
              <w:right w:val="single" w:sz="4" w:space="0" w:color="auto"/>
            </w:tcBorders>
            <w:vAlign w:val="center"/>
            <w:hideMark/>
          </w:tcPr>
          <w:p w14:paraId="79705014" w14:textId="77777777" w:rsidR="00D95EAD" w:rsidRPr="00784C3D" w:rsidRDefault="00D95EAD" w:rsidP="00444A1C">
            <w:pPr>
              <w:tabs>
                <w:tab w:val="right" w:pos="932"/>
                <w:tab w:val="left" w:pos="1168"/>
              </w:tabs>
              <w:jc w:val="right"/>
              <w:rPr>
                <w:rFonts w:ascii="Calibri" w:hAnsi="Calibri" w:cs="Calibri"/>
                <w:sz w:val="20"/>
                <w:lang w:val="it-IT"/>
              </w:rPr>
            </w:pPr>
            <w:r w:rsidRPr="00784C3D">
              <w:rPr>
                <w:rFonts w:ascii="Calibri" w:hAnsi="Calibri" w:cs="Calibri"/>
                <w:sz w:val="20"/>
                <w:lang w:val="it-IT"/>
              </w:rPr>
              <w:t>MSY (1,000 t) (JABBA)</w:t>
            </w:r>
          </w:p>
          <w:p w14:paraId="64BD03B4" w14:textId="77777777" w:rsidR="00D95EAD" w:rsidRPr="00784C3D" w:rsidRDefault="00D95EAD" w:rsidP="00444A1C">
            <w:pPr>
              <w:tabs>
                <w:tab w:val="right" w:pos="932"/>
                <w:tab w:val="left" w:pos="1168"/>
              </w:tabs>
              <w:jc w:val="right"/>
              <w:rPr>
                <w:rFonts w:ascii="Calibri" w:hAnsi="Calibri" w:cs="Calibri"/>
                <w:sz w:val="20"/>
                <w:lang w:val="it-IT"/>
              </w:rPr>
            </w:pPr>
            <w:r w:rsidRPr="00784C3D">
              <w:rPr>
                <w:rFonts w:ascii="Calibri" w:hAnsi="Calibri" w:cs="Calibri"/>
                <w:sz w:val="20"/>
                <w:lang w:val="it-IT"/>
              </w:rPr>
              <w:t>MSY (1,000 t) (SS3)</w:t>
            </w:r>
          </w:p>
          <w:p w14:paraId="4243F4B8" w14:textId="77777777" w:rsidR="00D95EAD" w:rsidRPr="00784C3D" w:rsidRDefault="00D95EAD" w:rsidP="00444A1C">
            <w:pPr>
              <w:tabs>
                <w:tab w:val="right" w:pos="932"/>
                <w:tab w:val="left" w:pos="1168"/>
              </w:tabs>
              <w:jc w:val="right"/>
              <w:rPr>
                <w:rFonts w:ascii="Calibri" w:hAnsi="Calibri" w:cs="Calibri"/>
                <w:sz w:val="20"/>
                <w:lang w:val="it-IT"/>
              </w:rPr>
            </w:pPr>
            <w:r w:rsidRPr="00784C3D">
              <w:rPr>
                <w:rFonts w:ascii="Calibri" w:hAnsi="Calibri" w:cs="Calibri"/>
                <w:sz w:val="20"/>
                <w:lang w:val="it-IT"/>
              </w:rPr>
              <w:t>F</w:t>
            </w:r>
            <w:r w:rsidRPr="00784C3D">
              <w:rPr>
                <w:rFonts w:ascii="Calibri" w:hAnsi="Calibri" w:cs="Calibri"/>
                <w:sz w:val="20"/>
                <w:vertAlign w:val="subscript"/>
                <w:lang w:val="it-IT"/>
              </w:rPr>
              <w:t>MSY</w:t>
            </w:r>
            <w:r w:rsidRPr="00784C3D">
              <w:rPr>
                <w:rFonts w:ascii="Calibri" w:hAnsi="Calibri" w:cs="Calibri"/>
                <w:sz w:val="20"/>
                <w:lang w:val="it-IT"/>
              </w:rPr>
              <w:t xml:space="preserve"> (JABBA)</w:t>
            </w:r>
          </w:p>
          <w:p w14:paraId="44101900" w14:textId="77777777" w:rsidR="00D95EAD" w:rsidRPr="00784C3D" w:rsidRDefault="00D95EAD" w:rsidP="00444A1C">
            <w:pPr>
              <w:tabs>
                <w:tab w:val="right" w:pos="932"/>
                <w:tab w:val="left" w:pos="1168"/>
              </w:tabs>
              <w:jc w:val="right"/>
              <w:rPr>
                <w:rFonts w:ascii="Calibri" w:hAnsi="Calibri" w:cs="Calibri"/>
                <w:sz w:val="20"/>
                <w:lang w:val="it-IT"/>
              </w:rPr>
            </w:pPr>
            <w:r w:rsidRPr="00784C3D">
              <w:rPr>
                <w:rFonts w:ascii="Calibri" w:hAnsi="Calibri" w:cs="Calibri"/>
                <w:sz w:val="20"/>
                <w:lang w:val="it-IT"/>
              </w:rPr>
              <w:t>F</w:t>
            </w:r>
            <w:r w:rsidRPr="00784C3D">
              <w:rPr>
                <w:rFonts w:ascii="Calibri" w:hAnsi="Calibri" w:cs="Calibri"/>
                <w:sz w:val="20"/>
                <w:vertAlign w:val="subscript"/>
                <w:lang w:val="it-IT"/>
              </w:rPr>
              <w:t>MSY</w:t>
            </w:r>
            <w:r w:rsidRPr="00784C3D">
              <w:rPr>
                <w:rFonts w:ascii="Calibri" w:hAnsi="Calibri" w:cs="Calibri"/>
                <w:sz w:val="20"/>
                <w:lang w:val="it-IT"/>
              </w:rPr>
              <w:t xml:space="preserve"> (SS3)</w:t>
            </w:r>
          </w:p>
          <w:p w14:paraId="389BECE4" w14:textId="77777777" w:rsidR="00D95EAD" w:rsidRPr="00784C3D" w:rsidRDefault="00D95EAD" w:rsidP="00444A1C">
            <w:pPr>
              <w:tabs>
                <w:tab w:val="right" w:pos="932"/>
                <w:tab w:val="left" w:pos="1168"/>
              </w:tabs>
              <w:jc w:val="right"/>
              <w:rPr>
                <w:rFonts w:ascii="Calibri" w:hAnsi="Calibri" w:cs="Calibri"/>
                <w:sz w:val="20"/>
                <w:lang w:val="it-IT"/>
              </w:rPr>
            </w:pPr>
            <w:r w:rsidRPr="00784C3D">
              <w:rPr>
                <w:rFonts w:ascii="Calibri" w:hAnsi="Calibri" w:cs="Calibri"/>
                <w:sz w:val="20"/>
                <w:lang w:val="it-IT"/>
              </w:rPr>
              <w:t>F</w:t>
            </w:r>
            <w:r w:rsidRPr="00784C3D">
              <w:rPr>
                <w:rFonts w:ascii="Calibri" w:hAnsi="Calibri" w:cs="Calibri"/>
                <w:sz w:val="20"/>
                <w:vertAlign w:val="subscript"/>
                <w:lang w:val="it-IT"/>
              </w:rPr>
              <w:t>20</w:t>
            </w:r>
            <w:r>
              <w:rPr>
                <w:rFonts w:ascii="Calibri" w:hAnsi="Calibri" w:cs="Calibri"/>
                <w:sz w:val="20"/>
                <w:vertAlign w:val="subscript"/>
                <w:lang w:val="it-IT"/>
              </w:rPr>
              <w:t>22</w:t>
            </w:r>
            <w:r w:rsidRPr="00784C3D">
              <w:rPr>
                <w:rFonts w:ascii="Calibri" w:hAnsi="Calibri" w:cs="Calibri"/>
                <w:sz w:val="20"/>
                <w:vertAlign w:val="subscript"/>
                <w:lang w:val="it-IT"/>
              </w:rPr>
              <w:t>/</w:t>
            </w:r>
            <w:r w:rsidRPr="00784C3D">
              <w:rPr>
                <w:rFonts w:ascii="Calibri" w:hAnsi="Calibri" w:cs="Calibri"/>
                <w:sz w:val="20"/>
                <w:lang w:val="it-IT"/>
              </w:rPr>
              <w:t>F</w:t>
            </w:r>
            <w:r w:rsidRPr="00784C3D">
              <w:rPr>
                <w:rFonts w:ascii="Calibri" w:hAnsi="Calibri" w:cs="Calibri"/>
                <w:sz w:val="20"/>
                <w:vertAlign w:val="subscript"/>
                <w:lang w:val="it-IT"/>
              </w:rPr>
              <w:t xml:space="preserve">MSY </w:t>
            </w:r>
            <w:r w:rsidRPr="00784C3D">
              <w:rPr>
                <w:rFonts w:ascii="Calibri" w:hAnsi="Calibri" w:cs="Calibri"/>
                <w:sz w:val="20"/>
                <w:lang w:val="it-IT"/>
              </w:rPr>
              <w:t>(JABBA)</w:t>
            </w:r>
          </w:p>
          <w:p w14:paraId="50DBC324" w14:textId="77777777" w:rsidR="00D95EAD" w:rsidRPr="00784C3D" w:rsidRDefault="00D95EAD" w:rsidP="00444A1C">
            <w:pPr>
              <w:tabs>
                <w:tab w:val="right" w:pos="932"/>
                <w:tab w:val="left" w:pos="1168"/>
              </w:tabs>
              <w:jc w:val="right"/>
              <w:rPr>
                <w:rFonts w:ascii="Calibri" w:hAnsi="Calibri" w:cs="Calibri"/>
                <w:sz w:val="20"/>
                <w:lang w:val="it-IT"/>
              </w:rPr>
            </w:pPr>
            <w:r w:rsidRPr="00784C3D">
              <w:rPr>
                <w:rFonts w:ascii="Calibri" w:hAnsi="Calibri" w:cs="Calibri"/>
                <w:sz w:val="20"/>
                <w:lang w:val="it-IT"/>
              </w:rPr>
              <w:t>F</w:t>
            </w:r>
            <w:r w:rsidRPr="00784C3D">
              <w:rPr>
                <w:rFonts w:ascii="Calibri" w:hAnsi="Calibri" w:cs="Calibri"/>
                <w:sz w:val="20"/>
                <w:vertAlign w:val="subscript"/>
                <w:lang w:val="it-IT"/>
              </w:rPr>
              <w:t>20</w:t>
            </w:r>
            <w:r>
              <w:rPr>
                <w:rFonts w:ascii="Calibri" w:hAnsi="Calibri" w:cs="Calibri"/>
                <w:sz w:val="20"/>
                <w:vertAlign w:val="subscript"/>
                <w:lang w:val="it-IT"/>
              </w:rPr>
              <w:t>22</w:t>
            </w:r>
            <w:r w:rsidRPr="00784C3D">
              <w:rPr>
                <w:rFonts w:ascii="Calibri" w:hAnsi="Calibri" w:cs="Calibri"/>
                <w:sz w:val="20"/>
                <w:vertAlign w:val="subscript"/>
                <w:lang w:val="it-IT"/>
              </w:rPr>
              <w:t>/</w:t>
            </w:r>
            <w:r w:rsidRPr="00784C3D">
              <w:rPr>
                <w:rFonts w:ascii="Calibri" w:hAnsi="Calibri" w:cs="Calibri"/>
                <w:sz w:val="20"/>
                <w:lang w:val="it-IT"/>
              </w:rPr>
              <w:t>F</w:t>
            </w:r>
            <w:r w:rsidRPr="00784C3D">
              <w:rPr>
                <w:rFonts w:ascii="Calibri" w:hAnsi="Calibri" w:cs="Calibri"/>
                <w:sz w:val="20"/>
                <w:vertAlign w:val="subscript"/>
                <w:lang w:val="it-IT"/>
              </w:rPr>
              <w:t xml:space="preserve">MSY </w:t>
            </w:r>
            <w:r w:rsidRPr="00784C3D">
              <w:rPr>
                <w:rFonts w:ascii="Calibri" w:hAnsi="Calibri" w:cs="Calibri"/>
                <w:sz w:val="20"/>
                <w:lang w:val="it-IT"/>
              </w:rPr>
              <w:t>(SS3)</w:t>
            </w:r>
          </w:p>
          <w:p w14:paraId="19DA0D87" w14:textId="77777777" w:rsidR="00D95EAD" w:rsidRPr="00784C3D" w:rsidRDefault="00D95EAD" w:rsidP="00444A1C">
            <w:pPr>
              <w:tabs>
                <w:tab w:val="right" w:pos="932"/>
                <w:tab w:val="left" w:pos="1168"/>
              </w:tabs>
              <w:jc w:val="right"/>
              <w:rPr>
                <w:rFonts w:ascii="Calibri" w:hAnsi="Calibri" w:cs="Calibri"/>
                <w:sz w:val="20"/>
                <w:lang w:val="it-IT"/>
              </w:rPr>
            </w:pPr>
            <w:r w:rsidRPr="00784C3D">
              <w:rPr>
                <w:rFonts w:ascii="Calibri" w:hAnsi="Calibri" w:cs="Calibri"/>
                <w:sz w:val="20"/>
                <w:lang w:val="it-IT"/>
              </w:rPr>
              <w:t>B</w:t>
            </w:r>
            <w:r w:rsidRPr="00784C3D">
              <w:rPr>
                <w:rFonts w:ascii="Calibri" w:hAnsi="Calibri" w:cs="Calibri"/>
                <w:sz w:val="20"/>
                <w:vertAlign w:val="subscript"/>
                <w:lang w:val="it-IT"/>
              </w:rPr>
              <w:t>20</w:t>
            </w:r>
            <w:r>
              <w:rPr>
                <w:rFonts w:ascii="Calibri" w:hAnsi="Calibri" w:cs="Calibri"/>
                <w:sz w:val="20"/>
                <w:vertAlign w:val="subscript"/>
                <w:lang w:val="it-IT"/>
              </w:rPr>
              <w:t>22</w:t>
            </w:r>
            <w:r w:rsidRPr="00784C3D">
              <w:rPr>
                <w:rFonts w:ascii="Calibri" w:hAnsi="Calibri" w:cs="Calibri"/>
                <w:sz w:val="20"/>
                <w:vertAlign w:val="subscript"/>
                <w:lang w:val="it-IT"/>
              </w:rPr>
              <w:t>/</w:t>
            </w:r>
            <w:r w:rsidRPr="00784C3D">
              <w:rPr>
                <w:rFonts w:ascii="Calibri" w:hAnsi="Calibri" w:cs="Calibri"/>
                <w:sz w:val="20"/>
                <w:lang w:val="it-IT"/>
              </w:rPr>
              <w:t xml:space="preserve"> B</w:t>
            </w:r>
            <w:r>
              <w:rPr>
                <w:rFonts w:ascii="Calibri" w:hAnsi="Calibri" w:cs="Calibri"/>
                <w:sz w:val="20"/>
                <w:vertAlign w:val="subscript"/>
                <w:lang w:val="it-IT"/>
              </w:rPr>
              <w:t>msy</w:t>
            </w:r>
            <w:r w:rsidRPr="00784C3D" w:rsidDel="00F562DC">
              <w:rPr>
                <w:rFonts w:ascii="Calibri" w:hAnsi="Calibri" w:cs="Calibri"/>
                <w:sz w:val="20"/>
                <w:vertAlign w:val="subscript"/>
                <w:lang w:val="it-IT"/>
              </w:rPr>
              <w:t xml:space="preserve"> </w:t>
            </w:r>
            <w:r w:rsidRPr="00784C3D">
              <w:rPr>
                <w:rFonts w:ascii="Calibri" w:hAnsi="Calibri" w:cs="Calibri"/>
                <w:sz w:val="20"/>
                <w:lang w:val="it-IT"/>
              </w:rPr>
              <w:t>(JABBA)</w:t>
            </w:r>
          </w:p>
          <w:p w14:paraId="5D45B887" w14:textId="77777777" w:rsidR="00D95EAD" w:rsidRPr="00784C3D" w:rsidRDefault="00D95EAD" w:rsidP="00444A1C">
            <w:pPr>
              <w:tabs>
                <w:tab w:val="right" w:pos="932"/>
                <w:tab w:val="left" w:pos="1168"/>
              </w:tabs>
              <w:jc w:val="right"/>
              <w:rPr>
                <w:rFonts w:ascii="Calibri" w:hAnsi="Calibri" w:cs="Calibri"/>
                <w:sz w:val="20"/>
                <w:lang w:val="it-IT"/>
              </w:rPr>
            </w:pPr>
            <w:r w:rsidRPr="00784C3D">
              <w:rPr>
                <w:rFonts w:ascii="Calibri" w:hAnsi="Calibri" w:cs="Calibri"/>
                <w:sz w:val="20"/>
                <w:lang w:val="it-IT"/>
              </w:rPr>
              <w:t>SB</w:t>
            </w:r>
            <w:r w:rsidRPr="00784C3D">
              <w:rPr>
                <w:rFonts w:ascii="Calibri" w:hAnsi="Calibri" w:cs="Calibri"/>
                <w:sz w:val="20"/>
                <w:vertAlign w:val="subscript"/>
                <w:lang w:val="it-IT"/>
              </w:rPr>
              <w:t>20</w:t>
            </w:r>
            <w:r>
              <w:rPr>
                <w:rFonts w:ascii="Calibri" w:hAnsi="Calibri" w:cs="Calibri"/>
                <w:sz w:val="20"/>
                <w:vertAlign w:val="subscript"/>
                <w:lang w:val="it-IT"/>
              </w:rPr>
              <w:t>22</w:t>
            </w:r>
            <w:r w:rsidRPr="00784C3D">
              <w:rPr>
                <w:rFonts w:ascii="Calibri" w:hAnsi="Calibri" w:cs="Calibri"/>
                <w:sz w:val="20"/>
                <w:lang w:val="it-IT"/>
              </w:rPr>
              <w:t>/SB</w:t>
            </w:r>
            <w:r w:rsidRPr="00784C3D">
              <w:rPr>
                <w:rFonts w:ascii="Calibri" w:hAnsi="Calibri" w:cs="Calibri"/>
                <w:sz w:val="20"/>
                <w:vertAlign w:val="subscript"/>
                <w:lang w:val="it-IT"/>
              </w:rPr>
              <w:t>MSY</w:t>
            </w:r>
            <w:r w:rsidRPr="00784C3D">
              <w:rPr>
                <w:rFonts w:ascii="Calibri" w:hAnsi="Calibri" w:cs="Calibri"/>
                <w:sz w:val="20"/>
                <w:lang w:val="it-IT"/>
              </w:rPr>
              <w:t xml:space="preserve"> (SS3)</w:t>
            </w:r>
            <w:r w:rsidRPr="00784C3D">
              <w:rPr>
                <w:rFonts w:ascii="Calibri" w:hAnsi="Calibri" w:cs="Calibri"/>
                <w:sz w:val="20"/>
                <w:vertAlign w:val="superscript"/>
                <w:lang w:val="it-IT"/>
              </w:rPr>
              <w:t>4</w:t>
            </w:r>
          </w:p>
          <w:p w14:paraId="56C4EDA1" w14:textId="77777777" w:rsidR="00D95EAD" w:rsidRPr="00784C3D" w:rsidRDefault="00D95EAD" w:rsidP="00444A1C">
            <w:pPr>
              <w:tabs>
                <w:tab w:val="right" w:pos="932"/>
                <w:tab w:val="left" w:pos="1168"/>
              </w:tabs>
              <w:jc w:val="right"/>
              <w:rPr>
                <w:rFonts w:ascii="Calibri" w:hAnsi="Calibri" w:cs="Calibri"/>
                <w:sz w:val="20"/>
                <w:szCs w:val="20"/>
                <w:lang w:val="it-IT"/>
              </w:rPr>
            </w:pPr>
            <w:r w:rsidRPr="00784C3D">
              <w:rPr>
                <w:rFonts w:ascii="Calibri" w:hAnsi="Calibri" w:cs="Calibri"/>
                <w:sz w:val="20"/>
                <w:lang w:val="it-IT"/>
              </w:rPr>
              <w:t>B</w:t>
            </w:r>
            <w:r w:rsidRPr="00784C3D">
              <w:rPr>
                <w:rFonts w:ascii="Calibri" w:hAnsi="Calibri" w:cs="Calibri"/>
                <w:sz w:val="20"/>
                <w:vertAlign w:val="subscript"/>
                <w:lang w:val="it-IT"/>
              </w:rPr>
              <w:t>20</w:t>
            </w:r>
            <w:r>
              <w:rPr>
                <w:rFonts w:ascii="Calibri" w:hAnsi="Calibri" w:cs="Calibri"/>
                <w:sz w:val="20"/>
                <w:vertAlign w:val="subscript"/>
                <w:lang w:val="it-IT"/>
              </w:rPr>
              <w:t>22</w:t>
            </w:r>
            <w:r w:rsidRPr="00784C3D">
              <w:rPr>
                <w:rFonts w:ascii="Calibri" w:hAnsi="Calibri" w:cs="Calibri"/>
                <w:sz w:val="20"/>
                <w:lang w:val="it-IT"/>
              </w:rPr>
              <w:t>/B</w:t>
            </w:r>
            <w:r w:rsidRPr="00784C3D">
              <w:rPr>
                <w:rFonts w:ascii="Calibri" w:hAnsi="Calibri" w:cs="Calibri"/>
                <w:sz w:val="20"/>
                <w:vertAlign w:val="subscript"/>
                <w:lang w:val="it-IT"/>
              </w:rPr>
              <w:t>0</w:t>
            </w:r>
            <w:r w:rsidRPr="00784C3D">
              <w:rPr>
                <w:rFonts w:ascii="Calibri" w:hAnsi="Calibri" w:cs="Calibri"/>
                <w:sz w:val="20"/>
                <w:lang w:val="it-IT"/>
              </w:rPr>
              <w:t>(JABBA</w:t>
            </w:r>
            <w:r w:rsidRPr="00784C3D">
              <w:rPr>
                <w:rFonts w:ascii="Calibri" w:hAnsi="Calibri" w:cs="Calibri"/>
                <w:sz w:val="20"/>
                <w:szCs w:val="20"/>
                <w:lang w:val="it-IT"/>
              </w:rPr>
              <w:t>)</w:t>
            </w:r>
          </w:p>
          <w:p w14:paraId="5BDD2A7B" w14:textId="77777777" w:rsidR="00D95EAD" w:rsidRPr="00784C3D" w:rsidRDefault="00D95EAD" w:rsidP="00444A1C">
            <w:pPr>
              <w:widowControl w:val="0"/>
              <w:snapToGrid w:val="0"/>
              <w:jc w:val="right"/>
              <w:rPr>
                <w:rFonts w:ascii="Calibri" w:hAnsi="Calibri" w:cs="Calibri"/>
                <w:sz w:val="20"/>
                <w:lang w:val="it-IT"/>
              </w:rPr>
            </w:pPr>
            <w:r w:rsidRPr="00784C3D">
              <w:rPr>
                <w:rFonts w:ascii="Calibri" w:eastAsia="MS Mincho" w:hAnsi="Calibri" w:cs="Calibri"/>
                <w:kern w:val="2"/>
                <w:sz w:val="20"/>
                <w:szCs w:val="20"/>
                <w:lang w:eastAsia="ja-JP"/>
              </w:rPr>
              <w:t>SB</w:t>
            </w:r>
            <w:r w:rsidRPr="00784C3D">
              <w:rPr>
                <w:rFonts w:ascii="Calibri" w:hAnsi="Calibri" w:cs="Calibri"/>
                <w:sz w:val="20"/>
                <w:vertAlign w:val="subscript"/>
                <w:lang w:val="it-IT"/>
              </w:rPr>
              <w:t>20</w:t>
            </w:r>
            <w:r>
              <w:rPr>
                <w:rFonts w:ascii="Calibri" w:hAnsi="Calibri" w:cs="Calibri"/>
                <w:sz w:val="20"/>
                <w:vertAlign w:val="subscript"/>
                <w:lang w:val="it-IT"/>
              </w:rPr>
              <w:t>22</w:t>
            </w:r>
            <w:r w:rsidRPr="00784C3D">
              <w:rPr>
                <w:rFonts w:ascii="Calibri" w:eastAsia="MS Mincho" w:hAnsi="Calibri" w:cs="Calibri"/>
                <w:kern w:val="2"/>
                <w:sz w:val="20"/>
                <w:szCs w:val="20"/>
                <w:lang w:eastAsia="ja-JP"/>
              </w:rPr>
              <w:t>/SB</w:t>
            </w:r>
            <w:r w:rsidRPr="00784C3D">
              <w:rPr>
                <w:rFonts w:ascii="Calibri" w:eastAsia="MS Mincho" w:hAnsi="Calibri" w:cs="Calibri"/>
                <w:kern w:val="2"/>
                <w:sz w:val="20"/>
                <w:szCs w:val="20"/>
                <w:vertAlign w:val="subscript"/>
                <w:lang w:eastAsia="ja-JP"/>
              </w:rPr>
              <w:t xml:space="preserve">0 </w:t>
            </w:r>
            <w:r w:rsidRPr="00784C3D">
              <w:rPr>
                <w:rFonts w:ascii="Calibri" w:hAnsi="Calibri" w:cs="Calibri"/>
                <w:sz w:val="20"/>
                <w:lang w:val="it-IT"/>
              </w:rPr>
              <w:t>(SS3)</w:t>
            </w:r>
          </w:p>
        </w:tc>
        <w:tc>
          <w:tcPr>
            <w:tcW w:w="2467" w:type="dxa"/>
            <w:tcBorders>
              <w:top w:val="single" w:sz="4" w:space="0" w:color="auto"/>
              <w:left w:val="single" w:sz="4" w:space="0" w:color="auto"/>
              <w:bottom w:val="single" w:sz="4" w:space="0" w:color="auto"/>
              <w:right w:val="single" w:sz="4" w:space="0" w:color="auto"/>
            </w:tcBorders>
            <w:hideMark/>
          </w:tcPr>
          <w:p w14:paraId="4EB3873A" w14:textId="77777777" w:rsidR="00D95EAD" w:rsidRPr="00784C3D" w:rsidRDefault="00D95EAD" w:rsidP="00444A1C">
            <w:pPr>
              <w:rPr>
                <w:rFonts w:ascii="Calibri" w:hAnsi="Calibri" w:cs="Calibri"/>
                <w:kern w:val="24"/>
                <w:sz w:val="20"/>
              </w:rPr>
            </w:pPr>
            <w:r w:rsidRPr="00784C3D">
              <w:rPr>
                <w:rFonts w:ascii="Calibri" w:hAnsi="Calibri" w:cs="Calibri"/>
                <w:kern w:val="24"/>
                <w:sz w:val="20"/>
              </w:rPr>
              <w:t>4.</w:t>
            </w:r>
            <w:r>
              <w:rPr>
                <w:rFonts w:ascii="Calibri" w:hAnsi="Calibri" w:cs="Calibri"/>
                <w:kern w:val="24"/>
                <w:sz w:val="20"/>
              </w:rPr>
              <w:t>73</w:t>
            </w:r>
            <w:r w:rsidRPr="00784C3D">
              <w:rPr>
                <w:rFonts w:ascii="Calibri" w:hAnsi="Calibri" w:cs="Calibri"/>
                <w:kern w:val="24"/>
                <w:sz w:val="20"/>
              </w:rPr>
              <w:t xml:space="preserve"> (4.</w:t>
            </w:r>
            <w:r>
              <w:rPr>
                <w:rFonts w:ascii="Calibri" w:hAnsi="Calibri" w:cs="Calibri"/>
                <w:kern w:val="24"/>
                <w:sz w:val="20"/>
              </w:rPr>
              <w:t>2</w:t>
            </w:r>
            <w:r w:rsidRPr="00784C3D">
              <w:rPr>
                <w:rFonts w:ascii="Calibri" w:hAnsi="Calibri" w:cs="Calibri"/>
                <w:kern w:val="24"/>
                <w:sz w:val="20"/>
              </w:rPr>
              <w:t xml:space="preserve">2 </w:t>
            </w:r>
            <w:r>
              <w:rPr>
                <w:rFonts w:ascii="Calibri" w:hAnsi="Calibri" w:cs="Calibri"/>
                <w:kern w:val="24"/>
                <w:sz w:val="20"/>
              </w:rPr>
              <w:t>–</w:t>
            </w:r>
            <w:r w:rsidRPr="00784C3D">
              <w:rPr>
                <w:rFonts w:ascii="Calibri" w:hAnsi="Calibri" w:cs="Calibri"/>
                <w:kern w:val="24"/>
                <w:sz w:val="20"/>
              </w:rPr>
              <w:t xml:space="preserve"> 5.</w:t>
            </w:r>
            <w:r>
              <w:rPr>
                <w:rFonts w:ascii="Calibri" w:hAnsi="Calibri" w:cs="Calibri"/>
                <w:kern w:val="24"/>
                <w:sz w:val="20"/>
              </w:rPr>
              <w:t>24</w:t>
            </w:r>
            <w:r w:rsidRPr="00784C3D">
              <w:rPr>
                <w:rFonts w:ascii="Calibri" w:hAnsi="Calibri" w:cs="Calibri"/>
                <w:kern w:val="24"/>
                <w:sz w:val="20"/>
              </w:rPr>
              <w:t>)</w:t>
            </w:r>
            <w:r w:rsidRPr="00784C3D">
              <w:rPr>
                <w:rFonts w:ascii="Calibri" w:hAnsi="Calibri" w:cs="Calibri"/>
                <w:kern w:val="24"/>
                <w:sz w:val="20"/>
                <w:vertAlign w:val="superscript"/>
              </w:rPr>
              <w:t>3</w:t>
            </w:r>
          </w:p>
          <w:p w14:paraId="58578E0A" w14:textId="77777777" w:rsidR="00D95EAD" w:rsidRPr="00784C3D" w:rsidRDefault="00D95EAD" w:rsidP="00444A1C">
            <w:pPr>
              <w:rPr>
                <w:rFonts w:ascii="Calibri" w:hAnsi="Calibri" w:cs="Calibri"/>
                <w:kern w:val="24"/>
                <w:sz w:val="20"/>
              </w:rPr>
            </w:pPr>
            <w:r w:rsidRPr="00784C3D">
              <w:rPr>
                <w:rFonts w:ascii="Calibri" w:hAnsi="Calibri" w:cs="Calibri"/>
                <w:kern w:val="24"/>
                <w:sz w:val="20"/>
              </w:rPr>
              <w:t>4.8</w:t>
            </w:r>
            <w:r>
              <w:rPr>
                <w:rFonts w:ascii="Calibri" w:hAnsi="Calibri" w:cs="Calibri"/>
                <w:kern w:val="24"/>
                <w:sz w:val="20"/>
              </w:rPr>
              <w:t>9</w:t>
            </w:r>
            <w:r w:rsidRPr="00784C3D">
              <w:rPr>
                <w:rFonts w:ascii="Calibri" w:hAnsi="Calibri" w:cs="Calibri"/>
                <w:kern w:val="24"/>
                <w:sz w:val="20"/>
              </w:rPr>
              <w:t xml:space="preserve"> (</w:t>
            </w:r>
            <w:r>
              <w:rPr>
                <w:rFonts w:ascii="Calibri" w:hAnsi="Calibri" w:cs="Calibri"/>
                <w:kern w:val="24"/>
                <w:sz w:val="20"/>
              </w:rPr>
              <w:t>4.48</w:t>
            </w:r>
            <w:r w:rsidRPr="00784C3D">
              <w:rPr>
                <w:rFonts w:ascii="Calibri" w:hAnsi="Calibri" w:cs="Calibri"/>
                <w:kern w:val="24"/>
                <w:sz w:val="20"/>
              </w:rPr>
              <w:t>-</w:t>
            </w:r>
            <w:r>
              <w:rPr>
                <w:rFonts w:ascii="Calibri" w:hAnsi="Calibri" w:cs="Calibri"/>
                <w:kern w:val="24"/>
                <w:sz w:val="20"/>
              </w:rPr>
              <w:t>5.30</w:t>
            </w:r>
            <w:r w:rsidRPr="00784C3D">
              <w:rPr>
                <w:rFonts w:ascii="Calibri" w:hAnsi="Calibri" w:cs="Calibri"/>
                <w:kern w:val="24"/>
                <w:sz w:val="20"/>
              </w:rPr>
              <w:t>)</w:t>
            </w:r>
          </w:p>
          <w:p w14:paraId="31F10AE6" w14:textId="77777777" w:rsidR="00D95EAD" w:rsidRPr="00784C3D" w:rsidRDefault="00D95EAD" w:rsidP="00444A1C">
            <w:pPr>
              <w:rPr>
                <w:rFonts w:ascii="Calibri" w:hAnsi="Calibri" w:cs="Calibri"/>
                <w:kern w:val="24"/>
                <w:sz w:val="20"/>
              </w:rPr>
            </w:pPr>
            <w:r w:rsidRPr="00784C3D">
              <w:rPr>
                <w:rFonts w:ascii="Calibri" w:hAnsi="Calibri" w:cs="Calibri"/>
                <w:kern w:val="24"/>
                <w:sz w:val="20"/>
              </w:rPr>
              <w:t>0.26 (0.20–0.3</w:t>
            </w:r>
            <w:r>
              <w:rPr>
                <w:rFonts w:ascii="Calibri" w:hAnsi="Calibri" w:cs="Calibri"/>
                <w:kern w:val="24"/>
                <w:sz w:val="20"/>
              </w:rPr>
              <w:t>5</w:t>
            </w:r>
            <w:r w:rsidRPr="00784C3D">
              <w:rPr>
                <w:rFonts w:ascii="Calibri" w:hAnsi="Calibri" w:cs="Calibri"/>
                <w:kern w:val="24"/>
                <w:sz w:val="20"/>
              </w:rPr>
              <w:t xml:space="preserve">) </w:t>
            </w:r>
          </w:p>
          <w:p w14:paraId="073BD74D" w14:textId="77777777" w:rsidR="00D95EAD" w:rsidRPr="00784C3D" w:rsidRDefault="00D95EAD" w:rsidP="00444A1C">
            <w:pPr>
              <w:rPr>
                <w:rFonts w:ascii="Calibri" w:hAnsi="Calibri" w:cs="Calibri"/>
                <w:kern w:val="24"/>
                <w:sz w:val="20"/>
              </w:rPr>
            </w:pPr>
            <w:r w:rsidRPr="00784C3D">
              <w:rPr>
                <w:rFonts w:ascii="Calibri" w:hAnsi="Calibri" w:cs="Calibri"/>
                <w:kern w:val="24"/>
                <w:sz w:val="20"/>
              </w:rPr>
              <w:t>0.2</w:t>
            </w:r>
            <w:r>
              <w:rPr>
                <w:rFonts w:ascii="Calibri" w:hAnsi="Calibri" w:cs="Calibri"/>
                <w:kern w:val="24"/>
                <w:sz w:val="20"/>
              </w:rPr>
              <w:t>2</w:t>
            </w:r>
            <w:r w:rsidRPr="00784C3D">
              <w:rPr>
                <w:rFonts w:ascii="Calibri" w:hAnsi="Calibri" w:cs="Calibri"/>
                <w:kern w:val="24"/>
                <w:sz w:val="20"/>
              </w:rPr>
              <w:t xml:space="preserve"> (</w:t>
            </w:r>
            <w:r>
              <w:rPr>
                <w:rFonts w:ascii="Calibri" w:hAnsi="Calibri" w:cs="Calibri"/>
                <w:kern w:val="24"/>
                <w:sz w:val="20"/>
              </w:rPr>
              <w:t>0.21</w:t>
            </w:r>
            <w:r w:rsidRPr="00784C3D">
              <w:rPr>
                <w:rFonts w:ascii="Calibri" w:hAnsi="Calibri" w:cs="Calibri"/>
                <w:kern w:val="24"/>
                <w:sz w:val="20"/>
              </w:rPr>
              <w:t>–</w:t>
            </w:r>
            <w:r>
              <w:rPr>
                <w:rFonts w:ascii="Calibri" w:hAnsi="Calibri" w:cs="Calibri"/>
                <w:kern w:val="24"/>
                <w:sz w:val="20"/>
              </w:rPr>
              <w:t xml:space="preserve">0.24) </w:t>
            </w:r>
          </w:p>
          <w:p w14:paraId="1DBF4BDD" w14:textId="77777777" w:rsidR="00D95EAD" w:rsidRPr="00784C3D" w:rsidRDefault="00D95EAD" w:rsidP="00444A1C">
            <w:pPr>
              <w:rPr>
                <w:rFonts w:ascii="Calibri" w:hAnsi="Calibri" w:cs="Calibri"/>
                <w:kern w:val="24"/>
                <w:sz w:val="20"/>
              </w:rPr>
            </w:pPr>
            <w:r>
              <w:rPr>
                <w:rFonts w:ascii="Calibri" w:hAnsi="Calibri" w:cs="Calibri"/>
                <w:kern w:val="24"/>
                <w:sz w:val="20"/>
              </w:rPr>
              <w:t>3</w:t>
            </w:r>
            <w:r w:rsidRPr="00784C3D">
              <w:rPr>
                <w:rFonts w:ascii="Calibri" w:hAnsi="Calibri" w:cs="Calibri"/>
                <w:kern w:val="24"/>
                <w:sz w:val="20"/>
              </w:rPr>
              <w:t>.</w:t>
            </w:r>
            <w:r>
              <w:rPr>
                <w:rFonts w:ascii="Calibri" w:hAnsi="Calibri" w:cs="Calibri"/>
                <w:kern w:val="24"/>
                <w:sz w:val="20"/>
              </w:rPr>
              <w:t>95</w:t>
            </w:r>
            <w:r w:rsidRPr="00784C3D">
              <w:rPr>
                <w:rFonts w:ascii="Calibri" w:hAnsi="Calibri" w:cs="Calibri"/>
                <w:kern w:val="24"/>
                <w:sz w:val="20"/>
              </w:rPr>
              <w:t xml:space="preserve"> (</w:t>
            </w:r>
            <w:r>
              <w:rPr>
                <w:rFonts w:ascii="Calibri" w:hAnsi="Calibri" w:cs="Calibri"/>
                <w:kern w:val="24"/>
                <w:sz w:val="20"/>
              </w:rPr>
              <w:t>2</w:t>
            </w:r>
            <w:r w:rsidRPr="00784C3D">
              <w:rPr>
                <w:rFonts w:ascii="Calibri" w:hAnsi="Calibri" w:cs="Calibri"/>
                <w:kern w:val="24"/>
                <w:sz w:val="20"/>
              </w:rPr>
              <w:t>.</w:t>
            </w:r>
            <w:r>
              <w:rPr>
                <w:rFonts w:ascii="Calibri" w:hAnsi="Calibri" w:cs="Calibri"/>
                <w:kern w:val="24"/>
                <w:sz w:val="20"/>
              </w:rPr>
              <w:t>54</w:t>
            </w:r>
            <w:r w:rsidRPr="00784C3D">
              <w:rPr>
                <w:rFonts w:ascii="Calibri" w:hAnsi="Calibri" w:cs="Calibri"/>
                <w:kern w:val="24"/>
                <w:sz w:val="20"/>
              </w:rPr>
              <w:t xml:space="preserve"> - </w:t>
            </w:r>
            <w:r>
              <w:rPr>
                <w:rFonts w:ascii="Calibri" w:hAnsi="Calibri" w:cs="Calibri"/>
                <w:kern w:val="24"/>
                <w:sz w:val="20"/>
              </w:rPr>
              <w:t>6</w:t>
            </w:r>
            <w:r w:rsidRPr="00784C3D">
              <w:rPr>
                <w:rFonts w:ascii="Calibri" w:hAnsi="Calibri" w:cs="Calibri"/>
                <w:kern w:val="24"/>
                <w:sz w:val="20"/>
              </w:rPr>
              <w:t>.</w:t>
            </w:r>
            <w:r>
              <w:rPr>
                <w:rFonts w:ascii="Calibri" w:hAnsi="Calibri" w:cs="Calibri"/>
                <w:kern w:val="24"/>
                <w:sz w:val="20"/>
              </w:rPr>
              <w:t>14</w:t>
            </w:r>
            <w:r w:rsidRPr="00784C3D">
              <w:rPr>
                <w:rFonts w:ascii="Calibri" w:hAnsi="Calibri" w:cs="Calibri"/>
                <w:kern w:val="24"/>
                <w:sz w:val="20"/>
              </w:rPr>
              <w:t>)</w:t>
            </w:r>
          </w:p>
          <w:p w14:paraId="4ECE1B2D" w14:textId="77777777" w:rsidR="00D95EAD" w:rsidRPr="00784C3D" w:rsidRDefault="00D95EAD" w:rsidP="00444A1C">
            <w:pPr>
              <w:rPr>
                <w:rFonts w:ascii="Calibri" w:hAnsi="Calibri" w:cs="Calibri"/>
                <w:kern w:val="24"/>
                <w:sz w:val="20"/>
              </w:rPr>
            </w:pPr>
            <w:r>
              <w:rPr>
                <w:rFonts w:ascii="Calibri" w:hAnsi="Calibri" w:cs="Calibri"/>
                <w:kern w:val="24"/>
                <w:sz w:val="20"/>
              </w:rPr>
              <w:t>9</w:t>
            </w:r>
            <w:r w:rsidRPr="00784C3D">
              <w:rPr>
                <w:rFonts w:ascii="Calibri" w:hAnsi="Calibri" w:cs="Calibri"/>
                <w:kern w:val="24"/>
                <w:sz w:val="20"/>
              </w:rPr>
              <w:t>.</w:t>
            </w:r>
            <w:r>
              <w:rPr>
                <w:rFonts w:ascii="Calibri" w:hAnsi="Calibri" w:cs="Calibri"/>
                <w:kern w:val="24"/>
                <w:sz w:val="20"/>
              </w:rPr>
              <w:t>26</w:t>
            </w:r>
            <w:r w:rsidRPr="00784C3D">
              <w:rPr>
                <w:rFonts w:ascii="Calibri" w:hAnsi="Calibri" w:cs="Calibri"/>
                <w:kern w:val="24"/>
                <w:sz w:val="20"/>
              </w:rPr>
              <w:t xml:space="preserve"> (</w:t>
            </w:r>
            <w:r>
              <w:rPr>
                <w:rFonts w:ascii="Calibri" w:hAnsi="Calibri" w:cs="Calibri"/>
                <w:kern w:val="24"/>
                <w:sz w:val="20"/>
              </w:rPr>
              <w:t>5.38</w:t>
            </w:r>
            <w:r w:rsidRPr="00784C3D">
              <w:rPr>
                <w:rFonts w:ascii="Calibri" w:hAnsi="Calibri" w:cs="Calibri"/>
                <w:kern w:val="24"/>
                <w:sz w:val="20"/>
              </w:rPr>
              <w:t>-</w:t>
            </w:r>
            <w:r>
              <w:rPr>
                <w:rFonts w:ascii="Calibri" w:hAnsi="Calibri" w:cs="Calibri"/>
                <w:kern w:val="24"/>
                <w:sz w:val="20"/>
              </w:rPr>
              <w:t>13.14</w:t>
            </w:r>
            <w:r w:rsidRPr="00784C3D">
              <w:rPr>
                <w:rFonts w:ascii="Calibri" w:hAnsi="Calibri" w:cs="Calibri"/>
                <w:kern w:val="24"/>
                <w:sz w:val="20"/>
              </w:rPr>
              <w:t>)</w:t>
            </w:r>
          </w:p>
          <w:p w14:paraId="53F56889" w14:textId="77777777" w:rsidR="00D95EAD" w:rsidRPr="00784C3D" w:rsidRDefault="00D95EAD" w:rsidP="00444A1C">
            <w:pPr>
              <w:rPr>
                <w:rFonts w:ascii="Calibri" w:hAnsi="Calibri" w:cs="Calibri"/>
                <w:kern w:val="24"/>
                <w:sz w:val="20"/>
              </w:rPr>
            </w:pPr>
            <w:r w:rsidRPr="00784C3D">
              <w:rPr>
                <w:rFonts w:ascii="Calibri" w:hAnsi="Calibri" w:cs="Calibri"/>
                <w:kern w:val="24"/>
                <w:sz w:val="20"/>
              </w:rPr>
              <w:t>0.</w:t>
            </w:r>
            <w:r>
              <w:rPr>
                <w:rFonts w:ascii="Calibri" w:hAnsi="Calibri" w:cs="Calibri"/>
                <w:kern w:val="24"/>
                <w:sz w:val="20"/>
              </w:rPr>
              <w:t>17</w:t>
            </w:r>
            <w:r w:rsidRPr="00784C3D">
              <w:rPr>
                <w:rFonts w:ascii="Calibri" w:hAnsi="Calibri" w:cs="Calibri"/>
                <w:kern w:val="24"/>
                <w:sz w:val="20"/>
              </w:rPr>
              <w:t xml:space="preserve"> (0.</w:t>
            </w:r>
            <w:r>
              <w:rPr>
                <w:rFonts w:ascii="Calibri" w:hAnsi="Calibri" w:cs="Calibri"/>
                <w:kern w:val="24"/>
                <w:sz w:val="20"/>
              </w:rPr>
              <w:t>11</w:t>
            </w:r>
            <w:r w:rsidRPr="00784C3D">
              <w:rPr>
                <w:rFonts w:ascii="Calibri" w:hAnsi="Calibri" w:cs="Calibri"/>
                <w:kern w:val="24"/>
                <w:sz w:val="20"/>
              </w:rPr>
              <w:t xml:space="preserve"> - 0.</w:t>
            </w:r>
            <w:r>
              <w:rPr>
                <w:rFonts w:ascii="Calibri" w:hAnsi="Calibri" w:cs="Calibri"/>
                <w:kern w:val="24"/>
                <w:sz w:val="20"/>
              </w:rPr>
              <w:t>27</w:t>
            </w:r>
            <w:r w:rsidRPr="00784C3D">
              <w:rPr>
                <w:rFonts w:ascii="Calibri" w:hAnsi="Calibri" w:cs="Calibri"/>
                <w:kern w:val="24"/>
                <w:sz w:val="20"/>
              </w:rPr>
              <w:t>)</w:t>
            </w:r>
          </w:p>
          <w:p w14:paraId="08B82BC9" w14:textId="77777777" w:rsidR="00D95EAD" w:rsidRPr="00784C3D" w:rsidRDefault="00D95EAD" w:rsidP="00444A1C">
            <w:pPr>
              <w:rPr>
                <w:rFonts w:ascii="Calibri" w:hAnsi="Calibri" w:cs="Calibri"/>
                <w:kern w:val="24"/>
                <w:sz w:val="20"/>
              </w:rPr>
            </w:pPr>
            <w:r w:rsidRPr="00784C3D">
              <w:rPr>
                <w:rFonts w:ascii="Calibri" w:hAnsi="Calibri" w:cs="Calibri"/>
                <w:kern w:val="24"/>
                <w:sz w:val="20"/>
              </w:rPr>
              <w:t>0.</w:t>
            </w:r>
            <w:r>
              <w:rPr>
                <w:rFonts w:ascii="Calibri" w:hAnsi="Calibri" w:cs="Calibri"/>
                <w:kern w:val="24"/>
                <w:sz w:val="20"/>
              </w:rPr>
              <w:t>2</w:t>
            </w:r>
            <w:r w:rsidRPr="00784C3D">
              <w:rPr>
                <w:rFonts w:ascii="Calibri" w:hAnsi="Calibri" w:cs="Calibri"/>
                <w:kern w:val="24"/>
                <w:sz w:val="20"/>
              </w:rPr>
              <w:t>7 (</w:t>
            </w:r>
            <w:r>
              <w:rPr>
                <w:rFonts w:ascii="Calibri" w:hAnsi="Calibri" w:cs="Calibri"/>
                <w:kern w:val="24"/>
                <w:sz w:val="20"/>
              </w:rPr>
              <w:t>0.19</w:t>
            </w:r>
            <w:r w:rsidRPr="00784C3D">
              <w:rPr>
                <w:rFonts w:ascii="Calibri" w:hAnsi="Calibri" w:cs="Calibri"/>
                <w:kern w:val="24"/>
                <w:sz w:val="20"/>
              </w:rPr>
              <w:t>-</w:t>
            </w:r>
            <w:r>
              <w:rPr>
                <w:rFonts w:ascii="Calibri" w:hAnsi="Calibri" w:cs="Calibri"/>
                <w:kern w:val="24"/>
                <w:sz w:val="20"/>
              </w:rPr>
              <w:t>0.35</w:t>
            </w:r>
            <w:r w:rsidRPr="00784C3D">
              <w:rPr>
                <w:rFonts w:ascii="Calibri" w:hAnsi="Calibri" w:cs="Calibri"/>
                <w:kern w:val="24"/>
                <w:sz w:val="20"/>
              </w:rPr>
              <w:t xml:space="preserve">) </w:t>
            </w:r>
          </w:p>
          <w:p w14:paraId="1C747399" w14:textId="77777777" w:rsidR="00D95EAD" w:rsidRPr="00784C3D" w:rsidRDefault="00D95EAD" w:rsidP="00444A1C">
            <w:pPr>
              <w:rPr>
                <w:rFonts w:ascii="Calibri" w:hAnsi="Calibri" w:cs="Calibri"/>
                <w:kern w:val="24"/>
                <w:sz w:val="20"/>
              </w:rPr>
            </w:pPr>
            <w:r w:rsidRPr="00784C3D">
              <w:rPr>
                <w:rFonts w:ascii="Calibri" w:hAnsi="Calibri" w:cs="Calibri"/>
                <w:kern w:val="24"/>
                <w:sz w:val="20"/>
              </w:rPr>
              <w:t>0.</w:t>
            </w:r>
            <w:r>
              <w:rPr>
                <w:rFonts w:ascii="Calibri" w:hAnsi="Calibri" w:cs="Calibri"/>
                <w:kern w:val="24"/>
                <w:sz w:val="20"/>
              </w:rPr>
              <w:t>06</w:t>
            </w:r>
            <w:r w:rsidRPr="00784C3D">
              <w:rPr>
                <w:rFonts w:ascii="Calibri" w:hAnsi="Calibri" w:cs="Calibri"/>
                <w:kern w:val="24"/>
                <w:sz w:val="20"/>
              </w:rPr>
              <w:t xml:space="preserve"> (0.</w:t>
            </w:r>
            <w:r>
              <w:rPr>
                <w:rFonts w:ascii="Calibri" w:hAnsi="Calibri" w:cs="Calibri"/>
                <w:kern w:val="24"/>
                <w:sz w:val="20"/>
              </w:rPr>
              <w:t>04</w:t>
            </w:r>
            <w:r w:rsidRPr="00784C3D">
              <w:rPr>
                <w:rFonts w:ascii="Calibri" w:hAnsi="Calibri" w:cs="Calibri"/>
                <w:kern w:val="24"/>
                <w:sz w:val="20"/>
              </w:rPr>
              <w:t xml:space="preserve"> – 0.</w:t>
            </w:r>
            <w:r>
              <w:rPr>
                <w:rFonts w:ascii="Calibri" w:hAnsi="Calibri" w:cs="Calibri"/>
                <w:kern w:val="24"/>
                <w:sz w:val="20"/>
              </w:rPr>
              <w:t>10</w:t>
            </w:r>
            <w:r w:rsidRPr="00784C3D">
              <w:rPr>
                <w:rFonts w:ascii="Calibri" w:hAnsi="Calibri" w:cs="Calibri"/>
                <w:kern w:val="24"/>
                <w:sz w:val="20"/>
              </w:rPr>
              <w:t>)</w:t>
            </w:r>
          </w:p>
          <w:p w14:paraId="3A836330" w14:textId="77777777" w:rsidR="00D95EAD" w:rsidRPr="00784C3D" w:rsidRDefault="00D95EAD" w:rsidP="00444A1C">
            <w:pPr>
              <w:rPr>
                <w:rFonts w:ascii="Calibri" w:hAnsi="Calibri" w:cs="Calibri"/>
                <w:kern w:val="24"/>
                <w:sz w:val="20"/>
              </w:rPr>
            </w:pPr>
            <w:r w:rsidRPr="00784C3D">
              <w:rPr>
                <w:rFonts w:ascii="Calibri" w:hAnsi="Calibri" w:cs="Calibri"/>
                <w:kern w:val="24"/>
                <w:sz w:val="20"/>
              </w:rPr>
              <w:t>0.0</w:t>
            </w:r>
            <w:r>
              <w:rPr>
                <w:rFonts w:ascii="Calibri" w:hAnsi="Calibri" w:cs="Calibri"/>
                <w:kern w:val="24"/>
                <w:sz w:val="20"/>
              </w:rPr>
              <w:t>36</w:t>
            </w:r>
            <w:r w:rsidRPr="00784C3D">
              <w:rPr>
                <w:rFonts w:ascii="Calibri" w:hAnsi="Calibri" w:cs="Calibri"/>
                <w:kern w:val="24"/>
                <w:sz w:val="20"/>
              </w:rPr>
              <w:t xml:space="preserve"> (</w:t>
            </w:r>
            <w:r>
              <w:rPr>
                <w:rFonts w:ascii="Calibri" w:hAnsi="Calibri" w:cs="Calibri"/>
                <w:kern w:val="24"/>
                <w:sz w:val="20"/>
              </w:rPr>
              <w:t>0.03</w:t>
            </w:r>
            <w:r w:rsidRPr="00784C3D">
              <w:rPr>
                <w:rFonts w:ascii="Calibri" w:hAnsi="Calibri" w:cs="Calibri"/>
                <w:kern w:val="24"/>
                <w:sz w:val="20"/>
              </w:rPr>
              <w:t>-</w:t>
            </w:r>
            <w:r>
              <w:rPr>
                <w:rFonts w:ascii="Calibri" w:hAnsi="Calibri" w:cs="Calibri"/>
                <w:kern w:val="24"/>
                <w:sz w:val="20"/>
              </w:rPr>
              <w:t>0.04</w:t>
            </w:r>
            <w:r w:rsidRPr="00784C3D">
              <w:rPr>
                <w:rFonts w:ascii="Calibri" w:hAnsi="Calibri" w:cs="Calibri"/>
                <w:kern w:val="24"/>
                <w:sz w:val="20"/>
              </w:rPr>
              <w:t>)</w:t>
            </w:r>
          </w:p>
        </w:tc>
        <w:tc>
          <w:tcPr>
            <w:tcW w:w="1633" w:type="dxa"/>
            <w:vMerge/>
            <w:tcBorders>
              <w:top w:val="single" w:sz="4" w:space="0" w:color="auto"/>
              <w:left w:val="single" w:sz="4" w:space="0" w:color="auto"/>
              <w:bottom w:val="single" w:sz="4" w:space="0" w:color="auto"/>
              <w:right w:val="single" w:sz="4" w:space="0" w:color="auto"/>
            </w:tcBorders>
            <w:shd w:val="clear" w:color="auto" w:fill="FF0000"/>
            <w:vAlign w:val="center"/>
            <w:hideMark/>
          </w:tcPr>
          <w:p w14:paraId="5D810187" w14:textId="77777777" w:rsidR="00D95EAD" w:rsidRPr="00784C3D" w:rsidRDefault="00D95EAD" w:rsidP="00444A1C">
            <w:pPr>
              <w:rPr>
                <w:rFonts w:ascii="Calibri" w:hAnsi="Calibri" w:cs="Calibri"/>
                <w:b/>
                <w:bCs/>
                <w:smallCaps/>
                <w:kern w:val="32"/>
                <w:sz w:val="20"/>
              </w:rPr>
            </w:pPr>
          </w:p>
        </w:tc>
      </w:tr>
    </w:tbl>
    <w:p w14:paraId="46069EB7" w14:textId="77777777" w:rsidR="00D95EAD" w:rsidRPr="00784C3D" w:rsidRDefault="00D95EAD" w:rsidP="00D95EAD">
      <w:pPr>
        <w:ind w:left="720"/>
        <w:rPr>
          <w:rFonts w:ascii="Calibri" w:hAnsi="Calibri" w:cs="Calibri"/>
          <w:sz w:val="18"/>
          <w:szCs w:val="18"/>
        </w:rPr>
      </w:pPr>
      <w:r w:rsidRPr="00784C3D">
        <w:rPr>
          <w:rFonts w:ascii="Calibri" w:hAnsi="Calibri" w:cs="Calibri"/>
          <w:sz w:val="18"/>
          <w:szCs w:val="18"/>
          <w:vertAlign w:val="superscript"/>
        </w:rPr>
        <w:t xml:space="preserve">1 </w:t>
      </w:r>
      <w:r w:rsidRPr="00784C3D">
        <w:rPr>
          <w:rFonts w:ascii="Calibri" w:hAnsi="Calibri" w:cs="Calibri"/>
          <w:sz w:val="18"/>
          <w:szCs w:val="18"/>
        </w:rPr>
        <w:t>Boundaries for the Indian Ocean are defined as IOTC area of competence</w:t>
      </w:r>
    </w:p>
    <w:p w14:paraId="07039CF7" w14:textId="77777777" w:rsidR="00D95EAD" w:rsidRPr="00784C3D" w:rsidRDefault="00D95EAD" w:rsidP="00D95EAD">
      <w:pPr>
        <w:ind w:left="720"/>
        <w:rPr>
          <w:rFonts w:ascii="Calibri" w:hAnsi="Calibri" w:cs="Calibri"/>
          <w:sz w:val="18"/>
          <w:szCs w:val="18"/>
        </w:rPr>
      </w:pPr>
      <w:r w:rsidRPr="00784C3D">
        <w:rPr>
          <w:rFonts w:ascii="Calibri" w:hAnsi="Calibri" w:cs="Calibri"/>
          <w:bCs/>
          <w:smallCaps/>
          <w:kern w:val="32"/>
          <w:sz w:val="18"/>
          <w:szCs w:val="18"/>
          <w:vertAlign w:val="superscript"/>
        </w:rPr>
        <w:t xml:space="preserve">2 </w:t>
      </w:r>
      <w:r w:rsidRPr="00784C3D">
        <w:rPr>
          <w:rFonts w:ascii="Calibri" w:hAnsi="Calibri" w:cs="Calibri"/>
          <w:sz w:val="18"/>
          <w:szCs w:val="18"/>
        </w:rPr>
        <w:t>Proportion of 202</w:t>
      </w:r>
      <w:r>
        <w:rPr>
          <w:rFonts w:ascii="Calibri" w:hAnsi="Calibri" w:cs="Calibri"/>
          <w:sz w:val="18"/>
          <w:szCs w:val="18"/>
        </w:rPr>
        <w:t>2</w:t>
      </w:r>
      <w:r w:rsidRPr="00784C3D">
        <w:rPr>
          <w:rFonts w:ascii="Calibri" w:hAnsi="Calibri" w:cs="Calibri"/>
          <w:sz w:val="18"/>
          <w:szCs w:val="18"/>
        </w:rPr>
        <w:t xml:space="preserve"> catch estimated or partially estimated by IOTC Secretariat: </w:t>
      </w:r>
      <w:r>
        <w:rPr>
          <w:rFonts w:ascii="Calibri" w:hAnsi="Calibri" w:cs="Calibri"/>
          <w:sz w:val="18"/>
          <w:szCs w:val="18"/>
        </w:rPr>
        <w:t>15.4</w:t>
      </w:r>
      <w:r w:rsidRPr="00784C3D">
        <w:rPr>
          <w:rFonts w:ascii="Calibri" w:hAnsi="Calibri" w:cs="Calibri"/>
          <w:sz w:val="18"/>
          <w:szCs w:val="18"/>
        </w:rPr>
        <w:t>%</w:t>
      </w:r>
    </w:p>
    <w:p w14:paraId="30A951F9" w14:textId="77777777" w:rsidR="00D95EAD" w:rsidRPr="00784C3D" w:rsidRDefault="00D95EAD" w:rsidP="00D95EAD">
      <w:pPr>
        <w:ind w:left="720"/>
        <w:rPr>
          <w:rFonts w:ascii="Calibri" w:hAnsi="Calibri" w:cs="Calibri"/>
          <w:sz w:val="18"/>
          <w:szCs w:val="18"/>
        </w:rPr>
      </w:pPr>
      <w:r w:rsidRPr="00784C3D">
        <w:rPr>
          <w:rFonts w:ascii="Calibri" w:eastAsia="MS Mincho" w:hAnsi="Calibri" w:cs="Calibri"/>
          <w:sz w:val="18"/>
          <w:szCs w:val="18"/>
          <w:vertAlign w:val="superscript"/>
          <w:lang w:eastAsia="ja-JP"/>
        </w:rPr>
        <w:t>3</w:t>
      </w:r>
      <w:r w:rsidRPr="00784C3D">
        <w:rPr>
          <w:rFonts w:ascii="Calibri" w:eastAsia="MS Mincho" w:hAnsi="Calibri" w:cs="Calibri"/>
          <w:sz w:val="18"/>
          <w:szCs w:val="18"/>
          <w:lang w:eastAsia="ja-JP"/>
        </w:rPr>
        <w:t xml:space="preserve"> </w:t>
      </w:r>
      <w:r>
        <w:rPr>
          <w:rFonts w:ascii="Calibri" w:eastAsia="MS Mincho" w:hAnsi="Calibri" w:cs="Calibri"/>
          <w:sz w:val="18"/>
          <w:szCs w:val="18"/>
          <w:lang w:eastAsia="ja-JP"/>
        </w:rPr>
        <w:t>Range estimates in the table are 80% confidence interval</w:t>
      </w:r>
    </w:p>
    <w:p w14:paraId="6ABA97AB" w14:textId="77777777" w:rsidR="00D95EAD" w:rsidRDefault="00D95EAD" w:rsidP="00D95EAD">
      <w:pPr>
        <w:ind w:left="720"/>
        <w:rPr>
          <w:rFonts w:ascii="Calibri" w:eastAsia="MS Mincho" w:hAnsi="Calibri" w:cs="Calibri"/>
          <w:sz w:val="18"/>
          <w:szCs w:val="18"/>
          <w:vertAlign w:val="subscript"/>
          <w:lang w:eastAsia="ja-JP"/>
        </w:rPr>
      </w:pPr>
      <w:r w:rsidRPr="00784C3D">
        <w:rPr>
          <w:rFonts w:ascii="Calibri" w:eastAsia="MS Mincho" w:hAnsi="Calibri" w:cs="Calibri"/>
          <w:sz w:val="18"/>
          <w:szCs w:val="18"/>
          <w:vertAlign w:val="superscript"/>
          <w:lang w:eastAsia="ja-JP"/>
        </w:rPr>
        <w:t xml:space="preserve">4 </w:t>
      </w:r>
      <w:r w:rsidRPr="00784C3D">
        <w:rPr>
          <w:rFonts w:ascii="Calibri" w:eastAsia="MS Mincho" w:hAnsi="Calibri" w:cs="Calibri"/>
          <w:sz w:val="18"/>
          <w:szCs w:val="18"/>
          <w:lang w:eastAsia="ja-JP"/>
        </w:rPr>
        <w:t>SS3 is the only model that used SB/SB</w:t>
      </w:r>
      <w:r w:rsidRPr="00784C3D">
        <w:rPr>
          <w:rFonts w:ascii="Calibri" w:eastAsia="MS Mincho" w:hAnsi="Calibri" w:cs="Calibri"/>
          <w:sz w:val="18"/>
          <w:szCs w:val="18"/>
          <w:vertAlign w:val="subscript"/>
          <w:lang w:eastAsia="ja-JP"/>
        </w:rPr>
        <w:t>MSY</w:t>
      </w:r>
      <w:r w:rsidRPr="00784C3D">
        <w:rPr>
          <w:rFonts w:ascii="Calibri" w:eastAsia="MS Mincho" w:hAnsi="Calibri" w:cs="Calibri"/>
          <w:sz w:val="18"/>
          <w:szCs w:val="18"/>
          <w:lang w:eastAsia="ja-JP"/>
        </w:rPr>
        <w:t>, all others used B/B</w:t>
      </w:r>
      <w:r w:rsidRPr="00784C3D">
        <w:rPr>
          <w:rFonts w:ascii="Calibri" w:eastAsia="MS Mincho" w:hAnsi="Calibri" w:cs="Calibri"/>
          <w:sz w:val="18"/>
          <w:szCs w:val="18"/>
          <w:vertAlign w:val="subscript"/>
          <w:lang w:eastAsia="ja-JP"/>
        </w:rPr>
        <w:t>MSY</w:t>
      </w:r>
    </w:p>
    <w:p w14:paraId="13596FA3" w14:textId="77777777" w:rsidR="00D95EAD" w:rsidRPr="00784C3D" w:rsidRDefault="00D95EAD" w:rsidP="00D95EAD">
      <w:pPr>
        <w:ind w:left="720"/>
        <w:rPr>
          <w:rFonts w:ascii="Calibri" w:hAnsi="Calibri" w:cs="Calibri"/>
          <w:sz w:val="18"/>
          <w:szCs w:val="18"/>
        </w:rPr>
      </w:pPr>
      <w:r w:rsidRPr="00EB7B5A">
        <w:rPr>
          <w:rFonts w:ascii="Calibri" w:eastAsia="Calibri" w:hAnsi="Calibri" w:cs="Calibri"/>
          <w:sz w:val="18"/>
          <w:szCs w:val="18"/>
          <w:vertAlign w:val="superscript"/>
        </w:rPr>
        <w:t>5</w:t>
      </w:r>
      <w:r>
        <w:rPr>
          <w:rFonts w:ascii="Calibri" w:eastAsia="Calibri" w:hAnsi="Calibri" w:cs="Calibri"/>
          <w:sz w:val="18"/>
          <w:szCs w:val="18"/>
        </w:rPr>
        <w:t>2022</w:t>
      </w:r>
      <w:r w:rsidRPr="00C250FC">
        <w:rPr>
          <w:rFonts w:ascii="Calibri" w:eastAsia="Calibri" w:hAnsi="Calibri" w:cs="Calibri"/>
          <w:sz w:val="18"/>
          <w:szCs w:val="18"/>
        </w:rPr>
        <w:t xml:space="preserve"> </w:t>
      </w:r>
      <w:r>
        <w:rPr>
          <w:rFonts w:ascii="Calibri" w:eastAsia="Calibri" w:hAnsi="Calibri" w:cs="Calibri"/>
          <w:sz w:val="18"/>
          <w:szCs w:val="18"/>
        </w:rPr>
        <w:t>is</w:t>
      </w:r>
      <w:r w:rsidRPr="00C250FC">
        <w:rPr>
          <w:rFonts w:ascii="Calibri" w:eastAsia="Calibri" w:hAnsi="Calibri" w:cs="Calibri"/>
          <w:sz w:val="18"/>
          <w:szCs w:val="18"/>
        </w:rPr>
        <w:t xml:space="preserve"> the final year </w:t>
      </w:r>
      <w:r>
        <w:rPr>
          <w:rFonts w:ascii="Calibri" w:eastAsia="Calibri" w:hAnsi="Calibri" w:cs="Calibri"/>
          <w:sz w:val="18"/>
          <w:szCs w:val="18"/>
        </w:rPr>
        <w:t xml:space="preserve">that </w:t>
      </w:r>
      <w:r w:rsidRPr="00C250FC">
        <w:rPr>
          <w:rFonts w:ascii="Calibri" w:eastAsia="Calibri" w:hAnsi="Calibri" w:cs="Calibri"/>
          <w:sz w:val="18"/>
          <w:szCs w:val="18"/>
        </w:rPr>
        <w:t>data</w:t>
      </w:r>
      <w:r>
        <w:rPr>
          <w:rFonts w:ascii="Calibri" w:eastAsia="Calibri" w:hAnsi="Calibri" w:cs="Calibri"/>
          <w:sz w:val="18"/>
          <w:szCs w:val="18"/>
        </w:rPr>
        <w:t xml:space="preserve"> were</w:t>
      </w:r>
      <w:r w:rsidRPr="00C250FC">
        <w:rPr>
          <w:rFonts w:ascii="Calibri" w:eastAsia="Calibri" w:hAnsi="Calibri" w:cs="Calibri"/>
          <w:sz w:val="18"/>
          <w:szCs w:val="18"/>
        </w:rPr>
        <w:t xml:space="preserve"> available for </w:t>
      </w:r>
      <w:r>
        <w:rPr>
          <w:rFonts w:ascii="Calibri" w:eastAsia="Calibri" w:hAnsi="Calibri" w:cs="Calibri"/>
          <w:sz w:val="18"/>
          <w:szCs w:val="18"/>
        </w:rPr>
        <w:t xml:space="preserve">this </w:t>
      </w:r>
      <w:r w:rsidRPr="00C250FC">
        <w:rPr>
          <w:rFonts w:ascii="Calibri" w:eastAsia="Calibri" w:hAnsi="Calibri" w:cs="Calibri"/>
          <w:sz w:val="18"/>
          <w:szCs w:val="18"/>
        </w:rPr>
        <w:t>assessment</w:t>
      </w:r>
    </w:p>
    <w:p w14:paraId="691C84FF" w14:textId="77777777" w:rsidR="00D95EAD" w:rsidRDefault="00D95EAD" w:rsidP="00D95EAD">
      <w:pPr>
        <w:ind w:left="720"/>
        <w:rPr>
          <w:rFonts w:ascii="Calibri" w:eastAsia="Malgun Gothic" w:hAnsi="Calibri" w:cs="Calibri"/>
          <w:sz w:val="18"/>
          <w:szCs w:val="18"/>
          <w:lang w:eastAsia="ko-KR"/>
        </w:rPr>
      </w:pPr>
      <w:r w:rsidRPr="00784C3D">
        <w:rPr>
          <w:rFonts w:ascii="Calibri" w:eastAsia="Malgun Gothic" w:hAnsi="Calibri" w:cs="Calibri"/>
          <w:sz w:val="18"/>
          <w:szCs w:val="18"/>
          <w:lang w:eastAsia="ko-KR"/>
        </w:rPr>
        <w:t>* Estimated probability that the stock is in the respective quadrant of the Kobe plot (shown below), derived from the confidence intervals associated with the current stock status</w:t>
      </w:r>
    </w:p>
    <w:p w14:paraId="0627211A" w14:textId="77777777" w:rsidR="00D95EAD" w:rsidRPr="00784C3D" w:rsidRDefault="00D95EAD" w:rsidP="00D95EAD">
      <w:pPr>
        <w:rPr>
          <w:rFonts w:ascii="Calibri" w:hAnsi="Calibri" w:cs="Calibri"/>
        </w:rPr>
      </w:pPr>
    </w:p>
    <w:tbl>
      <w:tblPr>
        <w:tblStyle w:val="TableGrid3152105"/>
        <w:tblW w:w="0" w:type="auto"/>
        <w:jc w:val="center"/>
        <w:shd w:val="clear" w:color="auto" w:fill="FFFFFF"/>
        <w:tblLook w:val="04A0" w:firstRow="1" w:lastRow="0" w:firstColumn="1" w:lastColumn="0" w:noHBand="0" w:noVBand="1"/>
      </w:tblPr>
      <w:tblGrid>
        <w:gridCol w:w="3685"/>
        <w:gridCol w:w="2761"/>
        <w:gridCol w:w="2904"/>
      </w:tblGrid>
      <w:tr w:rsidR="00D95EAD" w:rsidRPr="00784C3D" w14:paraId="793D6B41"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262D9C97" w14:textId="77777777" w:rsidR="00D95EAD" w:rsidRPr="00784C3D" w:rsidRDefault="00D95EAD" w:rsidP="00444A1C">
            <w:pPr>
              <w:spacing w:after="20"/>
              <w:jc w:val="center"/>
              <w:rPr>
                <w:rFonts w:ascii="Calibri" w:hAnsi="Calibri" w:cs="Calibri"/>
                <w:b/>
                <w:sz w:val="18"/>
                <w:szCs w:val="18"/>
              </w:rPr>
            </w:pPr>
            <w:r w:rsidRPr="00784C3D">
              <w:rPr>
                <w:rFonts w:ascii="Calibri" w:hAnsi="Calibri" w:cs="Calibri"/>
                <w:b/>
                <w:sz w:val="18"/>
                <w:szCs w:val="18"/>
              </w:rPr>
              <w:t>Colour key</w:t>
            </w:r>
          </w:p>
        </w:tc>
        <w:tc>
          <w:tcPr>
            <w:tcW w:w="2761" w:type="dxa"/>
            <w:tcBorders>
              <w:top w:val="single" w:sz="4" w:space="0" w:color="auto"/>
              <w:left w:val="single" w:sz="4" w:space="0" w:color="auto"/>
              <w:bottom w:val="single" w:sz="4" w:space="0" w:color="auto"/>
              <w:right w:val="single" w:sz="4" w:space="0" w:color="auto"/>
            </w:tcBorders>
            <w:shd w:val="clear" w:color="auto" w:fill="FFFFFF"/>
            <w:vAlign w:val="center"/>
          </w:tcPr>
          <w:p w14:paraId="3EDD24E6" w14:textId="77777777" w:rsidR="00D95EAD" w:rsidRPr="00784C3D" w:rsidRDefault="00D95EAD" w:rsidP="00444A1C">
            <w:pPr>
              <w:spacing w:after="20"/>
              <w:jc w:val="center"/>
              <w:rPr>
                <w:rFonts w:ascii="Calibri" w:hAnsi="Calibri" w:cs="Calibri"/>
                <w:sz w:val="18"/>
                <w:szCs w:val="18"/>
              </w:rPr>
            </w:pPr>
            <w:r w:rsidRPr="00784C3D">
              <w:rPr>
                <w:rFonts w:ascii="Calibri" w:hAnsi="Calibri" w:cs="Calibri"/>
                <w:sz w:val="18"/>
                <w:szCs w:val="18"/>
              </w:rPr>
              <w:t>Stock overfished (B</w:t>
            </w:r>
            <w:r w:rsidRPr="00784C3D">
              <w:rPr>
                <w:rFonts w:ascii="Calibri" w:hAnsi="Calibri" w:cs="Calibri"/>
                <w:sz w:val="18"/>
                <w:szCs w:val="18"/>
                <w:vertAlign w:val="subscript"/>
              </w:rPr>
              <w:t>year</w:t>
            </w:r>
            <w:r w:rsidRPr="00784C3D">
              <w:rPr>
                <w:rFonts w:ascii="Calibri" w:hAnsi="Calibri" w:cs="Calibri"/>
                <w:sz w:val="18"/>
                <w:szCs w:val="18"/>
              </w:rPr>
              <w:t>/B</w:t>
            </w:r>
            <w:r w:rsidRPr="00784C3D">
              <w:rPr>
                <w:rFonts w:ascii="Calibri" w:hAnsi="Calibri" w:cs="Calibri"/>
                <w:sz w:val="18"/>
                <w:szCs w:val="18"/>
                <w:vertAlign w:val="subscript"/>
              </w:rPr>
              <w:t>MSY</w:t>
            </w:r>
            <w:r w:rsidRPr="00784C3D">
              <w:rPr>
                <w:rFonts w:ascii="Calibri" w:hAnsi="Calibri" w:cs="Calibri"/>
                <w:sz w:val="18"/>
                <w:szCs w:val="18"/>
              </w:rPr>
              <w:t>&lt; 1)</w:t>
            </w:r>
          </w:p>
        </w:tc>
        <w:tc>
          <w:tcPr>
            <w:tcW w:w="2904" w:type="dxa"/>
            <w:tcBorders>
              <w:top w:val="single" w:sz="4" w:space="0" w:color="auto"/>
              <w:left w:val="single" w:sz="4" w:space="0" w:color="auto"/>
              <w:bottom w:val="single" w:sz="4" w:space="0" w:color="auto"/>
              <w:right w:val="single" w:sz="4" w:space="0" w:color="auto"/>
            </w:tcBorders>
            <w:shd w:val="clear" w:color="auto" w:fill="FFFFFF"/>
            <w:vAlign w:val="center"/>
          </w:tcPr>
          <w:p w14:paraId="44DD4F71" w14:textId="77777777" w:rsidR="00D95EAD" w:rsidRPr="00784C3D" w:rsidRDefault="00D95EAD" w:rsidP="00444A1C">
            <w:pPr>
              <w:spacing w:after="20"/>
              <w:jc w:val="center"/>
              <w:rPr>
                <w:rFonts w:ascii="Calibri" w:hAnsi="Calibri" w:cs="Calibri"/>
                <w:sz w:val="18"/>
                <w:szCs w:val="18"/>
              </w:rPr>
            </w:pPr>
            <w:r w:rsidRPr="00784C3D">
              <w:rPr>
                <w:rFonts w:ascii="Calibri" w:hAnsi="Calibri" w:cs="Calibri"/>
                <w:sz w:val="18"/>
                <w:szCs w:val="18"/>
              </w:rPr>
              <w:t>Stock not overfished (B</w:t>
            </w:r>
            <w:r w:rsidRPr="00784C3D">
              <w:rPr>
                <w:rFonts w:ascii="Calibri" w:hAnsi="Calibri" w:cs="Calibri"/>
                <w:sz w:val="18"/>
                <w:szCs w:val="18"/>
                <w:vertAlign w:val="subscript"/>
              </w:rPr>
              <w:t>year</w:t>
            </w:r>
            <w:r w:rsidRPr="00784C3D">
              <w:rPr>
                <w:rFonts w:ascii="Calibri" w:hAnsi="Calibri" w:cs="Calibri"/>
                <w:sz w:val="18"/>
                <w:szCs w:val="18"/>
              </w:rPr>
              <w:t>/B</w:t>
            </w:r>
            <w:r w:rsidRPr="00784C3D">
              <w:rPr>
                <w:rFonts w:ascii="Calibri" w:hAnsi="Calibri" w:cs="Calibri"/>
                <w:sz w:val="18"/>
                <w:szCs w:val="18"/>
                <w:vertAlign w:val="subscript"/>
              </w:rPr>
              <w:t>MSY</w:t>
            </w:r>
            <w:r w:rsidRPr="00784C3D">
              <w:rPr>
                <w:rFonts w:ascii="Calibri" w:hAnsi="Calibri" w:cs="Calibri"/>
                <w:sz w:val="18"/>
                <w:szCs w:val="18"/>
              </w:rPr>
              <w:t>≥ 1)</w:t>
            </w:r>
          </w:p>
        </w:tc>
      </w:tr>
      <w:tr w:rsidR="00D95EAD" w:rsidRPr="00784C3D" w14:paraId="67646BEB"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44488836" w14:textId="77777777" w:rsidR="00D95EAD" w:rsidRPr="00784C3D" w:rsidRDefault="00D95EAD" w:rsidP="00444A1C">
            <w:pPr>
              <w:spacing w:after="20"/>
              <w:rPr>
                <w:rFonts w:ascii="Calibri" w:hAnsi="Calibri" w:cs="Calibri"/>
                <w:sz w:val="18"/>
                <w:szCs w:val="18"/>
              </w:rPr>
            </w:pPr>
            <w:r w:rsidRPr="00784C3D">
              <w:rPr>
                <w:rFonts w:ascii="Calibri" w:hAnsi="Calibri" w:cs="Calibri"/>
                <w:sz w:val="18"/>
                <w:szCs w:val="18"/>
              </w:rPr>
              <w:t>Stock subject to overfishing (F</w:t>
            </w:r>
            <w:r w:rsidRPr="00784C3D">
              <w:rPr>
                <w:rFonts w:ascii="Calibri" w:hAnsi="Calibri" w:cs="Calibri"/>
                <w:sz w:val="18"/>
                <w:szCs w:val="18"/>
                <w:vertAlign w:val="subscript"/>
              </w:rPr>
              <w:t>year</w:t>
            </w:r>
            <w:r w:rsidRPr="00784C3D">
              <w:rPr>
                <w:rFonts w:ascii="Calibri" w:hAnsi="Calibri" w:cs="Calibri"/>
                <w:sz w:val="18"/>
                <w:szCs w:val="18"/>
              </w:rPr>
              <w:t>/F</w:t>
            </w:r>
            <w:r w:rsidRPr="00784C3D">
              <w:rPr>
                <w:rFonts w:ascii="Calibri" w:hAnsi="Calibri" w:cs="Calibri"/>
                <w:sz w:val="18"/>
                <w:szCs w:val="18"/>
                <w:vertAlign w:val="subscript"/>
              </w:rPr>
              <w:t>MSY</w:t>
            </w:r>
            <w:r w:rsidRPr="00784C3D">
              <w:rPr>
                <w:rFonts w:ascii="Calibri" w:hAnsi="Calibri" w:cs="Calibri"/>
                <w:sz w:val="18"/>
                <w:szCs w:val="18"/>
              </w:rPr>
              <w:t>&gt; 1)</w:t>
            </w:r>
          </w:p>
        </w:tc>
        <w:tc>
          <w:tcPr>
            <w:tcW w:w="2761" w:type="dxa"/>
            <w:tcBorders>
              <w:top w:val="single" w:sz="4" w:space="0" w:color="auto"/>
              <w:left w:val="single" w:sz="4" w:space="0" w:color="auto"/>
              <w:bottom w:val="single" w:sz="4" w:space="0" w:color="auto"/>
              <w:right w:val="single" w:sz="4" w:space="0" w:color="auto"/>
            </w:tcBorders>
            <w:shd w:val="clear" w:color="auto" w:fill="FF0000"/>
            <w:vAlign w:val="center"/>
          </w:tcPr>
          <w:p w14:paraId="2D9E532A" w14:textId="77777777" w:rsidR="00D95EAD" w:rsidRPr="00784C3D" w:rsidRDefault="00D95EAD" w:rsidP="00444A1C">
            <w:pPr>
              <w:jc w:val="center"/>
              <w:rPr>
                <w:rFonts w:ascii="Calibri" w:hAnsi="Calibri" w:cs="Calibri"/>
                <w:b/>
                <w:color w:val="FFFFFF"/>
                <w:sz w:val="18"/>
                <w:szCs w:val="18"/>
                <w:highlight w:val="red"/>
              </w:rPr>
            </w:pPr>
            <w:r w:rsidRPr="00784C3D">
              <w:rPr>
                <w:rFonts w:ascii="Calibri" w:hAnsi="Calibri" w:cs="Calibri"/>
                <w:b/>
                <w:color w:val="FFFFFF"/>
                <w:sz w:val="18"/>
                <w:szCs w:val="18"/>
                <w:highlight w:val="red"/>
              </w:rPr>
              <w:t>100%</w:t>
            </w:r>
          </w:p>
        </w:tc>
        <w:tc>
          <w:tcPr>
            <w:tcW w:w="2904" w:type="dxa"/>
            <w:tcBorders>
              <w:top w:val="single" w:sz="4" w:space="0" w:color="auto"/>
              <w:left w:val="single" w:sz="4" w:space="0" w:color="auto"/>
              <w:bottom w:val="single" w:sz="4" w:space="0" w:color="auto"/>
              <w:right w:val="single" w:sz="4" w:space="0" w:color="auto"/>
            </w:tcBorders>
            <w:shd w:val="clear" w:color="auto" w:fill="FFC000"/>
            <w:vAlign w:val="center"/>
          </w:tcPr>
          <w:p w14:paraId="2DE93A0A" w14:textId="77777777" w:rsidR="00D95EAD" w:rsidRPr="00784C3D" w:rsidRDefault="00D95EAD" w:rsidP="00444A1C">
            <w:pPr>
              <w:jc w:val="center"/>
              <w:rPr>
                <w:rFonts w:ascii="Calibri" w:hAnsi="Calibri" w:cs="Calibri"/>
                <w:b/>
                <w:sz w:val="18"/>
                <w:szCs w:val="18"/>
              </w:rPr>
            </w:pPr>
            <w:r w:rsidRPr="00784C3D">
              <w:rPr>
                <w:rFonts w:ascii="Calibri" w:hAnsi="Calibri" w:cs="Calibri"/>
                <w:b/>
                <w:sz w:val="18"/>
                <w:szCs w:val="18"/>
              </w:rPr>
              <w:t>0.0%</w:t>
            </w:r>
          </w:p>
        </w:tc>
      </w:tr>
      <w:tr w:rsidR="00D95EAD" w:rsidRPr="00784C3D" w14:paraId="1BF2C7B3"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128D11DB" w14:textId="77777777" w:rsidR="00D95EAD" w:rsidRPr="00784C3D" w:rsidRDefault="00D95EAD" w:rsidP="00444A1C">
            <w:pPr>
              <w:spacing w:after="20"/>
              <w:rPr>
                <w:rFonts w:ascii="Calibri" w:hAnsi="Calibri" w:cs="Calibri"/>
                <w:sz w:val="18"/>
                <w:szCs w:val="18"/>
              </w:rPr>
            </w:pPr>
            <w:r w:rsidRPr="00784C3D">
              <w:rPr>
                <w:rFonts w:ascii="Calibri" w:hAnsi="Calibri" w:cs="Calibri"/>
                <w:sz w:val="18"/>
                <w:szCs w:val="18"/>
              </w:rPr>
              <w:t>Stock not subject to overfishing (F</w:t>
            </w:r>
            <w:r w:rsidRPr="00784C3D">
              <w:rPr>
                <w:rFonts w:ascii="Calibri" w:hAnsi="Calibri" w:cs="Calibri"/>
                <w:sz w:val="18"/>
                <w:szCs w:val="18"/>
                <w:vertAlign w:val="subscript"/>
              </w:rPr>
              <w:t>year</w:t>
            </w:r>
            <w:r w:rsidRPr="00784C3D">
              <w:rPr>
                <w:rFonts w:ascii="Calibri" w:hAnsi="Calibri" w:cs="Calibri"/>
                <w:sz w:val="18"/>
                <w:szCs w:val="18"/>
              </w:rPr>
              <w:t>/F</w:t>
            </w:r>
            <w:r w:rsidRPr="00784C3D">
              <w:rPr>
                <w:rFonts w:ascii="Calibri" w:hAnsi="Calibri" w:cs="Calibri"/>
                <w:sz w:val="18"/>
                <w:szCs w:val="18"/>
                <w:vertAlign w:val="subscript"/>
              </w:rPr>
              <w:t>MSY</w:t>
            </w:r>
            <w:r w:rsidRPr="00784C3D">
              <w:rPr>
                <w:rFonts w:ascii="Calibri" w:hAnsi="Calibri" w:cs="Calibri"/>
                <w:sz w:val="18"/>
                <w:szCs w:val="18"/>
              </w:rPr>
              <w:t>≤ 1)</w:t>
            </w:r>
          </w:p>
        </w:tc>
        <w:tc>
          <w:tcPr>
            <w:tcW w:w="2761" w:type="dxa"/>
            <w:tcBorders>
              <w:top w:val="single" w:sz="4" w:space="0" w:color="auto"/>
              <w:left w:val="single" w:sz="4" w:space="0" w:color="auto"/>
              <w:bottom w:val="single" w:sz="4" w:space="0" w:color="auto"/>
              <w:right w:val="single" w:sz="4" w:space="0" w:color="auto"/>
            </w:tcBorders>
            <w:shd w:val="clear" w:color="auto" w:fill="FFFF00"/>
            <w:vAlign w:val="center"/>
          </w:tcPr>
          <w:p w14:paraId="48F2BF39" w14:textId="77777777" w:rsidR="00D95EAD" w:rsidRPr="00784C3D" w:rsidRDefault="00D95EAD" w:rsidP="00444A1C">
            <w:pPr>
              <w:jc w:val="center"/>
              <w:rPr>
                <w:rFonts w:ascii="Calibri" w:hAnsi="Calibri" w:cs="Calibri"/>
                <w:b/>
                <w:sz w:val="18"/>
                <w:szCs w:val="18"/>
              </w:rPr>
            </w:pPr>
            <w:r w:rsidRPr="00784C3D">
              <w:rPr>
                <w:rFonts w:ascii="Calibri" w:hAnsi="Calibri" w:cs="Calibri"/>
                <w:b/>
                <w:sz w:val="18"/>
                <w:szCs w:val="18"/>
              </w:rPr>
              <w:t>0.0%</w:t>
            </w:r>
          </w:p>
        </w:tc>
        <w:tc>
          <w:tcPr>
            <w:tcW w:w="2904" w:type="dxa"/>
            <w:tcBorders>
              <w:top w:val="single" w:sz="4" w:space="0" w:color="auto"/>
              <w:left w:val="single" w:sz="4" w:space="0" w:color="auto"/>
              <w:bottom w:val="single" w:sz="4" w:space="0" w:color="auto"/>
              <w:right w:val="single" w:sz="4" w:space="0" w:color="auto"/>
            </w:tcBorders>
            <w:shd w:val="clear" w:color="auto" w:fill="92D050"/>
            <w:vAlign w:val="center"/>
          </w:tcPr>
          <w:p w14:paraId="239EBE2F" w14:textId="77777777" w:rsidR="00D95EAD" w:rsidRPr="00784C3D" w:rsidRDefault="00D95EAD" w:rsidP="00444A1C">
            <w:pPr>
              <w:jc w:val="center"/>
              <w:rPr>
                <w:rFonts w:ascii="Calibri" w:hAnsi="Calibri" w:cs="Calibri"/>
                <w:b/>
                <w:sz w:val="18"/>
                <w:szCs w:val="18"/>
              </w:rPr>
            </w:pPr>
            <w:r w:rsidRPr="00784C3D">
              <w:rPr>
                <w:rFonts w:ascii="Calibri" w:hAnsi="Calibri" w:cs="Calibri"/>
                <w:b/>
                <w:sz w:val="18"/>
                <w:szCs w:val="18"/>
              </w:rPr>
              <w:t>0.0%</w:t>
            </w:r>
          </w:p>
        </w:tc>
      </w:tr>
      <w:tr w:rsidR="00D95EAD" w:rsidRPr="00784C3D" w14:paraId="323562DF" w14:textId="77777777" w:rsidTr="00444A1C">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4BE3E176" w14:textId="77777777" w:rsidR="00D95EAD" w:rsidRPr="00784C3D" w:rsidRDefault="00D95EAD" w:rsidP="00444A1C">
            <w:pPr>
              <w:spacing w:after="20"/>
              <w:rPr>
                <w:rFonts w:ascii="Calibri" w:hAnsi="Calibri" w:cs="Calibri"/>
                <w:sz w:val="18"/>
                <w:szCs w:val="18"/>
              </w:rPr>
            </w:pPr>
            <w:r w:rsidRPr="00784C3D">
              <w:rPr>
                <w:rFonts w:ascii="Calibri" w:hAnsi="Calibri" w:cs="Calibri"/>
                <w:sz w:val="18"/>
                <w:szCs w:val="18"/>
              </w:rPr>
              <w:t>Not assessed/Uncertain</w:t>
            </w:r>
            <w:r>
              <w:rPr>
                <w:rFonts w:ascii="Calibri" w:hAnsi="Calibri" w:cs="Calibri"/>
                <w:sz w:val="18"/>
                <w:szCs w:val="18"/>
              </w:rPr>
              <w:t>/Unknown</w:t>
            </w:r>
          </w:p>
        </w:tc>
        <w:tc>
          <w:tcPr>
            <w:tcW w:w="566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004D57FE" w14:textId="77777777" w:rsidR="00D95EAD" w:rsidRPr="00784C3D" w:rsidRDefault="00D95EAD" w:rsidP="00444A1C">
            <w:pPr>
              <w:jc w:val="center"/>
              <w:rPr>
                <w:rFonts w:ascii="Calibri" w:hAnsi="Calibri" w:cs="Calibri"/>
                <w:sz w:val="18"/>
                <w:szCs w:val="18"/>
              </w:rPr>
            </w:pPr>
          </w:p>
        </w:tc>
      </w:tr>
    </w:tbl>
    <w:p w14:paraId="451ED64F" w14:textId="77777777" w:rsidR="00D95EAD" w:rsidRPr="00784C3D" w:rsidRDefault="00D95EAD" w:rsidP="00D95EAD">
      <w:pPr>
        <w:rPr>
          <w:rFonts w:ascii="Calibri" w:hAnsi="Calibri" w:cs="Calibri"/>
          <w:sz w:val="18"/>
          <w:szCs w:val="18"/>
        </w:rPr>
      </w:pPr>
      <w:r w:rsidRPr="00784C3D">
        <w:rPr>
          <w:rFonts w:ascii="Calibri" w:hAnsi="Calibri" w:cs="Calibri"/>
          <w:sz w:val="18"/>
          <w:szCs w:val="18"/>
        </w:rPr>
        <w:t>The percentages are calculated as the proportion of model terminal values that fall within each quadrant with model weights taken into account</w:t>
      </w:r>
    </w:p>
    <w:p w14:paraId="4B107FFF" w14:textId="77777777" w:rsidR="00D95EAD" w:rsidRPr="00784C3D" w:rsidRDefault="00D95EAD" w:rsidP="00D95EAD">
      <w:pPr>
        <w:spacing w:before="240" w:after="240"/>
        <w:rPr>
          <w:rFonts w:ascii="Calibri" w:hAnsi="Calibri" w:cs="Calibri"/>
          <w:b/>
          <w:bCs/>
          <w:smallCaps/>
          <w:kern w:val="32"/>
          <w:szCs w:val="20"/>
        </w:rPr>
      </w:pPr>
      <w:r w:rsidRPr="00784C3D">
        <w:rPr>
          <w:rFonts w:ascii="Calibri" w:hAnsi="Calibri" w:cs="Calibri"/>
          <w:b/>
          <w:smallCaps/>
        </w:rPr>
        <w:t>Indian Ocean stock – Management Advice</w:t>
      </w:r>
    </w:p>
    <w:p w14:paraId="38973724" w14:textId="77777777" w:rsidR="003D2657" w:rsidRPr="00784C3D" w:rsidRDefault="003D2657" w:rsidP="003D2657">
      <w:pPr>
        <w:jc w:val="both"/>
        <w:rPr>
          <w:rFonts w:ascii="Calibri" w:hAnsi="Calibri" w:cs="Calibri"/>
          <w:bCs/>
        </w:rPr>
      </w:pPr>
      <w:r w:rsidRPr="00784C3D">
        <w:rPr>
          <w:rFonts w:ascii="Calibri" w:hAnsi="Calibri" w:cs="Calibri"/>
          <w:b/>
          <w:bCs/>
          <w:i/>
          <w:szCs w:val="20"/>
        </w:rPr>
        <w:t>Stock status</w:t>
      </w:r>
      <w:r w:rsidRPr="00784C3D">
        <w:rPr>
          <w:rFonts w:ascii="Calibri" w:hAnsi="Calibri" w:cs="Calibri"/>
          <w:bCs/>
          <w:i/>
          <w:szCs w:val="20"/>
        </w:rPr>
        <w:t xml:space="preserve">. </w:t>
      </w:r>
      <w:r w:rsidRPr="00845759">
        <w:rPr>
          <w:rFonts w:ascii="Calibri" w:hAnsi="Calibri" w:cs="Calibri"/>
          <w:bCs/>
          <w:szCs w:val="20"/>
        </w:rPr>
        <w:t>No new stock assessment was carried out for Striped marlin 2025, thus, the stock status estimates are based on two different assessment models carried out in 2024: JABBA, a Bayesian state-space production model (age-aggregated); and SS3, an integrated model (age-structured) (using data up to 2022</w:t>
      </w:r>
      <w:r w:rsidRPr="00784C3D">
        <w:rPr>
          <w:rFonts w:ascii="Calibri" w:hAnsi="Calibri" w:cs="Calibri"/>
        </w:rPr>
        <w:t>). Both models were generally consistent with regards to stock status and confirmed the results from 2012, 2013, 2015, 2017</w:t>
      </w:r>
      <w:r>
        <w:rPr>
          <w:rFonts w:ascii="Calibri" w:hAnsi="Calibri" w:cs="Calibri"/>
        </w:rPr>
        <w:t xml:space="preserve">, </w:t>
      </w:r>
      <w:r w:rsidRPr="00784C3D">
        <w:rPr>
          <w:rFonts w:ascii="Calibri" w:hAnsi="Calibri" w:cs="Calibri"/>
        </w:rPr>
        <w:t>2018</w:t>
      </w:r>
      <w:r>
        <w:rPr>
          <w:rFonts w:ascii="Calibri" w:hAnsi="Calibri" w:cs="Calibri"/>
        </w:rPr>
        <w:t>, and 2021</w:t>
      </w:r>
      <w:r w:rsidRPr="00784C3D">
        <w:rPr>
          <w:rFonts w:ascii="Calibri" w:hAnsi="Calibri" w:cs="Calibri"/>
        </w:rPr>
        <w:t xml:space="preserve"> assessments, indicating that the stock is subject to overfishing (F&gt;F</w:t>
      </w:r>
      <w:r w:rsidRPr="00784C3D">
        <w:rPr>
          <w:rFonts w:ascii="Calibri" w:hAnsi="Calibri" w:cs="Calibri"/>
          <w:vertAlign w:val="subscript"/>
        </w:rPr>
        <w:t>MSY</w:t>
      </w:r>
      <w:r w:rsidRPr="00784C3D">
        <w:rPr>
          <w:rFonts w:ascii="Calibri" w:hAnsi="Calibri" w:cs="Calibri"/>
        </w:rPr>
        <w:t>) and is overfished, with the biomass being below the level which would produce MSY (B&lt;B</w:t>
      </w:r>
      <w:r w:rsidRPr="00784C3D">
        <w:rPr>
          <w:rFonts w:ascii="Calibri" w:hAnsi="Calibri" w:cs="Calibri"/>
          <w:vertAlign w:val="subscript"/>
        </w:rPr>
        <w:t>MSY</w:t>
      </w:r>
      <w:r w:rsidRPr="00784C3D">
        <w:rPr>
          <w:rFonts w:ascii="Calibri" w:hAnsi="Calibri" w:cs="Calibri"/>
        </w:rPr>
        <w:t xml:space="preserve">) for over a decade. </w:t>
      </w:r>
      <w:r>
        <w:rPr>
          <w:rFonts w:ascii="Calibri" w:hAnsi="Calibri" w:cs="Calibri"/>
        </w:rPr>
        <w:t xml:space="preserve">Both SS3 and JABBA assessments rely on CPUE indices from the longline fisheries in which the striped marlin are not the main target species. </w:t>
      </w:r>
      <w:r w:rsidRPr="00784C3D">
        <w:rPr>
          <w:rFonts w:ascii="Calibri" w:hAnsi="Calibri" w:cs="Calibri"/>
        </w:rPr>
        <w:t>On the weight-of-evidence available in 202</w:t>
      </w:r>
      <w:r>
        <w:rPr>
          <w:rFonts w:ascii="Calibri" w:hAnsi="Calibri" w:cs="Calibri"/>
        </w:rPr>
        <w:t>4</w:t>
      </w:r>
      <w:r w:rsidRPr="00784C3D">
        <w:rPr>
          <w:rFonts w:ascii="Calibri" w:hAnsi="Calibri" w:cs="Calibri"/>
        </w:rPr>
        <w:t xml:space="preserve">, the stock status of striped marlin is determined to be </w:t>
      </w:r>
      <w:r w:rsidRPr="00784C3D">
        <w:rPr>
          <w:rFonts w:ascii="Calibri" w:hAnsi="Calibri" w:cs="Calibri"/>
          <w:b/>
          <w:i/>
        </w:rPr>
        <w:t>overfished</w:t>
      </w:r>
      <w:r w:rsidRPr="00784C3D">
        <w:rPr>
          <w:rFonts w:ascii="Calibri" w:hAnsi="Calibri" w:cs="Calibri"/>
        </w:rPr>
        <w:t xml:space="preserve"> and </w:t>
      </w:r>
      <w:r w:rsidRPr="00784C3D">
        <w:rPr>
          <w:rFonts w:ascii="Calibri" w:hAnsi="Calibri" w:cs="Calibri"/>
          <w:b/>
          <w:i/>
        </w:rPr>
        <w:t xml:space="preserve">subject to overfishing </w:t>
      </w:r>
      <w:r w:rsidRPr="00784C3D">
        <w:rPr>
          <w:rFonts w:ascii="Calibri" w:hAnsi="Calibri" w:cs="Calibri"/>
          <w:bCs/>
        </w:rPr>
        <w:t>(</w:t>
      </w:r>
      <w:r w:rsidRPr="00784C3D">
        <w:rPr>
          <w:rFonts w:ascii="Calibri" w:hAnsi="Calibri" w:cs="Calibri"/>
          <w:b/>
          <w:bCs/>
        </w:rPr>
        <w:t>Table 1</w:t>
      </w:r>
      <w:r w:rsidRPr="00784C3D">
        <w:rPr>
          <w:rFonts w:ascii="Calibri" w:hAnsi="Calibri" w:cs="Calibri"/>
          <w:bCs/>
        </w:rPr>
        <w:t xml:space="preserve">; </w:t>
      </w:r>
      <w:r w:rsidRPr="00784C3D">
        <w:rPr>
          <w:rFonts w:ascii="Calibri" w:hAnsi="Calibri" w:cs="Calibri"/>
          <w:b/>
          <w:bCs/>
        </w:rPr>
        <w:t>Fig. 3</w:t>
      </w:r>
      <w:r w:rsidRPr="00784C3D">
        <w:rPr>
          <w:rFonts w:ascii="Calibri" w:hAnsi="Calibri" w:cs="Calibri"/>
          <w:bCs/>
        </w:rPr>
        <w:t>).</w:t>
      </w:r>
    </w:p>
    <w:p w14:paraId="1C2B3BB8" w14:textId="77777777" w:rsidR="003D2657" w:rsidRPr="00784C3D" w:rsidRDefault="003D2657" w:rsidP="003D2657">
      <w:pPr>
        <w:jc w:val="both"/>
        <w:rPr>
          <w:rFonts w:ascii="Calibri" w:hAnsi="Calibri" w:cs="Calibri"/>
        </w:rPr>
      </w:pPr>
    </w:p>
    <w:p w14:paraId="419EBAF0" w14:textId="77777777" w:rsidR="003D2657" w:rsidRDefault="003D2657" w:rsidP="003D2657">
      <w:pPr>
        <w:jc w:val="both"/>
        <w:rPr>
          <w:rFonts w:ascii="Calibri" w:hAnsi="Calibri" w:cs="Calibri"/>
          <w:snapToGrid w:val="0"/>
          <w:szCs w:val="20"/>
        </w:rPr>
      </w:pPr>
      <w:r w:rsidRPr="00784C3D">
        <w:rPr>
          <w:rFonts w:ascii="Calibri" w:hAnsi="Calibri" w:cs="Calibri"/>
          <w:b/>
          <w:i/>
          <w:snapToGrid w:val="0"/>
          <w:szCs w:val="20"/>
        </w:rPr>
        <w:t>Outlook</w:t>
      </w:r>
      <w:r w:rsidRPr="00784C3D">
        <w:rPr>
          <w:rFonts w:ascii="Calibri" w:hAnsi="Calibri" w:cs="Calibri"/>
          <w:snapToGrid w:val="0"/>
          <w:szCs w:val="20"/>
        </w:rPr>
        <w:t>. Biomass estimates of the Indian Ocean striped marlin stock have likely been below BMSY since the late 90’s – the stock has been severely depleted (B/B</w:t>
      </w:r>
      <w:r w:rsidRPr="00784C3D">
        <w:rPr>
          <w:rFonts w:ascii="Calibri" w:hAnsi="Calibri" w:cs="Calibri"/>
          <w:snapToGrid w:val="0"/>
          <w:szCs w:val="20"/>
          <w:vertAlign w:val="subscript"/>
        </w:rPr>
        <w:t>0</w:t>
      </w:r>
      <w:r w:rsidRPr="00784C3D">
        <w:rPr>
          <w:rFonts w:ascii="Calibri" w:hAnsi="Calibri" w:cs="Calibri"/>
          <w:snapToGrid w:val="0"/>
          <w:szCs w:val="20"/>
        </w:rPr>
        <w:t xml:space="preserve"> = 0.</w:t>
      </w:r>
      <w:r>
        <w:rPr>
          <w:rFonts w:ascii="Calibri" w:hAnsi="Calibri" w:cs="Calibri"/>
          <w:snapToGrid w:val="0"/>
          <w:szCs w:val="20"/>
        </w:rPr>
        <w:t>06</w:t>
      </w:r>
      <w:r w:rsidRPr="00784C3D">
        <w:rPr>
          <w:rFonts w:ascii="Calibri" w:hAnsi="Calibri" w:cs="Calibri"/>
          <w:snapToGrid w:val="0"/>
          <w:szCs w:val="20"/>
        </w:rPr>
        <w:t>; JABBA model).</w:t>
      </w:r>
      <w:r>
        <w:rPr>
          <w:rFonts w:ascii="Calibri" w:hAnsi="Calibri" w:cs="Calibri"/>
          <w:snapToGrid w:val="0"/>
          <w:szCs w:val="20"/>
        </w:rPr>
        <w:t xml:space="preserve"> The level of depletion has increased since the previous assessment and is currently the worst among IOTC species. There has been a substantial increase of catches </w:t>
      </w:r>
      <w:r>
        <w:rPr>
          <w:rFonts w:ascii="Calibri" w:hAnsi="Calibri" w:cs="Calibri"/>
          <w:snapToGrid w:val="0"/>
          <w:szCs w:val="20"/>
        </w:rPr>
        <w:lastRenderedPageBreak/>
        <w:t xml:space="preserve">of stripe marlin from coastal fleets in recent years. </w:t>
      </w:r>
      <w:r w:rsidRPr="00784C3D">
        <w:rPr>
          <w:rFonts w:ascii="Calibri" w:hAnsi="Calibri" w:cs="Calibri"/>
          <w:snapToGrid w:val="0"/>
          <w:szCs w:val="20"/>
        </w:rPr>
        <w:t xml:space="preserve"> The outlook is </w:t>
      </w:r>
      <w:r>
        <w:rPr>
          <w:rFonts w:ascii="Calibri" w:hAnsi="Calibri" w:cs="Calibri"/>
          <w:snapToGrid w:val="0"/>
          <w:szCs w:val="20"/>
        </w:rPr>
        <w:t xml:space="preserve">very </w:t>
      </w:r>
      <w:r w:rsidRPr="00784C3D">
        <w:rPr>
          <w:rFonts w:ascii="Calibri" w:hAnsi="Calibri" w:cs="Calibri"/>
          <w:snapToGrid w:val="0"/>
          <w:szCs w:val="20"/>
        </w:rPr>
        <w:t>pessimistic, and a substantial decrease in fishing mortality is required to ensure a reasonable chance of stock recovery in the foreseeable future (</w:t>
      </w:r>
      <w:r w:rsidRPr="00784C3D">
        <w:rPr>
          <w:rFonts w:ascii="Calibri" w:hAnsi="Calibri" w:cs="Calibri"/>
          <w:b/>
          <w:bCs/>
          <w:snapToGrid w:val="0"/>
          <w:szCs w:val="20"/>
        </w:rPr>
        <w:t>Table 2</w:t>
      </w:r>
      <w:r w:rsidRPr="00784C3D">
        <w:rPr>
          <w:rFonts w:ascii="Calibri" w:hAnsi="Calibri" w:cs="Calibri"/>
          <w:snapToGrid w:val="0"/>
          <w:szCs w:val="20"/>
        </w:rPr>
        <w:t>). It should be noted that point estimates from SS3 indicate that F</w:t>
      </w:r>
      <w:r w:rsidRPr="00784C3D">
        <w:rPr>
          <w:rFonts w:ascii="Calibri" w:hAnsi="Calibri" w:cs="Calibri"/>
          <w:snapToGrid w:val="0"/>
          <w:szCs w:val="20"/>
          <w:vertAlign w:val="subscript"/>
        </w:rPr>
        <w:t>curr</w:t>
      </w:r>
      <w:r w:rsidRPr="00784C3D">
        <w:rPr>
          <w:rFonts w:ascii="Calibri" w:hAnsi="Calibri" w:cs="Calibri"/>
          <w:snapToGrid w:val="0"/>
          <w:szCs w:val="20"/>
        </w:rPr>
        <w:t>/F</w:t>
      </w:r>
      <w:r w:rsidRPr="00784C3D">
        <w:rPr>
          <w:rFonts w:ascii="Calibri" w:hAnsi="Calibri" w:cs="Calibri"/>
          <w:snapToGrid w:val="0"/>
          <w:szCs w:val="20"/>
          <w:vertAlign w:val="subscript"/>
        </w:rPr>
        <w:t>MSY</w:t>
      </w:r>
      <w:r w:rsidRPr="00784C3D">
        <w:rPr>
          <w:rFonts w:ascii="Calibri" w:hAnsi="Calibri" w:cs="Calibri"/>
          <w:snapToGrid w:val="0"/>
          <w:szCs w:val="20"/>
        </w:rPr>
        <w:t xml:space="preserve"> are </w:t>
      </w:r>
      <w:r>
        <w:rPr>
          <w:rFonts w:ascii="Calibri" w:hAnsi="Calibri" w:cs="Calibri"/>
          <w:snapToGrid w:val="0"/>
          <w:szCs w:val="20"/>
        </w:rPr>
        <w:t xml:space="preserve">much </w:t>
      </w:r>
      <w:r w:rsidRPr="00784C3D">
        <w:rPr>
          <w:rFonts w:ascii="Calibri" w:hAnsi="Calibri" w:cs="Calibri"/>
          <w:snapToGrid w:val="0"/>
          <w:szCs w:val="20"/>
        </w:rPr>
        <w:t>higher than those estimated by JABBA.</w:t>
      </w:r>
      <w:r>
        <w:rPr>
          <w:rFonts w:ascii="Calibri" w:hAnsi="Calibri" w:cs="Calibri"/>
          <w:snapToGrid w:val="0"/>
          <w:szCs w:val="20"/>
        </w:rPr>
        <w:t xml:space="preserve"> </w:t>
      </w:r>
    </w:p>
    <w:p w14:paraId="017672C4" w14:textId="77777777" w:rsidR="003D2657" w:rsidRPr="00784C3D" w:rsidRDefault="003D2657" w:rsidP="003D2657">
      <w:pPr>
        <w:jc w:val="both"/>
        <w:rPr>
          <w:rFonts w:ascii="Calibri" w:hAnsi="Calibri" w:cs="Calibri"/>
          <w:snapToGrid w:val="0"/>
          <w:szCs w:val="20"/>
        </w:rPr>
      </w:pPr>
    </w:p>
    <w:p w14:paraId="381D7A0F" w14:textId="77777777" w:rsidR="003D2657" w:rsidRPr="00667962" w:rsidRDefault="003D2657" w:rsidP="003D2657">
      <w:pPr>
        <w:jc w:val="both"/>
        <w:rPr>
          <w:rFonts w:ascii="Calibri" w:hAnsi="Calibri" w:cs="Calibri"/>
          <w:bCs/>
        </w:rPr>
      </w:pPr>
      <w:r w:rsidRPr="00784C3D">
        <w:rPr>
          <w:rFonts w:ascii="Calibri" w:hAnsi="Calibri" w:cs="Calibri"/>
          <w:b/>
          <w:bCs/>
          <w:i/>
        </w:rPr>
        <w:t>Management advice.</w:t>
      </w:r>
      <w:r w:rsidRPr="00784C3D">
        <w:rPr>
          <w:rFonts w:ascii="Calibri" w:hAnsi="Calibri" w:cs="Calibri"/>
          <w:bCs/>
        </w:rPr>
        <w:t xml:space="preserve"> </w:t>
      </w:r>
      <w:r w:rsidRPr="00667962">
        <w:rPr>
          <w:rFonts w:ascii="Calibri" w:hAnsi="Calibri" w:cs="Calibri"/>
          <w:bCs/>
        </w:rPr>
        <w:t xml:space="preserve">Current or increasing catches have a very high risk of further decline in the stock status. The 2023 catches (3,553 t) were lower than the estimated MSY (4,730 t) but are above the limit set by Resolution 18/05 (3,260 t) which may be a concern if this trend continues. However, the limit is not based on estimates of </w:t>
      </w:r>
      <w:r>
        <w:rPr>
          <w:rFonts w:ascii="Calibri" w:hAnsi="Calibri" w:cs="Calibri"/>
          <w:bCs/>
        </w:rPr>
        <w:t xml:space="preserve">the </w:t>
      </w:r>
      <w:r w:rsidRPr="00667962">
        <w:rPr>
          <w:rFonts w:ascii="Calibri" w:hAnsi="Calibri" w:cs="Calibri"/>
          <w:bCs/>
        </w:rPr>
        <w:t xml:space="preserve">most recent stock assessment. Thus, </w:t>
      </w:r>
      <w:r>
        <w:rPr>
          <w:rFonts w:ascii="Calibri" w:hAnsi="Calibri" w:cs="Calibri"/>
          <w:bCs/>
        </w:rPr>
        <w:t>i</w:t>
      </w:r>
      <w:r w:rsidRPr="00667962">
        <w:rPr>
          <w:rFonts w:ascii="Calibri" w:hAnsi="Calibri" w:cs="Calibri"/>
          <w:bCs/>
        </w:rPr>
        <w:t>t is recommended that the Commission urgently revise Resolution 18/05 to incorporate limits that reflect the most recent stock assessment and projections</w:t>
      </w:r>
      <w:r>
        <w:rPr>
          <w:rFonts w:ascii="Calibri" w:hAnsi="Calibri" w:cs="Calibri"/>
          <w:bCs/>
        </w:rPr>
        <w:t>,</w:t>
      </w:r>
      <w:r w:rsidRPr="00667962">
        <w:rPr>
          <w:rFonts w:ascii="Calibri" w:hAnsi="Calibri" w:cs="Calibri"/>
          <w:bCs/>
        </w:rPr>
        <w:t xml:space="preserve"> and </w:t>
      </w:r>
      <w:r>
        <w:rPr>
          <w:rFonts w:ascii="Calibri" w:hAnsi="Calibri" w:cs="Calibri"/>
          <w:bCs/>
        </w:rPr>
        <w:t>review,</w:t>
      </w:r>
      <w:r w:rsidRPr="00667962">
        <w:rPr>
          <w:rFonts w:ascii="Calibri" w:hAnsi="Calibri" w:cs="Calibri"/>
          <w:bCs/>
        </w:rPr>
        <w:t xml:space="preserve"> and where necessary</w:t>
      </w:r>
      <w:r>
        <w:rPr>
          <w:rFonts w:ascii="Calibri" w:hAnsi="Calibri" w:cs="Calibri"/>
          <w:bCs/>
        </w:rPr>
        <w:t>,</w:t>
      </w:r>
      <w:r w:rsidRPr="00667962">
        <w:rPr>
          <w:rFonts w:ascii="Calibri" w:hAnsi="Calibri" w:cs="Calibri"/>
          <w:bCs/>
        </w:rPr>
        <w:t xml:space="preserve"> revise the implementation and effectiveness of the measures contained in this Resolution.</w:t>
      </w:r>
    </w:p>
    <w:p w14:paraId="5DE05569" w14:textId="77777777" w:rsidR="003D2657" w:rsidRDefault="003D2657" w:rsidP="003D2657">
      <w:pPr>
        <w:jc w:val="both"/>
        <w:rPr>
          <w:rFonts w:ascii="Calibri" w:hAnsi="Calibri" w:cs="Calibri"/>
          <w:bCs/>
        </w:rPr>
      </w:pPr>
      <w:r w:rsidRPr="00667962">
        <w:rPr>
          <w:rFonts w:ascii="Calibri" w:hAnsi="Calibri" w:cs="Calibri"/>
          <w:bCs/>
        </w:rPr>
        <w:t>The stock has been overfished for more than a decade and is now in a highly depleted state. A 70% reduction in the recent average 2020-22 catch of 2</w:t>
      </w:r>
      <w:r>
        <w:rPr>
          <w:rFonts w:ascii="Calibri" w:hAnsi="Calibri" w:cs="Calibri"/>
          <w:bCs/>
        </w:rPr>
        <w:t>,</w:t>
      </w:r>
      <w:r w:rsidRPr="00667962">
        <w:rPr>
          <w:rFonts w:ascii="Calibri" w:hAnsi="Calibri" w:cs="Calibri"/>
          <w:bCs/>
        </w:rPr>
        <w:t xml:space="preserve">891 </w:t>
      </w:r>
      <w:r>
        <w:rPr>
          <w:rFonts w:ascii="Calibri" w:hAnsi="Calibri" w:cs="Calibri"/>
          <w:bCs/>
        </w:rPr>
        <w:t xml:space="preserve">t </w:t>
      </w:r>
      <w:r w:rsidRPr="00667962">
        <w:rPr>
          <w:rFonts w:ascii="Calibri" w:hAnsi="Calibri" w:cs="Calibri"/>
          <w:bCs/>
        </w:rPr>
        <w:t>(i.e. catch of 867 t)  would recover the stock to the green quadrant by 2032 with a probability of 78%</w:t>
      </w:r>
      <w:r>
        <w:rPr>
          <w:rFonts w:ascii="Calibri" w:hAnsi="Calibri" w:cs="Calibri"/>
          <w:bCs/>
        </w:rPr>
        <w:t xml:space="preserve"> </w:t>
      </w:r>
      <w:r w:rsidRPr="00667962">
        <w:rPr>
          <w:rFonts w:ascii="Calibri" w:hAnsi="Calibri" w:cs="Calibri"/>
          <w:bCs/>
        </w:rPr>
        <w:t>and a 60% reduction in recent av</w:t>
      </w:r>
      <w:r>
        <w:rPr>
          <w:rFonts w:ascii="Calibri" w:hAnsi="Calibri" w:cs="Calibri"/>
          <w:bCs/>
        </w:rPr>
        <w:t>e</w:t>
      </w:r>
      <w:r w:rsidRPr="00667962">
        <w:rPr>
          <w:rFonts w:ascii="Calibri" w:hAnsi="Calibri" w:cs="Calibri"/>
          <w:bCs/>
        </w:rPr>
        <w:t>r</w:t>
      </w:r>
      <w:r>
        <w:rPr>
          <w:rFonts w:ascii="Calibri" w:hAnsi="Calibri" w:cs="Calibri"/>
          <w:bCs/>
        </w:rPr>
        <w:t>a</w:t>
      </w:r>
      <w:r w:rsidRPr="00667962">
        <w:rPr>
          <w:rFonts w:ascii="Calibri" w:hAnsi="Calibri" w:cs="Calibri"/>
          <w:bCs/>
        </w:rPr>
        <w:t>ge catch (i.e. catch of 1</w:t>
      </w:r>
      <w:r>
        <w:rPr>
          <w:rFonts w:ascii="Calibri" w:hAnsi="Calibri" w:cs="Calibri"/>
          <w:bCs/>
        </w:rPr>
        <w:t>,</w:t>
      </w:r>
      <w:r w:rsidRPr="00667962">
        <w:rPr>
          <w:rFonts w:ascii="Calibri" w:hAnsi="Calibri" w:cs="Calibri"/>
          <w:bCs/>
        </w:rPr>
        <w:t>157 t) would achieve this with a probability of 58%</w:t>
      </w:r>
      <w:r>
        <w:rPr>
          <w:rFonts w:ascii="Calibri" w:hAnsi="Calibri" w:cs="Calibri"/>
          <w:bCs/>
        </w:rPr>
        <w:t xml:space="preserve">. </w:t>
      </w:r>
    </w:p>
    <w:p w14:paraId="023978C9" w14:textId="77777777" w:rsidR="003D2657" w:rsidRDefault="003D2657" w:rsidP="003D2657">
      <w:pPr>
        <w:rPr>
          <w:rFonts w:ascii="Calibri" w:hAnsi="Calibri" w:cs="Calibri"/>
          <w:bCs/>
        </w:rPr>
      </w:pPr>
    </w:p>
    <w:p w14:paraId="71DB701D" w14:textId="77777777" w:rsidR="003D2657" w:rsidRPr="00784C3D" w:rsidRDefault="003D2657" w:rsidP="003D2657">
      <w:pPr>
        <w:shd w:val="clear" w:color="auto" w:fill="FFFFFF"/>
        <w:spacing w:before="120"/>
        <w:jc w:val="both"/>
        <w:rPr>
          <w:rFonts w:ascii="Calibri" w:hAnsi="Calibri" w:cs="Calibri"/>
          <w:snapToGrid w:val="0"/>
          <w:szCs w:val="20"/>
        </w:rPr>
      </w:pPr>
      <w:r w:rsidRPr="00784C3D">
        <w:rPr>
          <w:rFonts w:ascii="Calibri" w:hAnsi="Calibri" w:cs="Calibri"/>
          <w:snapToGrid w:val="0"/>
          <w:szCs w:val="20"/>
        </w:rPr>
        <w:t>The following key points should also be noted:</w:t>
      </w:r>
    </w:p>
    <w:p w14:paraId="0A68F21D" w14:textId="77777777" w:rsidR="003D2657" w:rsidRPr="00784C3D" w:rsidRDefault="003D2657" w:rsidP="003D2657">
      <w:pPr>
        <w:numPr>
          <w:ilvl w:val="0"/>
          <w:numId w:val="16"/>
        </w:numPr>
        <w:shd w:val="clear" w:color="auto" w:fill="FFFFFF"/>
        <w:spacing w:before="60"/>
        <w:ind w:left="1077" w:hanging="357"/>
        <w:jc w:val="both"/>
        <w:rPr>
          <w:rFonts w:ascii="Calibri" w:hAnsi="Calibri" w:cs="Calibri"/>
          <w:bCs/>
          <w:snapToGrid w:val="0"/>
          <w:szCs w:val="20"/>
        </w:rPr>
      </w:pPr>
      <w:r w:rsidRPr="00784C3D">
        <w:rPr>
          <w:rFonts w:ascii="Calibri" w:hAnsi="Calibri" w:cs="Calibri"/>
          <w:b/>
          <w:szCs w:val="20"/>
        </w:rPr>
        <w:t>Maximum Sustainable Yield (MSY)</w:t>
      </w:r>
      <w:r w:rsidRPr="00784C3D">
        <w:rPr>
          <w:rFonts w:ascii="Calibri" w:hAnsi="Calibri" w:cs="Calibri"/>
          <w:szCs w:val="20"/>
        </w:rPr>
        <w:t>: estimates for the Indian Ocean stock are uncertain and estimates range between 4,</w:t>
      </w:r>
      <w:r>
        <w:rPr>
          <w:rFonts w:ascii="Calibri" w:hAnsi="Calibri" w:cs="Calibri"/>
          <w:szCs w:val="20"/>
        </w:rPr>
        <w:t>2</w:t>
      </w:r>
      <w:r w:rsidRPr="00784C3D">
        <w:rPr>
          <w:rFonts w:ascii="Calibri" w:hAnsi="Calibri" w:cs="Calibri"/>
          <w:szCs w:val="20"/>
        </w:rPr>
        <w:t>20 - 5,</w:t>
      </w:r>
      <w:r>
        <w:rPr>
          <w:rFonts w:ascii="Calibri" w:hAnsi="Calibri" w:cs="Calibri"/>
          <w:szCs w:val="20"/>
        </w:rPr>
        <w:t>240</w:t>
      </w:r>
      <w:r w:rsidRPr="00784C3D">
        <w:rPr>
          <w:rFonts w:ascii="Calibri" w:hAnsi="Calibri" w:cs="Calibri"/>
          <w:szCs w:val="20"/>
        </w:rPr>
        <w:t xml:space="preserve"> t. However</w:t>
      </w:r>
      <w:r w:rsidRPr="00784C3D">
        <w:rPr>
          <w:rFonts w:ascii="Calibri" w:hAnsi="Calibri" w:cs="Calibri"/>
          <w:snapToGrid w:val="0"/>
          <w:szCs w:val="20"/>
        </w:rPr>
        <w:t>, the current biomass is well below the B</w:t>
      </w:r>
      <w:r w:rsidRPr="00784C3D">
        <w:rPr>
          <w:rFonts w:ascii="Calibri" w:hAnsi="Calibri" w:cs="Calibri"/>
          <w:snapToGrid w:val="0"/>
          <w:szCs w:val="20"/>
          <w:vertAlign w:val="subscript"/>
        </w:rPr>
        <w:t>MSY</w:t>
      </w:r>
      <w:r w:rsidRPr="00784C3D">
        <w:rPr>
          <w:rFonts w:ascii="Calibri" w:hAnsi="Calibri" w:cs="Calibri"/>
          <w:snapToGrid w:val="0"/>
          <w:szCs w:val="20"/>
        </w:rPr>
        <w:t xml:space="preserve"> reference point and fishing mortality is in excess of F</w:t>
      </w:r>
      <w:r w:rsidRPr="00784C3D">
        <w:rPr>
          <w:rFonts w:ascii="Calibri" w:hAnsi="Calibri" w:cs="Calibri"/>
          <w:snapToGrid w:val="0"/>
          <w:szCs w:val="20"/>
          <w:vertAlign w:val="subscript"/>
        </w:rPr>
        <w:t>MSY</w:t>
      </w:r>
      <w:r w:rsidRPr="00784C3D">
        <w:rPr>
          <w:rFonts w:ascii="Calibri" w:hAnsi="Calibri" w:cs="Calibri"/>
          <w:snapToGrid w:val="0"/>
          <w:szCs w:val="20"/>
        </w:rPr>
        <w:t xml:space="preserve"> at recent catch levels.</w:t>
      </w:r>
    </w:p>
    <w:p w14:paraId="771D0A63" w14:textId="77777777" w:rsidR="003D2657" w:rsidRPr="00784C3D" w:rsidRDefault="003D2657" w:rsidP="003D2657">
      <w:pPr>
        <w:numPr>
          <w:ilvl w:val="0"/>
          <w:numId w:val="16"/>
        </w:numPr>
        <w:shd w:val="clear" w:color="auto" w:fill="FFFFFF"/>
        <w:spacing w:before="60"/>
        <w:ind w:right="-90"/>
        <w:jc w:val="both"/>
        <w:rPr>
          <w:rFonts w:ascii="Calibri" w:hAnsi="Calibri" w:cs="Calibri"/>
          <w:b/>
          <w:szCs w:val="20"/>
        </w:rPr>
      </w:pPr>
      <w:r w:rsidRPr="00784C3D">
        <w:rPr>
          <w:rFonts w:ascii="Calibri" w:hAnsi="Calibri" w:cs="Calibri"/>
          <w:b/>
          <w:snapToGrid w:val="0"/>
        </w:rPr>
        <w:t>Provisional reference points</w:t>
      </w:r>
      <w:r w:rsidRPr="00784C3D">
        <w:rPr>
          <w:rFonts w:ascii="Calibri" w:hAnsi="Calibri" w:cs="Calibri"/>
          <w:snapToGrid w:val="0"/>
        </w:rPr>
        <w:t xml:space="preserve">: although the Commission adopted reference points for swordfish in </w:t>
      </w:r>
      <w:hyperlink r:id="rId87" w:history="1">
        <w:r w:rsidRPr="00784C3D">
          <w:rPr>
            <w:rFonts w:ascii="Calibri" w:hAnsi="Calibri" w:cs="Calibri"/>
            <w:snapToGrid w:val="0"/>
            <w:color w:val="0000FF"/>
            <w:u w:val="single"/>
          </w:rPr>
          <w:t>Resolution 15/10</w:t>
        </w:r>
      </w:hyperlink>
      <w:r w:rsidRPr="00784C3D">
        <w:rPr>
          <w:rFonts w:ascii="Calibri" w:hAnsi="Calibri" w:cs="Calibri"/>
          <w:snapToGrid w:val="0"/>
        </w:rPr>
        <w:t xml:space="preserve"> </w:t>
      </w:r>
      <w:r w:rsidRPr="00784C3D">
        <w:rPr>
          <w:rFonts w:ascii="Calibri" w:hAnsi="Calibri" w:cs="Calibri"/>
          <w:i/>
          <w:snapToGrid w:val="0"/>
        </w:rPr>
        <w:t>on target and limit reference points and a decision framework</w:t>
      </w:r>
      <w:r w:rsidRPr="00784C3D">
        <w:rPr>
          <w:rFonts w:ascii="Calibri" w:hAnsi="Calibri" w:cs="Calibri"/>
          <w:snapToGrid w:val="0"/>
        </w:rPr>
        <w:t>, no such interim reference points have been established for striped marlin.</w:t>
      </w:r>
      <w:r w:rsidRPr="00784C3D">
        <w:rPr>
          <w:rFonts w:ascii="Calibri" w:hAnsi="Calibri" w:cs="Calibri"/>
          <w:szCs w:val="24"/>
        </w:rPr>
        <w:tab/>
      </w:r>
    </w:p>
    <w:p w14:paraId="30247F96" w14:textId="77777777" w:rsidR="003D2657" w:rsidRPr="00784C3D" w:rsidRDefault="003D2657" w:rsidP="003D2657">
      <w:pPr>
        <w:numPr>
          <w:ilvl w:val="0"/>
          <w:numId w:val="16"/>
        </w:numPr>
        <w:ind w:right="-90"/>
        <w:jc w:val="both"/>
        <w:rPr>
          <w:rFonts w:ascii="Calibri" w:hAnsi="Calibri" w:cs="Calibri"/>
          <w:snapToGrid w:val="0"/>
          <w:color w:val="000000"/>
        </w:rPr>
      </w:pPr>
      <w:r w:rsidRPr="2E0A6BF7">
        <w:rPr>
          <w:rFonts w:ascii="Calibri" w:eastAsia="Calibri" w:hAnsi="Calibri" w:cs="Calibri"/>
          <w:b/>
          <w:bCs/>
          <w:snapToGrid w:val="0"/>
        </w:rPr>
        <w:t>Main fisheries (mean annual catch 2019-2023)</w:t>
      </w:r>
      <w:r w:rsidRPr="2E0A6BF7">
        <w:rPr>
          <w:rFonts w:ascii="Calibri" w:eastAsia="Calibri" w:hAnsi="Calibri" w:cs="Calibri"/>
          <w:snapToGrid w:val="0"/>
        </w:rPr>
        <w:t xml:space="preserve">: </w:t>
      </w:r>
      <w:r w:rsidRPr="2E0A6BF7">
        <w:rPr>
          <w:rFonts w:ascii="Calibri" w:eastAsia="Calibri" w:hAnsi="Calibri" w:cs="Calibri"/>
        </w:rPr>
        <w:t>striped marlin are caught using gillnet (74.1%), followed by longline (14.4%) and line (6.7%). The remaining catches taken with other gears contributed to 4.8% of the total catches in recent years</w:t>
      </w:r>
      <w:r w:rsidRPr="2E0A6BF7">
        <w:rPr>
          <w:rFonts w:ascii="Calibri" w:eastAsia="Calibri" w:hAnsi="Calibri" w:cs="Calibri"/>
          <w:snapToGrid w:val="0"/>
        </w:rPr>
        <w:t xml:space="preserve"> (</w:t>
      </w:r>
      <w:r w:rsidRPr="2E0A6BF7">
        <w:rPr>
          <w:rFonts w:ascii="Calibri" w:eastAsia="Calibri" w:hAnsi="Calibri" w:cs="Calibri"/>
          <w:b/>
          <w:bCs/>
          <w:snapToGrid w:val="0"/>
        </w:rPr>
        <w:t>Fig. 1</w:t>
      </w:r>
      <w:r w:rsidRPr="2E0A6BF7">
        <w:rPr>
          <w:rFonts w:ascii="Calibri" w:eastAsia="Calibri" w:hAnsi="Calibri" w:cs="Calibri"/>
          <w:snapToGrid w:val="0"/>
        </w:rPr>
        <w:t>).</w:t>
      </w:r>
    </w:p>
    <w:p w14:paraId="033F6EA5" w14:textId="77777777" w:rsidR="003D2657" w:rsidRPr="00784C3D" w:rsidRDefault="003D2657" w:rsidP="003D2657">
      <w:pPr>
        <w:numPr>
          <w:ilvl w:val="0"/>
          <w:numId w:val="16"/>
        </w:numPr>
        <w:ind w:right="-90"/>
        <w:jc w:val="both"/>
        <w:rPr>
          <w:rFonts w:ascii="Calibri" w:hAnsi="Calibri" w:cs="Calibri"/>
        </w:rPr>
      </w:pPr>
      <w:r w:rsidRPr="2E0A6BF7">
        <w:rPr>
          <w:rFonts w:ascii="Calibri" w:hAnsi="Calibri" w:cs="Calibri"/>
          <w:b/>
          <w:bCs/>
        </w:rPr>
        <w:t>Main fleets (mean annual catch 2019-2023)</w:t>
      </w:r>
      <w:r w:rsidRPr="2E0A6BF7">
        <w:rPr>
          <w:rFonts w:ascii="Calibri" w:hAnsi="Calibri" w:cs="Calibri"/>
        </w:rPr>
        <w:t>: the majority of striped marlin catches are attributed to vessels flagged to I. R. Iran (35.1%) followed by Pakistan (26.8%) and Indonesia (16.4%). The 24 other fleets catching striped marlin contributed to 21.6% of the total catch in recent years (</w:t>
      </w:r>
      <w:r w:rsidRPr="2E0A6BF7">
        <w:rPr>
          <w:rFonts w:ascii="Calibri" w:hAnsi="Calibri" w:cs="Calibri"/>
          <w:b/>
          <w:bCs/>
        </w:rPr>
        <w:t>Fig. 2</w:t>
      </w:r>
      <w:r w:rsidRPr="2E0A6BF7">
        <w:rPr>
          <w:rFonts w:ascii="Calibri" w:hAnsi="Calibri" w:cs="Calibri"/>
        </w:rPr>
        <w:t>).</w:t>
      </w:r>
    </w:p>
    <w:p w14:paraId="39C2A475" w14:textId="48A8AABC" w:rsidR="00D95EAD" w:rsidRPr="00784C3D" w:rsidRDefault="00D95EAD" w:rsidP="00D95EAD">
      <w:pPr>
        <w:rPr>
          <w:rFonts w:ascii="Calibri" w:hAnsi="Calibri" w:cs="Calibri"/>
          <w:szCs w:val="20"/>
          <w:highlight w:val="yellow"/>
        </w:rPr>
      </w:pPr>
    </w:p>
    <w:p w14:paraId="7B2BE050" w14:textId="77777777" w:rsidR="00D95EAD" w:rsidRPr="00784C3D" w:rsidRDefault="00D95EAD" w:rsidP="00D95EAD">
      <w:pPr>
        <w:ind w:right="-90"/>
        <w:jc w:val="center"/>
        <w:rPr>
          <w:rFonts w:ascii="Calibri" w:hAnsi="Calibri" w:cs="Calibri"/>
          <w:szCs w:val="20"/>
        </w:rPr>
      </w:pPr>
      <w:r>
        <w:rPr>
          <w:noProof/>
        </w:rPr>
        <w:drawing>
          <wp:inline distT="0" distB="0" distL="0" distR="0" wp14:anchorId="6DF25189" wp14:editId="042ED967">
            <wp:extent cx="5943600" cy="2495958"/>
            <wp:effectExtent l="0" t="0" r="0" b="0"/>
            <wp:docPr id="1899630116" name="Picture 1899630116" descr="A graph of 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aph of a graph of a graph&#10;&#10;Description automatically generated with medium confidence"/>
                    <pic:cNvPicPr>
                      <a:picLocks noChangeAspect="1" noChangeArrowheads="1"/>
                    </pic:cNvPicPr>
                  </pic:nvPicPr>
                  <pic:blipFill>
                    <a:blip r:embed="rId88" cstate="print"/>
                    <a:stretch>
                      <a:fillRect/>
                    </a:stretch>
                  </pic:blipFill>
                  <pic:spPr bwMode="auto">
                    <a:xfrm>
                      <a:off x="0" y="0"/>
                      <a:ext cx="5943600" cy="2495958"/>
                    </a:xfrm>
                    <a:prstGeom prst="rect">
                      <a:avLst/>
                    </a:prstGeom>
                    <a:noFill/>
                  </pic:spPr>
                </pic:pic>
              </a:graphicData>
            </a:graphic>
          </wp:inline>
        </w:drawing>
      </w:r>
    </w:p>
    <w:p w14:paraId="5D4945A9" w14:textId="77777777" w:rsidR="00D95EAD" w:rsidRPr="00784C3D" w:rsidRDefault="00D95EAD" w:rsidP="00D95EAD">
      <w:pPr>
        <w:autoSpaceDE w:val="0"/>
        <w:autoSpaceDN w:val="0"/>
        <w:adjustRightInd w:val="0"/>
        <w:jc w:val="both"/>
        <w:rPr>
          <w:rFonts w:ascii="Calibri" w:hAnsi="Calibri" w:cs="Calibri"/>
          <w:sz w:val="18"/>
          <w:szCs w:val="18"/>
        </w:rPr>
      </w:pPr>
      <w:r w:rsidRPr="00784C3D">
        <w:rPr>
          <w:rFonts w:ascii="Calibri" w:hAnsi="Calibri" w:cs="Calibri"/>
          <w:b/>
          <w:sz w:val="18"/>
          <w:szCs w:val="18"/>
        </w:rPr>
        <w:t>Fig. 1.</w:t>
      </w:r>
      <w:r w:rsidRPr="00784C3D">
        <w:rPr>
          <w:rFonts w:ascii="Calibri" w:hAnsi="Calibri" w:cs="Calibri"/>
          <w:sz w:val="18"/>
          <w:szCs w:val="18"/>
        </w:rPr>
        <w:t xml:space="preserve"> Annual time series of (a) cumulative nominal catches (metric tons; t) by fishery and (b) individual nominal catches (metric tons; t) by fishery group for striped marlin during 1950-202</w:t>
      </w:r>
      <w:r>
        <w:rPr>
          <w:rFonts w:ascii="Calibri" w:hAnsi="Calibri" w:cs="Calibri"/>
          <w:sz w:val="18"/>
          <w:szCs w:val="18"/>
        </w:rPr>
        <w:t>2</w:t>
      </w:r>
      <w:r w:rsidRPr="00784C3D">
        <w:rPr>
          <w:rFonts w:ascii="Calibri" w:hAnsi="Calibri" w:cs="Calibri"/>
          <w:sz w:val="18"/>
          <w:szCs w:val="18"/>
        </w:rPr>
        <w:t xml:space="preserve">. </w:t>
      </w:r>
      <w:r w:rsidRPr="00784C3D">
        <w:rPr>
          <w:rFonts w:ascii="Calibri" w:hAnsi="Calibri" w:cs="Calibri"/>
          <w:sz w:val="18"/>
          <w:szCs w:val="18"/>
          <w:u w:val="single"/>
        </w:rPr>
        <w:t>Longline | Other</w:t>
      </w:r>
      <w:r w:rsidRPr="00784C3D">
        <w:rPr>
          <w:rFonts w:ascii="Calibri" w:hAnsi="Calibri" w:cs="Calibri"/>
          <w:sz w:val="18"/>
          <w:szCs w:val="18"/>
        </w:rPr>
        <w:t xml:space="preserve">: swordfish and sharks-targeted longlines; </w:t>
      </w:r>
      <w:r w:rsidRPr="00784C3D">
        <w:rPr>
          <w:rFonts w:ascii="Calibri" w:hAnsi="Calibri" w:cs="Calibri"/>
          <w:sz w:val="18"/>
          <w:szCs w:val="18"/>
          <w:u w:val="single"/>
        </w:rPr>
        <w:t>Other</w:t>
      </w:r>
      <w:r w:rsidRPr="00784C3D">
        <w:rPr>
          <w:rFonts w:ascii="Calibri" w:hAnsi="Calibri" w:cs="Calibri"/>
          <w:sz w:val="18"/>
          <w:szCs w:val="18"/>
        </w:rPr>
        <w:t>: all remaining fishing gears</w:t>
      </w:r>
    </w:p>
    <w:p w14:paraId="5F02541C" w14:textId="77777777" w:rsidR="00D95EAD" w:rsidRPr="00784C3D" w:rsidRDefault="00D95EAD" w:rsidP="00D95EAD">
      <w:pPr>
        <w:autoSpaceDE w:val="0"/>
        <w:autoSpaceDN w:val="0"/>
        <w:adjustRightInd w:val="0"/>
        <w:jc w:val="both"/>
        <w:rPr>
          <w:rFonts w:ascii="Calibri" w:hAnsi="Calibri" w:cs="Calibri"/>
          <w:sz w:val="18"/>
          <w:szCs w:val="18"/>
        </w:rPr>
      </w:pPr>
    </w:p>
    <w:p w14:paraId="7761AFB4" w14:textId="77777777" w:rsidR="00D95EAD" w:rsidRPr="00784C3D" w:rsidRDefault="00D95EAD" w:rsidP="00D95EAD">
      <w:pPr>
        <w:autoSpaceDE w:val="0"/>
        <w:autoSpaceDN w:val="0"/>
        <w:adjustRightInd w:val="0"/>
        <w:jc w:val="both"/>
        <w:rPr>
          <w:rFonts w:ascii="Calibri" w:hAnsi="Calibri" w:cs="Calibri"/>
          <w:sz w:val="18"/>
          <w:szCs w:val="18"/>
        </w:rPr>
      </w:pPr>
    </w:p>
    <w:p w14:paraId="799E7E0E" w14:textId="77777777" w:rsidR="00D95EAD" w:rsidRPr="00784C3D" w:rsidRDefault="00D95EAD" w:rsidP="00D95EAD">
      <w:pPr>
        <w:autoSpaceDE w:val="0"/>
        <w:autoSpaceDN w:val="0"/>
        <w:adjustRightInd w:val="0"/>
        <w:jc w:val="both"/>
        <w:rPr>
          <w:rFonts w:ascii="Calibri" w:hAnsi="Calibri" w:cs="Calibri"/>
          <w:sz w:val="18"/>
          <w:szCs w:val="18"/>
        </w:rPr>
      </w:pPr>
      <w:r>
        <w:rPr>
          <w:noProof/>
        </w:rPr>
        <w:lastRenderedPageBreak/>
        <w:drawing>
          <wp:inline distT="0" distB="0" distL="0" distR="0" wp14:anchorId="1456F5CC" wp14:editId="6720617B">
            <wp:extent cx="5943600" cy="3327944"/>
            <wp:effectExtent l="0" t="0" r="0" b="6350"/>
            <wp:docPr id="132760102" name="Picture 132760102" descr="A graph with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aph with different colored squares&#10;&#10;Description automatically generated"/>
                    <pic:cNvPicPr>
                      <a:picLocks noChangeAspect="1" noChangeArrowheads="1"/>
                    </pic:cNvPicPr>
                  </pic:nvPicPr>
                  <pic:blipFill>
                    <a:blip r:embed="rId89" cstate="print"/>
                    <a:stretch>
                      <a:fillRect/>
                    </a:stretch>
                  </pic:blipFill>
                  <pic:spPr bwMode="auto">
                    <a:xfrm>
                      <a:off x="0" y="0"/>
                      <a:ext cx="5943600" cy="3327944"/>
                    </a:xfrm>
                    <a:prstGeom prst="rect">
                      <a:avLst/>
                    </a:prstGeom>
                    <a:noFill/>
                  </pic:spPr>
                </pic:pic>
              </a:graphicData>
            </a:graphic>
          </wp:inline>
        </w:drawing>
      </w:r>
    </w:p>
    <w:p w14:paraId="5056CE0E" w14:textId="77777777" w:rsidR="00D95EAD" w:rsidRPr="00784C3D" w:rsidRDefault="00D95EAD" w:rsidP="00D95EAD">
      <w:pPr>
        <w:autoSpaceDE w:val="0"/>
        <w:autoSpaceDN w:val="0"/>
        <w:adjustRightInd w:val="0"/>
        <w:jc w:val="both"/>
        <w:rPr>
          <w:rFonts w:ascii="Calibri" w:hAnsi="Calibri" w:cs="Calibri"/>
          <w:sz w:val="18"/>
          <w:szCs w:val="18"/>
        </w:rPr>
      </w:pPr>
    </w:p>
    <w:p w14:paraId="2D2BC960" w14:textId="77777777" w:rsidR="00D95EAD" w:rsidRPr="00784C3D" w:rsidRDefault="00D95EAD" w:rsidP="00D95EAD">
      <w:pPr>
        <w:autoSpaceDE w:val="0"/>
        <w:autoSpaceDN w:val="0"/>
        <w:adjustRightInd w:val="0"/>
        <w:jc w:val="both"/>
        <w:rPr>
          <w:rFonts w:ascii="Calibri" w:hAnsi="Calibri" w:cs="Calibri"/>
          <w:sz w:val="18"/>
          <w:szCs w:val="18"/>
        </w:rPr>
      </w:pPr>
      <w:r w:rsidRPr="00784C3D">
        <w:rPr>
          <w:rFonts w:ascii="Calibri" w:hAnsi="Calibri" w:cs="Calibri"/>
          <w:b/>
          <w:bCs/>
          <w:sz w:val="18"/>
          <w:szCs w:val="18"/>
        </w:rPr>
        <w:t>Fig. 2</w:t>
      </w:r>
      <w:r w:rsidRPr="00784C3D">
        <w:rPr>
          <w:rFonts w:ascii="Calibri" w:hAnsi="Calibri" w:cs="Calibri"/>
          <w:sz w:val="18"/>
          <w:szCs w:val="18"/>
        </w:rPr>
        <w:t>. Mean annual catches (metric tons; t) of striped marlin by fleet and fishery between 201</w:t>
      </w:r>
      <w:r>
        <w:rPr>
          <w:rFonts w:ascii="Calibri" w:hAnsi="Calibri" w:cs="Calibri"/>
          <w:sz w:val="18"/>
          <w:szCs w:val="18"/>
        </w:rPr>
        <w:t>8</w:t>
      </w:r>
      <w:r w:rsidRPr="00784C3D">
        <w:rPr>
          <w:rFonts w:ascii="Calibri" w:hAnsi="Calibri" w:cs="Calibri"/>
          <w:sz w:val="18"/>
          <w:szCs w:val="18"/>
        </w:rPr>
        <w:t xml:space="preserve"> and 202</w:t>
      </w:r>
      <w:r>
        <w:rPr>
          <w:rFonts w:ascii="Calibri" w:hAnsi="Calibri" w:cs="Calibri"/>
          <w:sz w:val="18"/>
          <w:szCs w:val="18"/>
        </w:rPr>
        <w:t>2</w:t>
      </w:r>
      <w:r w:rsidRPr="00784C3D">
        <w:rPr>
          <w:rFonts w:ascii="Calibri" w:hAnsi="Calibri" w:cs="Calibri"/>
          <w:sz w:val="18"/>
          <w:szCs w:val="18"/>
        </w:rPr>
        <w:t xml:space="preserve">, with indication of cumulative catches by fleet. </w:t>
      </w:r>
      <w:r w:rsidRPr="00784C3D">
        <w:rPr>
          <w:rFonts w:ascii="Calibri" w:hAnsi="Calibri" w:cs="Calibri"/>
          <w:sz w:val="18"/>
          <w:szCs w:val="18"/>
          <w:u w:val="single"/>
        </w:rPr>
        <w:t>Longline | Other</w:t>
      </w:r>
      <w:r w:rsidRPr="00784C3D">
        <w:rPr>
          <w:rFonts w:ascii="Calibri" w:hAnsi="Calibri" w:cs="Calibri"/>
          <w:sz w:val="18"/>
          <w:szCs w:val="18"/>
        </w:rPr>
        <w:t xml:space="preserve">: swordfish and sharks-targeted longlines; </w:t>
      </w:r>
      <w:r w:rsidRPr="00784C3D">
        <w:rPr>
          <w:rFonts w:ascii="Calibri" w:hAnsi="Calibri" w:cs="Calibri"/>
          <w:sz w:val="18"/>
          <w:szCs w:val="18"/>
          <w:u w:val="single"/>
        </w:rPr>
        <w:t>Other</w:t>
      </w:r>
      <w:r w:rsidRPr="00784C3D">
        <w:rPr>
          <w:rFonts w:ascii="Calibri" w:hAnsi="Calibri" w:cs="Calibri"/>
          <w:sz w:val="18"/>
          <w:szCs w:val="18"/>
        </w:rPr>
        <w:t>: all remaining fishing gears</w:t>
      </w:r>
    </w:p>
    <w:p w14:paraId="03D93CFF" w14:textId="77777777" w:rsidR="00D95EAD" w:rsidRPr="00784C3D" w:rsidRDefault="00D95EAD" w:rsidP="00D95EAD">
      <w:pPr>
        <w:autoSpaceDE w:val="0"/>
        <w:autoSpaceDN w:val="0"/>
        <w:adjustRightInd w:val="0"/>
        <w:jc w:val="both"/>
        <w:rPr>
          <w:rFonts w:ascii="Calibri" w:hAnsi="Calibri" w:cs="Calibri"/>
          <w:sz w:val="18"/>
          <w:szCs w:val="18"/>
          <w:highlight w:val="yellow"/>
        </w:rPr>
      </w:pPr>
    </w:p>
    <w:tbl>
      <w:tblPr>
        <w:tblStyle w:val="TableGrid1"/>
        <w:tblW w:w="1045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5"/>
        <w:gridCol w:w="5107"/>
      </w:tblGrid>
      <w:tr w:rsidR="00D95EAD" w:rsidRPr="00784C3D" w14:paraId="3F66D963" w14:textId="77777777" w:rsidTr="00444A1C">
        <w:trPr>
          <w:trHeight w:val="4086"/>
          <w:jc w:val="center"/>
        </w:trPr>
        <w:tc>
          <w:tcPr>
            <w:tcW w:w="5345" w:type="dxa"/>
          </w:tcPr>
          <w:p w14:paraId="4005C34D" w14:textId="77777777" w:rsidR="00D95EAD" w:rsidRPr="00784C3D" w:rsidRDefault="00D95EAD" w:rsidP="00444A1C">
            <w:pPr>
              <w:autoSpaceDE w:val="0"/>
              <w:autoSpaceDN w:val="0"/>
              <w:adjustRightInd w:val="0"/>
              <w:spacing w:before="120"/>
              <w:ind w:left="360"/>
              <w:jc w:val="center"/>
              <w:rPr>
                <w:rFonts w:ascii="Calibri" w:hAnsi="Calibri" w:cs="Calibri"/>
                <w:lang w:val="en-US"/>
              </w:rPr>
            </w:pPr>
            <w:bookmarkStart w:id="181" w:name="_Hlk84594933"/>
            <w:r w:rsidRPr="00784C3D">
              <w:rPr>
                <w:rFonts w:ascii="Calibri" w:hAnsi="Calibri" w:cs="Calibri"/>
                <w:lang w:val="en-US" w:eastAsia="en-GB"/>
              </w:rPr>
              <w:t>(a) Stock status (JABBA and SS3 models)</w:t>
            </w:r>
          </w:p>
          <w:bookmarkEnd w:id="181"/>
          <w:p w14:paraId="38223172" w14:textId="77777777" w:rsidR="00D95EAD" w:rsidRPr="00784C3D" w:rsidRDefault="00D95EAD" w:rsidP="00444A1C">
            <w:pPr>
              <w:autoSpaceDE w:val="0"/>
              <w:autoSpaceDN w:val="0"/>
              <w:adjustRightInd w:val="0"/>
              <w:jc w:val="center"/>
              <w:rPr>
                <w:rFonts w:ascii="Calibri" w:hAnsi="Calibri" w:cs="Calibri"/>
                <w:lang w:val="en-US"/>
              </w:rPr>
            </w:pPr>
            <w:r>
              <w:rPr>
                <w:rFonts w:ascii="Calibri" w:hAnsi="Calibri" w:cs="Calibri"/>
                <w:noProof/>
                <w:lang w:val="en-US"/>
              </w:rPr>
              <w:drawing>
                <wp:inline distT="0" distB="0" distL="0" distR="0" wp14:anchorId="6048ABBC" wp14:editId="5EF13565">
                  <wp:extent cx="2880360" cy="2871216"/>
                  <wp:effectExtent l="0" t="0" r="0" b="5715"/>
                  <wp:docPr id="1957969155" name="Picture 4" descr="A chart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969155" name="Picture 4" descr="A chart of different colored squares&#10;&#10;Description automatically generated"/>
                          <pic:cNvPicPr/>
                        </pic:nvPicPr>
                        <pic:blipFill>
                          <a:blip r:embed="rId90">
                            <a:extLst>
                              <a:ext uri="{28A0092B-C50C-407E-A947-70E740481C1C}">
                                <a14:useLocalDpi xmlns:a14="http://schemas.microsoft.com/office/drawing/2010/main" val="0"/>
                              </a:ext>
                            </a:extLst>
                          </a:blip>
                          <a:stretch>
                            <a:fillRect/>
                          </a:stretch>
                        </pic:blipFill>
                        <pic:spPr>
                          <a:xfrm>
                            <a:off x="0" y="0"/>
                            <a:ext cx="2880360" cy="2871216"/>
                          </a:xfrm>
                          <a:prstGeom prst="rect">
                            <a:avLst/>
                          </a:prstGeom>
                        </pic:spPr>
                      </pic:pic>
                    </a:graphicData>
                  </a:graphic>
                </wp:inline>
              </w:drawing>
            </w:r>
          </w:p>
        </w:tc>
        <w:tc>
          <w:tcPr>
            <w:tcW w:w="5107" w:type="dxa"/>
          </w:tcPr>
          <w:p w14:paraId="12CFBF67" w14:textId="77777777" w:rsidR="00D95EAD" w:rsidRDefault="00D95EAD" w:rsidP="00444A1C">
            <w:pPr>
              <w:autoSpaceDE w:val="0"/>
              <w:autoSpaceDN w:val="0"/>
              <w:adjustRightInd w:val="0"/>
              <w:spacing w:before="120"/>
              <w:ind w:left="360"/>
              <w:jc w:val="center"/>
              <w:rPr>
                <w:rFonts w:ascii="Calibri" w:hAnsi="Calibri" w:cs="Calibri"/>
                <w:lang w:val="en-US" w:eastAsia="en-GB"/>
              </w:rPr>
            </w:pPr>
            <w:r w:rsidRPr="00784C3D">
              <w:rPr>
                <w:rFonts w:ascii="Calibri" w:hAnsi="Calibri" w:cs="Calibri"/>
                <w:lang w:val="en-US" w:eastAsia="en-GB"/>
              </w:rPr>
              <w:t xml:space="preserve">(b) JABBA </w:t>
            </w:r>
            <w:r w:rsidRPr="00784C3D">
              <w:rPr>
                <w:rFonts w:ascii="Calibri" w:hAnsi="Calibri" w:cs="Calibri"/>
                <w:i/>
                <w:lang w:val="en-US"/>
              </w:rPr>
              <w:t>B/B</w:t>
            </w:r>
            <w:r w:rsidRPr="00784C3D">
              <w:rPr>
                <w:rFonts w:ascii="Calibri" w:hAnsi="Calibri" w:cs="Calibri"/>
                <w:i/>
                <w:vertAlign w:val="subscript"/>
                <w:lang w:val="en-US"/>
              </w:rPr>
              <w:t>MSY</w:t>
            </w:r>
            <w:r w:rsidRPr="00784C3D">
              <w:rPr>
                <w:rFonts w:ascii="Calibri" w:hAnsi="Calibri" w:cs="Calibri"/>
                <w:i/>
                <w:lang w:val="en-US"/>
              </w:rPr>
              <w:t xml:space="preserve"> </w:t>
            </w:r>
            <w:r w:rsidRPr="00784C3D">
              <w:rPr>
                <w:rFonts w:ascii="Calibri" w:hAnsi="Calibri" w:cs="Calibri"/>
                <w:lang w:val="en-US"/>
              </w:rPr>
              <w:t xml:space="preserve">and </w:t>
            </w:r>
            <w:r w:rsidRPr="00784C3D">
              <w:rPr>
                <w:rFonts w:ascii="Calibri" w:hAnsi="Calibri" w:cs="Calibri"/>
                <w:i/>
                <w:lang w:val="en-US"/>
              </w:rPr>
              <w:t>F/F</w:t>
            </w:r>
            <w:r w:rsidRPr="00784C3D">
              <w:rPr>
                <w:rFonts w:ascii="Calibri" w:hAnsi="Calibri" w:cs="Calibri"/>
                <w:i/>
                <w:vertAlign w:val="subscript"/>
                <w:lang w:val="en-US"/>
              </w:rPr>
              <w:t>MSY</w:t>
            </w:r>
            <w:r w:rsidRPr="00784C3D">
              <w:rPr>
                <w:rFonts w:ascii="Calibri" w:hAnsi="Calibri" w:cs="Calibri"/>
                <w:i/>
                <w:lang w:val="en-US"/>
              </w:rPr>
              <w:t xml:space="preserve"> </w:t>
            </w:r>
            <w:r w:rsidRPr="00784C3D">
              <w:rPr>
                <w:rFonts w:ascii="Calibri" w:hAnsi="Calibri" w:cs="Calibri"/>
                <w:lang w:val="en-US" w:eastAsia="en-GB"/>
              </w:rPr>
              <w:t>trajectories</w:t>
            </w:r>
          </w:p>
          <w:p w14:paraId="46EE95DA" w14:textId="77777777" w:rsidR="00D95EAD" w:rsidRPr="00784C3D" w:rsidRDefault="00D95EAD" w:rsidP="00444A1C">
            <w:pPr>
              <w:autoSpaceDE w:val="0"/>
              <w:autoSpaceDN w:val="0"/>
              <w:adjustRightInd w:val="0"/>
              <w:spacing w:before="120"/>
              <w:ind w:left="360"/>
              <w:jc w:val="center"/>
              <w:rPr>
                <w:rFonts w:ascii="Calibri" w:hAnsi="Calibri" w:cs="Calibri"/>
                <w:lang w:val="en-US"/>
              </w:rPr>
            </w:pPr>
          </w:p>
          <w:p w14:paraId="49F7B851" w14:textId="77777777" w:rsidR="00D95EAD" w:rsidRPr="00784C3D" w:rsidRDefault="00D95EAD" w:rsidP="00444A1C">
            <w:pPr>
              <w:autoSpaceDE w:val="0"/>
              <w:autoSpaceDN w:val="0"/>
              <w:adjustRightInd w:val="0"/>
              <w:jc w:val="center"/>
              <w:rPr>
                <w:rFonts w:ascii="Calibri" w:hAnsi="Calibri" w:cs="Calibri"/>
                <w:lang w:val="en-US"/>
              </w:rPr>
            </w:pPr>
            <w:r>
              <w:rPr>
                <w:rFonts w:asciiTheme="minorHAnsi" w:eastAsiaTheme="minorEastAsia" w:hAnsiTheme="minorHAnsi" w:cstheme="minorHAnsi"/>
                <w:noProof/>
                <w:kern w:val="2"/>
                <w:sz w:val="24"/>
                <w:szCs w:val="24"/>
              </w:rPr>
              <w:drawing>
                <wp:inline distT="0" distB="0" distL="0" distR="0" wp14:anchorId="669A4552" wp14:editId="47624EA1">
                  <wp:extent cx="2688336" cy="2404872"/>
                  <wp:effectExtent l="0" t="0" r="0" b="0"/>
                  <wp:docPr id="1507657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1" cstate="print">
                            <a:extLst>
                              <a:ext uri="{28A0092B-C50C-407E-A947-70E740481C1C}">
                                <a14:useLocalDpi xmlns:a14="http://schemas.microsoft.com/office/drawing/2010/main" val="0"/>
                              </a:ext>
                            </a:extLst>
                          </a:blip>
                          <a:srcRect t="10548" r="3358" b="3180"/>
                          <a:stretch>
                            <a:fillRect/>
                          </a:stretch>
                        </pic:blipFill>
                        <pic:spPr bwMode="auto">
                          <a:xfrm>
                            <a:off x="0" y="0"/>
                            <a:ext cx="2688336" cy="2404872"/>
                          </a:xfrm>
                          <a:prstGeom prst="rect">
                            <a:avLst/>
                          </a:prstGeom>
                          <a:noFill/>
                          <a:ln>
                            <a:noFill/>
                          </a:ln>
                        </pic:spPr>
                      </pic:pic>
                    </a:graphicData>
                  </a:graphic>
                </wp:inline>
              </w:drawing>
            </w:r>
          </w:p>
        </w:tc>
      </w:tr>
    </w:tbl>
    <w:p w14:paraId="67AE7C43" w14:textId="77777777" w:rsidR="00D95EAD" w:rsidRDefault="00D95EAD" w:rsidP="00D95EAD">
      <w:pPr>
        <w:widowControl w:val="0"/>
        <w:shd w:val="clear" w:color="auto" w:fill="FFFFFF"/>
        <w:spacing w:before="120" w:after="240"/>
        <w:jc w:val="both"/>
        <w:rPr>
          <w:rFonts w:ascii="Calibri" w:eastAsia="MS Mincho" w:hAnsi="Calibri" w:cs="Calibri"/>
          <w:color w:val="000000"/>
          <w:sz w:val="18"/>
          <w:szCs w:val="18"/>
          <w:vertAlign w:val="subscript"/>
          <w:lang w:eastAsia="ja-JP"/>
        </w:rPr>
      </w:pPr>
      <w:r w:rsidRPr="00784C3D">
        <w:rPr>
          <w:rFonts w:ascii="Calibri" w:eastAsia="MS Mincho" w:hAnsi="Calibri" w:cs="Calibri"/>
          <w:b/>
          <w:color w:val="000000"/>
          <w:sz w:val="18"/>
          <w:szCs w:val="18"/>
          <w:lang w:eastAsia="ja-JP"/>
        </w:rPr>
        <w:t>Fig. 3.</w:t>
      </w:r>
      <w:r w:rsidRPr="00784C3D">
        <w:rPr>
          <w:rFonts w:ascii="Calibri" w:eastAsia="MS Mincho" w:hAnsi="Calibri" w:cs="Calibri"/>
          <w:color w:val="000000"/>
          <w:sz w:val="18"/>
          <w:szCs w:val="18"/>
          <w:lang w:eastAsia="ja-JP"/>
        </w:rPr>
        <w:t xml:space="preserve"> </w:t>
      </w:r>
      <w:bookmarkStart w:id="182" w:name="_Hlk494821310"/>
      <w:r w:rsidRPr="00784C3D">
        <w:rPr>
          <w:rFonts w:ascii="Calibri" w:eastAsia="MS Mincho" w:hAnsi="Calibri" w:cs="Calibri"/>
          <w:color w:val="000000"/>
          <w:sz w:val="18"/>
          <w:szCs w:val="18"/>
          <w:lang w:eastAsia="ja-JP"/>
        </w:rPr>
        <w:t xml:space="preserve">(a) Striped marlin: Stock status from the Indian Ocean assessment JABBA (Bayesian State Space Surplus Production Model) and SS3 models with the confidence intervals (left); (b) </w:t>
      </w:r>
      <w:r w:rsidRPr="00784C3D">
        <w:rPr>
          <w:rFonts w:ascii="Calibri" w:hAnsi="Calibri" w:cs="Calibri"/>
          <w:sz w:val="18"/>
          <w:szCs w:val="18"/>
        </w:rPr>
        <w:t>Trajectories (1950-</w:t>
      </w:r>
      <w:r>
        <w:rPr>
          <w:rFonts w:ascii="Calibri" w:hAnsi="Calibri" w:cs="Calibri"/>
          <w:sz w:val="18"/>
          <w:szCs w:val="18"/>
        </w:rPr>
        <w:t>2022</w:t>
      </w:r>
      <w:r w:rsidRPr="00784C3D">
        <w:rPr>
          <w:rFonts w:ascii="Calibri" w:hAnsi="Calibri" w:cs="Calibri"/>
          <w:sz w:val="18"/>
          <w:szCs w:val="18"/>
        </w:rPr>
        <w:t xml:space="preserve">) of </w:t>
      </w:r>
      <w:r w:rsidRPr="00784C3D">
        <w:rPr>
          <w:rFonts w:ascii="Calibri" w:hAnsi="Calibri" w:cs="Calibri"/>
          <w:i/>
          <w:sz w:val="18"/>
          <w:szCs w:val="18"/>
        </w:rPr>
        <w:t>B/B</w:t>
      </w:r>
      <w:r w:rsidRPr="00784C3D">
        <w:rPr>
          <w:rFonts w:ascii="Calibri" w:hAnsi="Calibri" w:cs="Calibri"/>
          <w:i/>
          <w:sz w:val="18"/>
          <w:szCs w:val="18"/>
          <w:vertAlign w:val="subscript"/>
        </w:rPr>
        <w:t>MSY</w:t>
      </w:r>
      <w:r w:rsidRPr="00784C3D">
        <w:rPr>
          <w:rFonts w:ascii="Calibri" w:hAnsi="Calibri" w:cs="Calibri"/>
          <w:i/>
          <w:sz w:val="18"/>
          <w:szCs w:val="18"/>
        </w:rPr>
        <w:t xml:space="preserve"> and F/F</w:t>
      </w:r>
      <w:r w:rsidRPr="00784C3D">
        <w:rPr>
          <w:rFonts w:ascii="Calibri" w:hAnsi="Calibri" w:cs="Calibri"/>
          <w:i/>
          <w:sz w:val="18"/>
          <w:szCs w:val="18"/>
          <w:vertAlign w:val="subscript"/>
        </w:rPr>
        <w:t>MSY</w:t>
      </w:r>
      <w:r w:rsidRPr="00784C3D">
        <w:rPr>
          <w:rFonts w:ascii="Calibri" w:hAnsi="Calibri" w:cs="Calibri"/>
          <w:i/>
          <w:sz w:val="18"/>
          <w:szCs w:val="18"/>
        </w:rPr>
        <w:t xml:space="preserve"> </w:t>
      </w:r>
      <w:r w:rsidRPr="00784C3D">
        <w:rPr>
          <w:rFonts w:ascii="Calibri" w:eastAsia="MS Mincho" w:hAnsi="Calibri" w:cs="Calibri"/>
          <w:color w:val="000000"/>
          <w:sz w:val="18"/>
          <w:szCs w:val="18"/>
          <w:lang w:eastAsia="ja-JP"/>
        </w:rPr>
        <w:t>from the JABBA model. NB: SS3 refers to SB/SB</w:t>
      </w:r>
      <w:r w:rsidRPr="00784C3D">
        <w:rPr>
          <w:rFonts w:ascii="Calibri" w:eastAsia="MS Mincho" w:hAnsi="Calibri" w:cs="Calibri"/>
          <w:color w:val="000000"/>
          <w:sz w:val="18"/>
          <w:szCs w:val="18"/>
          <w:vertAlign w:val="subscript"/>
          <w:lang w:eastAsia="ja-JP"/>
        </w:rPr>
        <w:t>MSY</w:t>
      </w:r>
      <w:r w:rsidRPr="00784C3D">
        <w:rPr>
          <w:rFonts w:ascii="Calibri" w:eastAsia="MS Mincho" w:hAnsi="Calibri" w:cs="Calibri"/>
          <w:color w:val="000000"/>
          <w:sz w:val="18"/>
          <w:szCs w:val="18"/>
          <w:lang w:eastAsia="ja-JP"/>
        </w:rPr>
        <w:t xml:space="preserve"> while the JABBA model’s output refers to B/B</w:t>
      </w:r>
      <w:r w:rsidRPr="00784C3D">
        <w:rPr>
          <w:rFonts w:ascii="Calibri" w:eastAsia="MS Mincho" w:hAnsi="Calibri" w:cs="Calibri"/>
          <w:color w:val="000000"/>
          <w:sz w:val="18"/>
          <w:szCs w:val="18"/>
          <w:vertAlign w:val="subscript"/>
          <w:lang w:eastAsia="ja-JP"/>
        </w:rPr>
        <w:t>MSY</w:t>
      </w:r>
    </w:p>
    <w:p w14:paraId="6D5B39F8" w14:textId="77777777" w:rsidR="003D2657" w:rsidRDefault="003D2657" w:rsidP="00D95EAD">
      <w:pPr>
        <w:keepNext/>
        <w:keepLines/>
        <w:spacing w:before="360" w:after="120"/>
        <w:jc w:val="both"/>
        <w:rPr>
          <w:rFonts w:ascii="Calibri" w:hAnsi="Calibri" w:cs="Calibri"/>
          <w:b/>
          <w:sz w:val="18"/>
          <w:szCs w:val="18"/>
        </w:rPr>
      </w:pPr>
    </w:p>
    <w:p w14:paraId="2BE1F341" w14:textId="329A87DF" w:rsidR="00D95EAD" w:rsidRPr="00784C3D" w:rsidRDefault="00D95EAD" w:rsidP="00D95EAD">
      <w:pPr>
        <w:keepNext/>
        <w:keepLines/>
        <w:spacing w:before="360" w:after="120"/>
        <w:jc w:val="both"/>
        <w:rPr>
          <w:rFonts w:ascii="Calibri" w:hAnsi="Calibri" w:cs="Calibri"/>
          <w:sz w:val="18"/>
          <w:szCs w:val="18"/>
          <w:lang w:eastAsia="en-GB"/>
        </w:rPr>
      </w:pPr>
      <w:r w:rsidRPr="00784C3D">
        <w:rPr>
          <w:rFonts w:ascii="Calibri" w:hAnsi="Calibri" w:cs="Calibri"/>
          <w:b/>
          <w:sz w:val="18"/>
          <w:szCs w:val="18"/>
        </w:rPr>
        <w:t xml:space="preserve">Table 2. </w:t>
      </w:r>
      <w:r w:rsidRPr="00784C3D">
        <w:rPr>
          <w:rFonts w:ascii="Calibri" w:hAnsi="Calibri" w:cs="Calibri"/>
          <w:sz w:val="18"/>
          <w:szCs w:val="18"/>
        </w:rPr>
        <w:t xml:space="preserve">Striped marlin: JABBA Indian Ocean assessment Kobe II Strategy Matrix. </w:t>
      </w:r>
      <w:r w:rsidRPr="00784C3D">
        <w:rPr>
          <w:rFonts w:ascii="Calibri" w:hAnsi="Calibri" w:cs="Calibri"/>
          <w:sz w:val="18"/>
          <w:szCs w:val="18"/>
          <w:lang w:eastAsia="en-GB"/>
        </w:rPr>
        <w:t>Probability (</w:t>
      </w:r>
      <w:r w:rsidRPr="00784C3D">
        <w:rPr>
          <w:rFonts w:ascii="Calibri" w:hAnsi="Calibri" w:cs="Calibri"/>
          <w:kern w:val="24"/>
          <w:sz w:val="18"/>
          <w:szCs w:val="18"/>
          <w:lang w:eastAsia="en-AU"/>
        </w:rPr>
        <w:t xml:space="preserve">percentage) </w:t>
      </w:r>
      <w:r w:rsidRPr="00784C3D">
        <w:rPr>
          <w:rFonts w:ascii="Calibri" w:hAnsi="Calibri" w:cs="Calibri"/>
          <w:sz w:val="18"/>
          <w:szCs w:val="18"/>
          <w:lang w:eastAsia="en-GB"/>
        </w:rPr>
        <w:t xml:space="preserve">of violating the MSY-based target reference points for nine constant catch projections relative to the </w:t>
      </w:r>
      <w:r>
        <w:rPr>
          <w:rFonts w:ascii="Calibri" w:hAnsi="Calibri" w:cs="Calibri"/>
          <w:sz w:val="18"/>
          <w:szCs w:val="18"/>
          <w:lang w:eastAsia="en-GB"/>
        </w:rPr>
        <w:t xml:space="preserve">average catch level of 2020–2022 (2891 t) </w:t>
      </w:r>
      <w:r w:rsidRPr="00784C3D">
        <w:rPr>
          <w:rFonts w:ascii="Calibri" w:hAnsi="Calibri" w:cs="Calibri"/>
          <w:sz w:val="18"/>
          <w:szCs w:val="18"/>
          <w:lang w:eastAsia="en-GB"/>
        </w:rPr>
        <w:t> </w:t>
      </w:r>
      <w:r>
        <w:rPr>
          <w:rFonts w:ascii="Calibri" w:hAnsi="Calibri" w:cs="Calibri"/>
          <w:sz w:val="18"/>
          <w:szCs w:val="18"/>
          <w:lang w:eastAsia="en-GB"/>
        </w:rPr>
        <w:t>(10</w:t>
      </w:r>
      <w:r w:rsidRPr="00784C3D">
        <w:rPr>
          <w:rFonts w:ascii="Calibri" w:hAnsi="Calibri" w:cs="Calibri"/>
          <w:sz w:val="18"/>
          <w:szCs w:val="18"/>
          <w:lang w:eastAsia="en-GB"/>
        </w:rPr>
        <w:t>0%, </w:t>
      </w:r>
      <w:r>
        <w:rPr>
          <w:rFonts w:ascii="Calibri" w:hAnsi="Calibri" w:cs="Calibri"/>
          <w:sz w:val="18"/>
          <w:szCs w:val="18"/>
          <w:lang w:eastAsia="en-GB"/>
        </w:rPr>
        <w:t>8</w:t>
      </w:r>
      <w:r w:rsidRPr="00784C3D">
        <w:rPr>
          <w:rFonts w:ascii="Calibri" w:hAnsi="Calibri" w:cs="Calibri"/>
          <w:sz w:val="18"/>
          <w:szCs w:val="18"/>
          <w:lang w:eastAsia="en-GB"/>
        </w:rPr>
        <w:t xml:space="preserve">0%, </w:t>
      </w:r>
      <w:r>
        <w:rPr>
          <w:rFonts w:ascii="Calibri" w:hAnsi="Calibri" w:cs="Calibri"/>
          <w:sz w:val="18"/>
          <w:szCs w:val="18"/>
          <w:lang w:eastAsia="en-GB"/>
        </w:rPr>
        <w:t>then 70%–10% in decrement of 10%</w:t>
      </w:r>
      <w:r w:rsidRPr="00784C3D">
        <w:rPr>
          <w:rFonts w:ascii="Calibri" w:hAnsi="Calibri" w:cs="Calibri"/>
          <w:sz w:val="18"/>
          <w:szCs w:val="18"/>
          <w:lang w:eastAsia="en-GB"/>
        </w:rPr>
        <w:t>) projected for 3 and 10 years.</w:t>
      </w:r>
    </w:p>
    <w:tbl>
      <w:tblPr>
        <w:tblW w:w="10742" w:type="dxa"/>
        <w:jc w:val="center"/>
        <w:tblCellMar>
          <w:left w:w="0" w:type="dxa"/>
          <w:right w:w="0" w:type="dxa"/>
        </w:tblCellMar>
        <w:tblLook w:val="0600" w:firstRow="0" w:lastRow="0" w:firstColumn="0" w:lastColumn="0" w:noHBand="1" w:noVBand="1"/>
      </w:tblPr>
      <w:tblGrid>
        <w:gridCol w:w="1730"/>
        <w:gridCol w:w="873"/>
        <w:gridCol w:w="1092"/>
        <w:gridCol w:w="796"/>
        <w:gridCol w:w="877"/>
        <w:gridCol w:w="1225"/>
        <w:gridCol w:w="877"/>
        <w:gridCol w:w="1177"/>
        <w:gridCol w:w="1218"/>
        <w:gridCol w:w="877"/>
      </w:tblGrid>
      <w:tr w:rsidR="00D95EAD" w:rsidRPr="00784C3D" w14:paraId="57EE6461" w14:textId="77777777" w:rsidTr="00444A1C">
        <w:trPr>
          <w:trHeight w:val="808"/>
          <w:jc w:val="center"/>
        </w:trPr>
        <w:tc>
          <w:tcPr>
            <w:tcW w:w="1730" w:type="dxa"/>
            <w:tcBorders>
              <w:top w:val="single" w:sz="4" w:space="0" w:color="auto"/>
              <w:bottom w:val="single" w:sz="4" w:space="0" w:color="auto"/>
            </w:tcBorders>
            <w:tcMar>
              <w:top w:w="15" w:type="dxa"/>
              <w:left w:w="108" w:type="dxa"/>
              <w:bottom w:w="0" w:type="dxa"/>
              <w:right w:w="108" w:type="dxa"/>
            </w:tcMar>
            <w:vAlign w:val="center"/>
          </w:tcPr>
          <w:p w14:paraId="163DC115" w14:textId="77777777" w:rsidR="00D95EAD" w:rsidRPr="00784C3D" w:rsidRDefault="00D95EAD" w:rsidP="00444A1C">
            <w:pPr>
              <w:jc w:val="center"/>
              <w:rPr>
                <w:rFonts w:ascii="Calibri" w:hAnsi="Calibri" w:cs="Calibri"/>
                <w:b/>
                <w:sz w:val="16"/>
                <w:szCs w:val="16"/>
                <w:lang w:eastAsia="en-AU"/>
              </w:rPr>
            </w:pPr>
            <w:r w:rsidRPr="00784C3D">
              <w:rPr>
                <w:rFonts w:ascii="Calibri" w:hAnsi="Calibri" w:cs="Calibri"/>
                <w:b/>
                <w:sz w:val="16"/>
                <w:szCs w:val="16"/>
                <w:lang w:eastAsia="en-AU"/>
              </w:rPr>
              <w:t>Reference point and projection timeframe</w:t>
            </w:r>
          </w:p>
        </w:tc>
        <w:tc>
          <w:tcPr>
            <w:tcW w:w="9012" w:type="dxa"/>
            <w:gridSpan w:val="9"/>
            <w:tcBorders>
              <w:top w:val="single" w:sz="4" w:space="0" w:color="auto"/>
              <w:bottom w:val="single" w:sz="4" w:space="0" w:color="auto"/>
            </w:tcBorders>
            <w:vAlign w:val="center"/>
          </w:tcPr>
          <w:p w14:paraId="5A250C82" w14:textId="77777777" w:rsidR="00D95EAD" w:rsidRPr="00784C3D" w:rsidRDefault="00D95EAD" w:rsidP="00444A1C">
            <w:pPr>
              <w:jc w:val="center"/>
              <w:rPr>
                <w:rFonts w:ascii="Calibri" w:hAnsi="Calibri" w:cs="Calibri"/>
                <w:b/>
                <w:sz w:val="18"/>
                <w:szCs w:val="18"/>
                <w:lang w:eastAsia="en-AU"/>
              </w:rPr>
            </w:pPr>
            <w:r w:rsidRPr="00784C3D">
              <w:rPr>
                <w:rFonts w:ascii="Calibri" w:hAnsi="Calibri" w:cs="Calibri"/>
                <w:b/>
                <w:sz w:val="18"/>
                <w:szCs w:val="18"/>
                <w:lang w:eastAsia="en-AU"/>
              </w:rPr>
              <w:t xml:space="preserve">Alternative catch projections (relative to the </w:t>
            </w:r>
            <w:r>
              <w:rPr>
                <w:rFonts w:ascii="Calibri" w:hAnsi="Calibri" w:cs="Calibri"/>
                <w:b/>
                <w:sz w:val="18"/>
                <w:szCs w:val="18"/>
                <w:lang w:eastAsia="en-AU"/>
              </w:rPr>
              <w:t>2020-2022</w:t>
            </w:r>
            <w:r w:rsidRPr="00784C3D">
              <w:rPr>
                <w:rFonts w:ascii="Calibri" w:hAnsi="Calibri" w:cs="Calibri"/>
                <w:b/>
                <w:sz w:val="18"/>
                <w:szCs w:val="18"/>
                <w:lang w:eastAsia="en-AU"/>
              </w:rPr>
              <w:t xml:space="preserve"> catch of 3,001 t) </w:t>
            </w:r>
          </w:p>
          <w:p w14:paraId="5A5DB4D0" w14:textId="77777777" w:rsidR="00D95EAD" w:rsidRPr="00784C3D" w:rsidRDefault="00D95EAD" w:rsidP="00444A1C">
            <w:pPr>
              <w:jc w:val="center"/>
              <w:rPr>
                <w:rFonts w:ascii="Calibri" w:hAnsi="Calibri" w:cs="Calibri"/>
                <w:b/>
                <w:sz w:val="18"/>
                <w:szCs w:val="18"/>
                <w:lang w:eastAsia="en-AU"/>
              </w:rPr>
            </w:pPr>
            <w:r w:rsidRPr="00784C3D">
              <w:rPr>
                <w:rFonts w:ascii="Calibri" w:hAnsi="Calibri" w:cs="Calibri"/>
                <w:b/>
                <w:sz w:val="18"/>
                <w:szCs w:val="18"/>
                <w:lang w:eastAsia="en-AU"/>
              </w:rPr>
              <w:t>and probability (%) of violating MSY-based target reference points (Btarg = B</w:t>
            </w:r>
            <w:r w:rsidRPr="00784C3D">
              <w:rPr>
                <w:rFonts w:ascii="Calibri" w:hAnsi="Calibri" w:cs="Calibri"/>
                <w:b/>
                <w:sz w:val="18"/>
                <w:szCs w:val="18"/>
                <w:vertAlign w:val="subscript"/>
                <w:lang w:eastAsia="en-AU"/>
              </w:rPr>
              <w:t>MSY</w:t>
            </w:r>
            <w:r w:rsidRPr="00784C3D">
              <w:rPr>
                <w:rFonts w:ascii="Calibri" w:hAnsi="Calibri" w:cs="Calibri"/>
                <w:b/>
                <w:sz w:val="18"/>
                <w:szCs w:val="18"/>
                <w:lang w:eastAsia="en-AU"/>
              </w:rPr>
              <w:t>; Ftarg = F</w:t>
            </w:r>
            <w:r w:rsidRPr="00784C3D">
              <w:rPr>
                <w:rFonts w:ascii="Calibri" w:hAnsi="Calibri" w:cs="Calibri"/>
                <w:b/>
                <w:sz w:val="18"/>
                <w:szCs w:val="18"/>
                <w:vertAlign w:val="subscript"/>
                <w:lang w:eastAsia="en-AU"/>
              </w:rPr>
              <w:t>MSY</w:t>
            </w:r>
            <w:r w:rsidRPr="00784C3D">
              <w:rPr>
                <w:rFonts w:ascii="Calibri" w:hAnsi="Calibri" w:cs="Calibri"/>
                <w:b/>
                <w:sz w:val="18"/>
                <w:szCs w:val="18"/>
                <w:lang w:eastAsia="en-AU"/>
              </w:rPr>
              <w:t>)</w:t>
            </w:r>
          </w:p>
        </w:tc>
      </w:tr>
      <w:tr w:rsidR="00D95EAD" w:rsidRPr="00784C3D" w14:paraId="31EE0872" w14:textId="77777777" w:rsidTr="00444A1C">
        <w:trPr>
          <w:trHeight w:val="690"/>
          <w:jc w:val="center"/>
        </w:trPr>
        <w:tc>
          <w:tcPr>
            <w:tcW w:w="1730" w:type="dxa"/>
            <w:tcBorders>
              <w:top w:val="single" w:sz="4" w:space="0" w:color="auto"/>
            </w:tcBorders>
            <w:tcMar>
              <w:top w:w="15" w:type="dxa"/>
              <w:left w:w="108" w:type="dxa"/>
              <w:bottom w:w="0" w:type="dxa"/>
              <w:right w:w="108" w:type="dxa"/>
            </w:tcMar>
            <w:vAlign w:val="center"/>
            <w:hideMark/>
          </w:tcPr>
          <w:p w14:paraId="6F8DCEC1" w14:textId="77777777" w:rsidR="00D95EAD" w:rsidRPr="00784C3D" w:rsidRDefault="00D95EAD" w:rsidP="00444A1C">
            <w:pPr>
              <w:jc w:val="center"/>
              <w:rPr>
                <w:rFonts w:ascii="Calibri" w:hAnsi="Calibri" w:cs="Calibri"/>
                <w:sz w:val="14"/>
                <w:szCs w:val="20"/>
                <w:lang w:eastAsia="en-AU"/>
              </w:rPr>
            </w:pPr>
          </w:p>
        </w:tc>
        <w:tc>
          <w:tcPr>
            <w:tcW w:w="873" w:type="dxa"/>
            <w:tcBorders>
              <w:top w:val="single" w:sz="4" w:space="0" w:color="auto"/>
              <w:bottom w:val="single" w:sz="4" w:space="0" w:color="auto"/>
            </w:tcBorders>
            <w:tcMar>
              <w:top w:w="15" w:type="dxa"/>
              <w:left w:w="108" w:type="dxa"/>
              <w:bottom w:w="0" w:type="dxa"/>
              <w:right w:w="108" w:type="dxa"/>
            </w:tcMar>
            <w:vAlign w:val="center"/>
            <w:hideMark/>
          </w:tcPr>
          <w:p w14:paraId="2E41A312" w14:textId="77777777" w:rsidR="00D95EAD" w:rsidRPr="00784C3D" w:rsidRDefault="00D95EAD" w:rsidP="00444A1C">
            <w:pPr>
              <w:jc w:val="center"/>
              <w:rPr>
                <w:rFonts w:ascii="Calibri" w:hAnsi="Calibri" w:cs="Calibri"/>
                <w:b/>
                <w:bCs/>
                <w:kern w:val="24"/>
                <w:sz w:val="16"/>
                <w:szCs w:val="20"/>
                <w:lang w:eastAsia="en-AU"/>
              </w:rPr>
            </w:pPr>
            <w:r>
              <w:rPr>
                <w:rFonts w:ascii="Calibri" w:hAnsi="Calibri" w:cs="Calibri"/>
                <w:b/>
                <w:bCs/>
                <w:kern w:val="24"/>
                <w:sz w:val="16"/>
                <w:szCs w:val="20"/>
                <w:lang w:eastAsia="en-AU"/>
              </w:rPr>
              <w:t>1</w:t>
            </w:r>
            <w:r w:rsidRPr="00784C3D">
              <w:rPr>
                <w:rFonts w:ascii="Calibri" w:hAnsi="Calibri" w:cs="Calibri"/>
                <w:b/>
                <w:bCs/>
                <w:kern w:val="24"/>
                <w:sz w:val="16"/>
                <w:szCs w:val="20"/>
                <w:lang w:eastAsia="en-AU"/>
              </w:rPr>
              <w:t>0%</w:t>
            </w:r>
          </w:p>
          <w:p w14:paraId="2719C52E" w14:textId="77777777" w:rsidR="00D95EAD" w:rsidRPr="00784C3D" w:rsidRDefault="00D95EAD" w:rsidP="00444A1C">
            <w:pPr>
              <w:jc w:val="center"/>
              <w:rPr>
                <w:rFonts w:ascii="Calibri" w:hAnsi="Calibri" w:cs="Calibri"/>
                <w:sz w:val="16"/>
                <w:szCs w:val="20"/>
                <w:lang w:eastAsia="en-AU"/>
              </w:rPr>
            </w:pPr>
            <w:r w:rsidRPr="00784C3D">
              <w:rPr>
                <w:rFonts w:ascii="Calibri" w:hAnsi="Calibri" w:cs="Calibri"/>
                <w:bCs/>
                <w:kern w:val="24"/>
                <w:sz w:val="16"/>
                <w:szCs w:val="20"/>
                <w:lang w:eastAsia="en-AU"/>
              </w:rPr>
              <w:t>(</w:t>
            </w:r>
            <w:r>
              <w:rPr>
                <w:rFonts w:ascii="Calibri" w:hAnsi="Calibri" w:cs="Calibri"/>
                <w:bCs/>
                <w:kern w:val="24"/>
                <w:sz w:val="16"/>
                <w:szCs w:val="20"/>
                <w:lang w:eastAsia="en-AU"/>
              </w:rPr>
              <w:t>289</w:t>
            </w:r>
            <w:r w:rsidRPr="00784C3D">
              <w:rPr>
                <w:rFonts w:ascii="Calibri" w:hAnsi="Calibri" w:cs="Calibri"/>
                <w:bCs/>
                <w:kern w:val="24"/>
                <w:sz w:val="16"/>
                <w:szCs w:val="20"/>
                <w:lang w:eastAsia="en-AU"/>
              </w:rPr>
              <w:t xml:space="preserve"> t)</w:t>
            </w:r>
          </w:p>
        </w:tc>
        <w:tc>
          <w:tcPr>
            <w:tcW w:w="1092" w:type="dxa"/>
            <w:tcBorders>
              <w:top w:val="single" w:sz="4" w:space="0" w:color="auto"/>
              <w:bottom w:val="single" w:sz="4" w:space="0" w:color="auto"/>
            </w:tcBorders>
            <w:tcMar>
              <w:top w:w="15" w:type="dxa"/>
              <w:left w:w="108" w:type="dxa"/>
              <w:bottom w:w="0" w:type="dxa"/>
              <w:right w:w="108" w:type="dxa"/>
            </w:tcMar>
            <w:vAlign w:val="center"/>
          </w:tcPr>
          <w:p w14:paraId="22AE2ECF" w14:textId="77777777" w:rsidR="00D95EAD" w:rsidRPr="00784C3D" w:rsidRDefault="00D95EAD" w:rsidP="00444A1C">
            <w:pPr>
              <w:jc w:val="center"/>
              <w:rPr>
                <w:rFonts w:ascii="Calibri" w:hAnsi="Calibri" w:cs="Calibri"/>
                <w:b/>
                <w:bCs/>
                <w:kern w:val="24"/>
                <w:sz w:val="16"/>
                <w:szCs w:val="20"/>
                <w:lang w:eastAsia="en-AU"/>
              </w:rPr>
            </w:pPr>
            <w:r>
              <w:rPr>
                <w:rFonts w:ascii="Calibri" w:hAnsi="Calibri" w:cs="Calibri"/>
                <w:b/>
                <w:bCs/>
                <w:kern w:val="24"/>
                <w:sz w:val="16"/>
                <w:szCs w:val="20"/>
                <w:lang w:eastAsia="en-AU"/>
              </w:rPr>
              <w:t>2</w:t>
            </w:r>
            <w:r w:rsidRPr="00784C3D">
              <w:rPr>
                <w:rFonts w:ascii="Calibri" w:hAnsi="Calibri" w:cs="Calibri"/>
                <w:b/>
                <w:bCs/>
                <w:kern w:val="24"/>
                <w:sz w:val="16"/>
                <w:szCs w:val="20"/>
                <w:lang w:eastAsia="en-AU"/>
              </w:rPr>
              <w:t>0%</w:t>
            </w:r>
          </w:p>
          <w:p w14:paraId="0F467E6A" w14:textId="77777777" w:rsidR="00D95EAD" w:rsidRPr="00784C3D" w:rsidRDefault="00D95EAD" w:rsidP="00444A1C">
            <w:pPr>
              <w:jc w:val="center"/>
              <w:rPr>
                <w:rFonts w:ascii="Calibri" w:hAnsi="Calibri" w:cs="Calibri"/>
                <w:sz w:val="16"/>
                <w:szCs w:val="20"/>
                <w:lang w:eastAsia="en-AU"/>
              </w:rPr>
            </w:pPr>
            <w:r w:rsidRPr="00784C3D">
              <w:rPr>
                <w:rFonts w:ascii="Calibri" w:hAnsi="Calibri" w:cs="Calibri"/>
                <w:bCs/>
                <w:kern w:val="24"/>
                <w:sz w:val="16"/>
                <w:szCs w:val="20"/>
                <w:lang w:eastAsia="en-AU"/>
              </w:rPr>
              <w:t>(</w:t>
            </w:r>
            <w:r>
              <w:rPr>
                <w:rFonts w:ascii="Calibri" w:hAnsi="Calibri" w:cs="Calibri"/>
                <w:bCs/>
                <w:kern w:val="24"/>
                <w:sz w:val="16"/>
                <w:szCs w:val="20"/>
                <w:lang w:eastAsia="en-AU"/>
              </w:rPr>
              <w:t>578</w:t>
            </w:r>
            <w:r w:rsidRPr="00784C3D">
              <w:rPr>
                <w:rFonts w:ascii="Calibri" w:hAnsi="Calibri" w:cs="Calibri"/>
                <w:bCs/>
                <w:kern w:val="24"/>
                <w:sz w:val="16"/>
                <w:szCs w:val="20"/>
                <w:lang w:eastAsia="en-AU"/>
              </w:rPr>
              <w:t xml:space="preserve"> t)</w:t>
            </w:r>
          </w:p>
        </w:tc>
        <w:tc>
          <w:tcPr>
            <w:tcW w:w="796" w:type="dxa"/>
            <w:tcBorders>
              <w:top w:val="single" w:sz="4" w:space="0" w:color="auto"/>
              <w:bottom w:val="single" w:sz="4" w:space="0" w:color="auto"/>
            </w:tcBorders>
            <w:vAlign w:val="center"/>
          </w:tcPr>
          <w:p w14:paraId="1E6C595D" w14:textId="77777777" w:rsidR="00D95EAD" w:rsidRPr="00784C3D" w:rsidRDefault="00D95EAD" w:rsidP="00444A1C">
            <w:pPr>
              <w:jc w:val="center"/>
              <w:rPr>
                <w:rFonts w:ascii="Calibri" w:hAnsi="Calibri" w:cs="Calibri"/>
                <w:b/>
                <w:bCs/>
                <w:kern w:val="24"/>
                <w:sz w:val="16"/>
                <w:szCs w:val="20"/>
                <w:lang w:eastAsia="en-AU"/>
              </w:rPr>
            </w:pPr>
            <w:r>
              <w:rPr>
                <w:rFonts w:ascii="Calibri" w:hAnsi="Calibri" w:cs="Calibri"/>
                <w:b/>
                <w:bCs/>
                <w:kern w:val="24"/>
                <w:sz w:val="16"/>
                <w:szCs w:val="20"/>
                <w:lang w:eastAsia="en-AU"/>
              </w:rPr>
              <w:t>3</w:t>
            </w:r>
            <w:r w:rsidRPr="00784C3D">
              <w:rPr>
                <w:rFonts w:ascii="Calibri" w:hAnsi="Calibri" w:cs="Calibri"/>
                <w:b/>
                <w:bCs/>
                <w:kern w:val="24"/>
                <w:sz w:val="16"/>
                <w:szCs w:val="20"/>
                <w:lang w:eastAsia="en-AU"/>
              </w:rPr>
              <w:t>0%</w:t>
            </w:r>
          </w:p>
          <w:p w14:paraId="3DAD08BF" w14:textId="77777777" w:rsidR="00D95EAD" w:rsidRPr="00784C3D" w:rsidRDefault="00D95EAD" w:rsidP="00444A1C">
            <w:pPr>
              <w:jc w:val="center"/>
              <w:rPr>
                <w:rFonts w:ascii="Calibri" w:hAnsi="Calibri" w:cs="Calibri"/>
                <w:bCs/>
                <w:kern w:val="24"/>
                <w:sz w:val="16"/>
                <w:szCs w:val="20"/>
                <w:lang w:eastAsia="en-AU"/>
              </w:rPr>
            </w:pPr>
            <w:r w:rsidRPr="00784C3D">
              <w:rPr>
                <w:rFonts w:ascii="Calibri" w:hAnsi="Calibri" w:cs="Calibri"/>
                <w:bCs/>
                <w:kern w:val="24"/>
                <w:sz w:val="16"/>
                <w:szCs w:val="20"/>
                <w:lang w:eastAsia="en-AU"/>
              </w:rPr>
              <w:t>(</w:t>
            </w:r>
            <w:r>
              <w:rPr>
                <w:rFonts w:ascii="Calibri" w:hAnsi="Calibri" w:cs="Calibri"/>
                <w:bCs/>
                <w:kern w:val="24"/>
                <w:sz w:val="16"/>
                <w:szCs w:val="20"/>
                <w:lang w:eastAsia="en-AU"/>
              </w:rPr>
              <w:t>867</w:t>
            </w:r>
            <w:r w:rsidRPr="00784C3D">
              <w:rPr>
                <w:rFonts w:ascii="Calibri" w:hAnsi="Calibri" w:cs="Calibri"/>
                <w:bCs/>
                <w:kern w:val="24"/>
                <w:sz w:val="16"/>
                <w:szCs w:val="20"/>
                <w:lang w:eastAsia="en-AU"/>
              </w:rPr>
              <w:t xml:space="preserve"> t)</w:t>
            </w:r>
          </w:p>
        </w:tc>
        <w:tc>
          <w:tcPr>
            <w:tcW w:w="877" w:type="dxa"/>
            <w:tcBorders>
              <w:top w:val="single" w:sz="4" w:space="0" w:color="auto"/>
              <w:bottom w:val="single" w:sz="4" w:space="0" w:color="auto"/>
            </w:tcBorders>
            <w:vAlign w:val="center"/>
          </w:tcPr>
          <w:p w14:paraId="32355790" w14:textId="77777777" w:rsidR="00D95EAD" w:rsidRPr="00784C3D" w:rsidRDefault="00D95EAD" w:rsidP="00444A1C">
            <w:pPr>
              <w:jc w:val="center"/>
              <w:rPr>
                <w:rFonts w:ascii="Calibri" w:hAnsi="Calibri" w:cs="Calibri"/>
                <w:b/>
                <w:bCs/>
                <w:kern w:val="24"/>
                <w:sz w:val="16"/>
                <w:szCs w:val="20"/>
                <w:lang w:eastAsia="en-AU"/>
              </w:rPr>
            </w:pPr>
            <w:r>
              <w:rPr>
                <w:rFonts w:ascii="Calibri" w:hAnsi="Calibri" w:cs="Calibri"/>
                <w:b/>
                <w:bCs/>
                <w:kern w:val="24"/>
                <w:sz w:val="16"/>
                <w:szCs w:val="20"/>
                <w:lang w:eastAsia="en-AU"/>
              </w:rPr>
              <w:t>40</w:t>
            </w:r>
            <w:r w:rsidRPr="00784C3D">
              <w:rPr>
                <w:rFonts w:ascii="Calibri" w:hAnsi="Calibri" w:cs="Calibri"/>
                <w:b/>
                <w:bCs/>
                <w:kern w:val="24"/>
                <w:sz w:val="16"/>
                <w:szCs w:val="20"/>
                <w:lang w:eastAsia="en-AU"/>
              </w:rPr>
              <w:t>%</w:t>
            </w:r>
          </w:p>
          <w:p w14:paraId="436CF06D" w14:textId="77777777" w:rsidR="00D95EAD" w:rsidRPr="00784C3D" w:rsidRDefault="00D95EAD" w:rsidP="00444A1C">
            <w:pPr>
              <w:jc w:val="center"/>
              <w:rPr>
                <w:rFonts w:ascii="Calibri" w:hAnsi="Calibri" w:cs="Calibri"/>
                <w:bCs/>
                <w:kern w:val="24"/>
                <w:sz w:val="16"/>
                <w:szCs w:val="20"/>
                <w:lang w:eastAsia="en-AU"/>
              </w:rPr>
            </w:pPr>
            <w:r w:rsidRPr="00784C3D">
              <w:rPr>
                <w:rFonts w:ascii="Calibri" w:hAnsi="Calibri" w:cs="Calibri"/>
                <w:bCs/>
                <w:kern w:val="24"/>
                <w:sz w:val="16"/>
                <w:szCs w:val="20"/>
                <w:lang w:eastAsia="en-AU"/>
              </w:rPr>
              <w:t>(</w:t>
            </w:r>
            <w:r>
              <w:rPr>
                <w:rFonts w:ascii="Calibri" w:hAnsi="Calibri" w:cs="Calibri"/>
                <w:bCs/>
                <w:kern w:val="24"/>
                <w:sz w:val="16"/>
                <w:szCs w:val="20"/>
                <w:lang w:eastAsia="en-AU"/>
              </w:rPr>
              <w:t>1157</w:t>
            </w:r>
            <w:r w:rsidRPr="00784C3D">
              <w:rPr>
                <w:rFonts w:ascii="Calibri" w:hAnsi="Calibri" w:cs="Calibri"/>
                <w:bCs/>
                <w:kern w:val="24"/>
                <w:sz w:val="16"/>
                <w:szCs w:val="20"/>
                <w:lang w:eastAsia="en-AU"/>
              </w:rPr>
              <w:t xml:space="preserve"> t)</w:t>
            </w:r>
          </w:p>
        </w:tc>
        <w:tc>
          <w:tcPr>
            <w:tcW w:w="1225" w:type="dxa"/>
            <w:tcBorders>
              <w:top w:val="single" w:sz="4" w:space="0" w:color="auto"/>
              <w:bottom w:val="single" w:sz="4" w:space="0" w:color="auto"/>
            </w:tcBorders>
            <w:tcMar>
              <w:top w:w="15" w:type="dxa"/>
              <w:left w:w="108" w:type="dxa"/>
              <w:bottom w:w="0" w:type="dxa"/>
              <w:right w:w="108" w:type="dxa"/>
            </w:tcMar>
            <w:vAlign w:val="center"/>
            <w:hideMark/>
          </w:tcPr>
          <w:p w14:paraId="45505984" w14:textId="77777777" w:rsidR="00D95EAD" w:rsidRPr="00784C3D" w:rsidRDefault="00D95EAD" w:rsidP="00444A1C">
            <w:pPr>
              <w:jc w:val="center"/>
              <w:rPr>
                <w:rFonts w:ascii="Calibri" w:hAnsi="Calibri" w:cs="Calibri"/>
                <w:b/>
                <w:bCs/>
                <w:kern w:val="24"/>
                <w:sz w:val="16"/>
                <w:szCs w:val="20"/>
                <w:lang w:eastAsia="en-AU"/>
              </w:rPr>
            </w:pPr>
            <w:r>
              <w:rPr>
                <w:rFonts w:ascii="Calibri" w:hAnsi="Calibri" w:cs="Calibri"/>
                <w:b/>
                <w:bCs/>
                <w:kern w:val="24"/>
                <w:sz w:val="16"/>
                <w:szCs w:val="20"/>
                <w:lang w:eastAsia="en-AU"/>
              </w:rPr>
              <w:t>50</w:t>
            </w:r>
            <w:r w:rsidRPr="00784C3D">
              <w:rPr>
                <w:rFonts w:ascii="Calibri" w:hAnsi="Calibri" w:cs="Calibri"/>
                <w:b/>
                <w:bCs/>
                <w:kern w:val="24"/>
                <w:sz w:val="16"/>
                <w:szCs w:val="20"/>
                <w:lang w:eastAsia="en-AU"/>
              </w:rPr>
              <w:t>%</w:t>
            </w:r>
          </w:p>
          <w:p w14:paraId="36870794" w14:textId="77777777" w:rsidR="00D95EAD" w:rsidRPr="00784C3D" w:rsidRDefault="00D95EAD" w:rsidP="00444A1C">
            <w:pPr>
              <w:jc w:val="center"/>
              <w:rPr>
                <w:rFonts w:ascii="Calibri" w:hAnsi="Calibri" w:cs="Calibri"/>
                <w:sz w:val="16"/>
                <w:szCs w:val="20"/>
                <w:lang w:eastAsia="en-AU"/>
              </w:rPr>
            </w:pPr>
            <w:r w:rsidRPr="00784C3D">
              <w:rPr>
                <w:rFonts w:ascii="Calibri" w:hAnsi="Calibri" w:cs="Calibri"/>
                <w:bCs/>
                <w:kern w:val="24"/>
                <w:sz w:val="16"/>
                <w:szCs w:val="20"/>
                <w:lang w:eastAsia="en-AU"/>
              </w:rPr>
              <w:t>(</w:t>
            </w:r>
            <w:r>
              <w:rPr>
                <w:rFonts w:ascii="Calibri" w:hAnsi="Calibri" w:cs="Calibri"/>
                <w:bCs/>
                <w:kern w:val="24"/>
                <w:sz w:val="16"/>
                <w:szCs w:val="20"/>
                <w:lang w:eastAsia="en-AU"/>
              </w:rPr>
              <w:t>1446</w:t>
            </w:r>
            <w:r w:rsidRPr="00784C3D">
              <w:rPr>
                <w:rFonts w:ascii="Calibri" w:hAnsi="Calibri" w:cs="Calibri"/>
                <w:bCs/>
                <w:kern w:val="24"/>
                <w:sz w:val="16"/>
                <w:szCs w:val="20"/>
                <w:lang w:eastAsia="en-AU"/>
              </w:rPr>
              <w:t xml:space="preserve"> t)</w:t>
            </w:r>
          </w:p>
        </w:tc>
        <w:tc>
          <w:tcPr>
            <w:tcW w:w="877" w:type="dxa"/>
            <w:tcBorders>
              <w:top w:val="single" w:sz="4" w:space="0" w:color="auto"/>
              <w:bottom w:val="single" w:sz="4" w:space="0" w:color="auto"/>
            </w:tcBorders>
            <w:vAlign w:val="center"/>
          </w:tcPr>
          <w:p w14:paraId="753A7E72" w14:textId="77777777" w:rsidR="00D95EAD" w:rsidRPr="00784C3D" w:rsidRDefault="00D95EAD" w:rsidP="00444A1C">
            <w:pPr>
              <w:jc w:val="center"/>
              <w:rPr>
                <w:rFonts w:ascii="Calibri" w:hAnsi="Calibri" w:cs="Calibri"/>
                <w:b/>
                <w:bCs/>
                <w:kern w:val="24"/>
                <w:sz w:val="16"/>
                <w:szCs w:val="20"/>
                <w:lang w:eastAsia="en-AU"/>
              </w:rPr>
            </w:pPr>
            <w:r>
              <w:rPr>
                <w:rFonts w:ascii="Calibri" w:hAnsi="Calibri" w:cs="Calibri"/>
                <w:b/>
                <w:bCs/>
                <w:kern w:val="24"/>
                <w:sz w:val="16"/>
                <w:szCs w:val="20"/>
                <w:lang w:eastAsia="en-AU"/>
              </w:rPr>
              <w:t>60</w:t>
            </w:r>
            <w:r w:rsidRPr="00784C3D">
              <w:rPr>
                <w:rFonts w:ascii="Calibri" w:hAnsi="Calibri" w:cs="Calibri"/>
                <w:b/>
                <w:bCs/>
                <w:kern w:val="24"/>
                <w:sz w:val="16"/>
                <w:szCs w:val="20"/>
                <w:lang w:eastAsia="en-AU"/>
              </w:rPr>
              <w:t>%</w:t>
            </w:r>
          </w:p>
          <w:p w14:paraId="6011D8C4" w14:textId="77777777" w:rsidR="00D95EAD" w:rsidRPr="00784C3D" w:rsidRDefault="00D95EAD" w:rsidP="00444A1C">
            <w:pPr>
              <w:jc w:val="center"/>
              <w:rPr>
                <w:rFonts w:ascii="Calibri" w:hAnsi="Calibri" w:cs="Calibri"/>
                <w:bCs/>
                <w:kern w:val="24"/>
                <w:sz w:val="16"/>
                <w:szCs w:val="20"/>
                <w:lang w:eastAsia="en-AU"/>
              </w:rPr>
            </w:pPr>
            <w:r w:rsidRPr="00784C3D">
              <w:rPr>
                <w:rFonts w:ascii="Calibri" w:hAnsi="Calibri" w:cs="Calibri"/>
                <w:bCs/>
                <w:kern w:val="24"/>
                <w:sz w:val="16"/>
                <w:szCs w:val="20"/>
                <w:lang w:eastAsia="en-AU"/>
              </w:rPr>
              <w:t>(</w:t>
            </w:r>
            <w:r>
              <w:rPr>
                <w:rFonts w:ascii="Calibri" w:hAnsi="Calibri" w:cs="Calibri"/>
                <w:bCs/>
                <w:kern w:val="24"/>
                <w:sz w:val="16"/>
                <w:szCs w:val="20"/>
                <w:lang w:eastAsia="en-AU"/>
              </w:rPr>
              <w:t>1735</w:t>
            </w:r>
            <w:r w:rsidRPr="00784C3D">
              <w:rPr>
                <w:rFonts w:ascii="Calibri" w:hAnsi="Calibri" w:cs="Calibri"/>
                <w:bCs/>
                <w:kern w:val="24"/>
                <w:sz w:val="16"/>
                <w:szCs w:val="20"/>
                <w:lang w:eastAsia="en-AU"/>
              </w:rPr>
              <w:t xml:space="preserve"> t)</w:t>
            </w:r>
          </w:p>
        </w:tc>
        <w:tc>
          <w:tcPr>
            <w:tcW w:w="1177" w:type="dxa"/>
            <w:tcBorders>
              <w:top w:val="single" w:sz="4" w:space="0" w:color="auto"/>
              <w:bottom w:val="single" w:sz="4" w:space="0" w:color="auto"/>
            </w:tcBorders>
            <w:tcMar>
              <w:top w:w="15" w:type="dxa"/>
              <w:left w:w="108" w:type="dxa"/>
              <w:bottom w:w="0" w:type="dxa"/>
              <w:right w:w="108" w:type="dxa"/>
            </w:tcMar>
            <w:vAlign w:val="center"/>
          </w:tcPr>
          <w:p w14:paraId="27B5D310" w14:textId="77777777" w:rsidR="00D95EAD" w:rsidRPr="00784C3D" w:rsidRDefault="00D95EAD" w:rsidP="00444A1C">
            <w:pPr>
              <w:jc w:val="center"/>
              <w:rPr>
                <w:rFonts w:ascii="Calibri" w:hAnsi="Calibri" w:cs="Calibri"/>
                <w:b/>
                <w:bCs/>
                <w:kern w:val="24"/>
                <w:sz w:val="16"/>
                <w:szCs w:val="20"/>
                <w:lang w:eastAsia="en-AU"/>
              </w:rPr>
            </w:pPr>
            <w:r>
              <w:rPr>
                <w:rFonts w:ascii="Calibri" w:hAnsi="Calibri" w:cs="Calibri"/>
                <w:b/>
                <w:bCs/>
                <w:kern w:val="24"/>
                <w:sz w:val="16"/>
                <w:szCs w:val="20"/>
                <w:lang w:eastAsia="en-AU"/>
              </w:rPr>
              <w:t>70</w:t>
            </w:r>
            <w:r w:rsidRPr="00784C3D">
              <w:rPr>
                <w:rFonts w:ascii="Calibri" w:hAnsi="Calibri" w:cs="Calibri"/>
                <w:b/>
                <w:bCs/>
                <w:kern w:val="24"/>
                <w:sz w:val="16"/>
                <w:szCs w:val="20"/>
                <w:lang w:eastAsia="en-AU"/>
              </w:rPr>
              <w:t>%</w:t>
            </w:r>
          </w:p>
          <w:p w14:paraId="056EC9F5" w14:textId="77777777" w:rsidR="00D95EAD" w:rsidRPr="00784C3D" w:rsidRDefault="00D95EAD" w:rsidP="00444A1C">
            <w:pPr>
              <w:jc w:val="center"/>
              <w:rPr>
                <w:rFonts w:ascii="Calibri" w:hAnsi="Calibri" w:cs="Calibri"/>
                <w:sz w:val="16"/>
                <w:szCs w:val="20"/>
                <w:lang w:eastAsia="en-AU"/>
              </w:rPr>
            </w:pPr>
            <w:r w:rsidRPr="00784C3D">
              <w:rPr>
                <w:rFonts w:ascii="Calibri" w:hAnsi="Calibri" w:cs="Calibri"/>
                <w:bCs/>
                <w:kern w:val="24"/>
                <w:sz w:val="16"/>
                <w:szCs w:val="20"/>
                <w:lang w:eastAsia="en-AU"/>
              </w:rPr>
              <w:t>(</w:t>
            </w:r>
            <w:r>
              <w:rPr>
                <w:rFonts w:ascii="Calibri" w:hAnsi="Calibri" w:cs="Calibri"/>
                <w:bCs/>
                <w:kern w:val="24"/>
                <w:sz w:val="16"/>
                <w:szCs w:val="20"/>
                <w:lang w:eastAsia="en-AU"/>
              </w:rPr>
              <w:t>2024</w:t>
            </w:r>
            <w:r w:rsidRPr="00784C3D">
              <w:rPr>
                <w:rFonts w:ascii="Calibri" w:hAnsi="Calibri" w:cs="Calibri"/>
                <w:bCs/>
                <w:kern w:val="24"/>
                <w:sz w:val="16"/>
                <w:szCs w:val="20"/>
                <w:lang w:eastAsia="en-AU"/>
              </w:rPr>
              <w:t xml:space="preserve"> t)</w:t>
            </w:r>
          </w:p>
        </w:tc>
        <w:tc>
          <w:tcPr>
            <w:tcW w:w="1218" w:type="dxa"/>
            <w:tcBorders>
              <w:top w:val="single" w:sz="4" w:space="0" w:color="auto"/>
              <w:bottom w:val="single" w:sz="4" w:space="0" w:color="auto"/>
            </w:tcBorders>
            <w:tcMar>
              <w:top w:w="15" w:type="dxa"/>
              <w:left w:w="108" w:type="dxa"/>
              <w:bottom w:w="0" w:type="dxa"/>
              <w:right w:w="108" w:type="dxa"/>
            </w:tcMar>
            <w:vAlign w:val="center"/>
          </w:tcPr>
          <w:p w14:paraId="064677E0" w14:textId="77777777" w:rsidR="00D95EAD" w:rsidRPr="00784C3D" w:rsidRDefault="00D95EAD" w:rsidP="00444A1C">
            <w:pPr>
              <w:jc w:val="center"/>
              <w:rPr>
                <w:rFonts w:ascii="Calibri" w:hAnsi="Calibri" w:cs="Calibri"/>
                <w:b/>
                <w:bCs/>
                <w:kern w:val="24"/>
                <w:sz w:val="16"/>
                <w:szCs w:val="20"/>
                <w:lang w:eastAsia="en-AU"/>
              </w:rPr>
            </w:pPr>
            <w:r>
              <w:rPr>
                <w:rFonts w:ascii="Calibri" w:hAnsi="Calibri" w:cs="Calibri"/>
                <w:b/>
                <w:bCs/>
                <w:kern w:val="24"/>
                <w:sz w:val="16"/>
                <w:szCs w:val="20"/>
                <w:lang w:eastAsia="en-AU"/>
              </w:rPr>
              <w:t>80</w:t>
            </w:r>
            <w:r w:rsidRPr="00784C3D">
              <w:rPr>
                <w:rFonts w:ascii="Calibri" w:hAnsi="Calibri" w:cs="Calibri"/>
                <w:b/>
                <w:bCs/>
                <w:kern w:val="24"/>
                <w:sz w:val="16"/>
                <w:szCs w:val="20"/>
                <w:lang w:eastAsia="en-AU"/>
              </w:rPr>
              <w:t>%</w:t>
            </w:r>
          </w:p>
          <w:p w14:paraId="587184DF" w14:textId="77777777" w:rsidR="00D95EAD" w:rsidRPr="00784C3D" w:rsidRDefault="00D95EAD" w:rsidP="00444A1C">
            <w:pPr>
              <w:jc w:val="center"/>
              <w:rPr>
                <w:rFonts w:ascii="Calibri" w:hAnsi="Calibri" w:cs="Calibri"/>
                <w:sz w:val="16"/>
                <w:szCs w:val="20"/>
                <w:lang w:eastAsia="en-AU"/>
              </w:rPr>
            </w:pPr>
            <w:r w:rsidRPr="00784C3D">
              <w:rPr>
                <w:rFonts w:ascii="Calibri" w:hAnsi="Calibri" w:cs="Calibri"/>
                <w:bCs/>
                <w:kern w:val="24"/>
                <w:sz w:val="16"/>
                <w:szCs w:val="20"/>
                <w:lang w:eastAsia="en-AU"/>
              </w:rPr>
              <w:t>(</w:t>
            </w:r>
            <w:r>
              <w:rPr>
                <w:rFonts w:ascii="Calibri" w:hAnsi="Calibri" w:cs="Calibri"/>
                <w:bCs/>
                <w:kern w:val="24"/>
                <w:sz w:val="16"/>
                <w:szCs w:val="20"/>
                <w:lang w:eastAsia="en-AU"/>
              </w:rPr>
              <w:t>2313</w:t>
            </w:r>
            <w:r w:rsidRPr="00784C3D">
              <w:rPr>
                <w:rFonts w:ascii="Calibri" w:hAnsi="Calibri" w:cs="Calibri"/>
                <w:bCs/>
                <w:kern w:val="24"/>
                <w:sz w:val="16"/>
                <w:szCs w:val="20"/>
                <w:lang w:eastAsia="en-AU"/>
              </w:rPr>
              <w:t xml:space="preserve"> t)</w:t>
            </w:r>
          </w:p>
        </w:tc>
        <w:tc>
          <w:tcPr>
            <w:tcW w:w="877" w:type="dxa"/>
            <w:tcBorders>
              <w:top w:val="single" w:sz="4" w:space="0" w:color="auto"/>
              <w:bottom w:val="single" w:sz="4" w:space="0" w:color="auto"/>
            </w:tcBorders>
            <w:vAlign w:val="center"/>
          </w:tcPr>
          <w:p w14:paraId="16033735" w14:textId="77777777" w:rsidR="00D95EAD" w:rsidRPr="00784C3D" w:rsidRDefault="00D95EAD" w:rsidP="00444A1C">
            <w:pPr>
              <w:jc w:val="center"/>
              <w:rPr>
                <w:rFonts w:ascii="Calibri" w:hAnsi="Calibri" w:cs="Calibri"/>
                <w:b/>
                <w:bCs/>
                <w:kern w:val="24"/>
                <w:sz w:val="16"/>
                <w:szCs w:val="20"/>
                <w:lang w:eastAsia="en-AU"/>
              </w:rPr>
            </w:pPr>
            <w:r>
              <w:rPr>
                <w:rFonts w:ascii="Calibri" w:hAnsi="Calibri" w:cs="Calibri"/>
                <w:b/>
                <w:bCs/>
                <w:kern w:val="24"/>
                <w:sz w:val="16"/>
                <w:szCs w:val="20"/>
                <w:lang w:eastAsia="en-AU"/>
              </w:rPr>
              <w:t>100</w:t>
            </w:r>
            <w:r w:rsidRPr="00784C3D">
              <w:rPr>
                <w:rFonts w:ascii="Calibri" w:hAnsi="Calibri" w:cs="Calibri"/>
                <w:b/>
                <w:bCs/>
                <w:kern w:val="24"/>
                <w:sz w:val="16"/>
                <w:szCs w:val="20"/>
                <w:lang w:eastAsia="en-AU"/>
              </w:rPr>
              <w:t>%</w:t>
            </w:r>
          </w:p>
          <w:p w14:paraId="146997B7" w14:textId="77777777" w:rsidR="00D95EAD" w:rsidRPr="00784C3D" w:rsidRDefault="00D95EAD" w:rsidP="00444A1C">
            <w:pPr>
              <w:jc w:val="center"/>
              <w:rPr>
                <w:rFonts w:ascii="Calibri" w:hAnsi="Calibri" w:cs="Calibri"/>
                <w:bCs/>
                <w:kern w:val="24"/>
                <w:sz w:val="16"/>
                <w:szCs w:val="20"/>
                <w:lang w:eastAsia="en-AU"/>
              </w:rPr>
            </w:pPr>
            <w:r w:rsidRPr="00784C3D">
              <w:rPr>
                <w:rFonts w:ascii="Calibri" w:hAnsi="Calibri" w:cs="Calibri"/>
                <w:bCs/>
                <w:kern w:val="24"/>
                <w:sz w:val="16"/>
                <w:szCs w:val="20"/>
                <w:lang w:eastAsia="en-AU"/>
              </w:rPr>
              <w:t>(</w:t>
            </w:r>
            <w:r>
              <w:rPr>
                <w:rFonts w:ascii="Calibri" w:hAnsi="Calibri" w:cs="Calibri"/>
                <w:bCs/>
                <w:kern w:val="24"/>
                <w:sz w:val="16"/>
                <w:szCs w:val="20"/>
                <w:lang w:eastAsia="en-AU"/>
              </w:rPr>
              <w:t>2891</w:t>
            </w:r>
            <w:r w:rsidRPr="00784C3D">
              <w:rPr>
                <w:rFonts w:ascii="Calibri" w:hAnsi="Calibri" w:cs="Calibri"/>
                <w:bCs/>
                <w:kern w:val="24"/>
                <w:sz w:val="16"/>
                <w:szCs w:val="20"/>
                <w:lang w:eastAsia="en-AU"/>
              </w:rPr>
              <w:t xml:space="preserve"> t)</w:t>
            </w:r>
          </w:p>
        </w:tc>
      </w:tr>
      <w:tr w:rsidR="00D95EAD" w:rsidRPr="00784C3D" w14:paraId="68F524DE" w14:textId="77777777" w:rsidTr="00444A1C">
        <w:trPr>
          <w:trHeight w:val="283"/>
          <w:jc w:val="center"/>
        </w:trPr>
        <w:tc>
          <w:tcPr>
            <w:tcW w:w="1730" w:type="dxa"/>
            <w:tcMar>
              <w:top w:w="15" w:type="dxa"/>
              <w:left w:w="108" w:type="dxa"/>
              <w:bottom w:w="0" w:type="dxa"/>
              <w:right w:w="108" w:type="dxa"/>
            </w:tcMar>
            <w:vAlign w:val="center"/>
            <w:hideMark/>
          </w:tcPr>
          <w:p w14:paraId="13C6C366" w14:textId="77777777" w:rsidR="00D95EAD" w:rsidRPr="00784C3D" w:rsidRDefault="00D95EAD" w:rsidP="00444A1C">
            <w:pPr>
              <w:jc w:val="center"/>
              <w:rPr>
                <w:rFonts w:ascii="Calibri" w:hAnsi="Calibri" w:cs="Calibri"/>
                <w:sz w:val="20"/>
                <w:szCs w:val="20"/>
                <w:lang w:eastAsia="en-AU"/>
              </w:rPr>
            </w:pPr>
            <w:r w:rsidRPr="00784C3D">
              <w:rPr>
                <w:rFonts w:ascii="Calibri" w:eastAsia="PMingLiU" w:hAnsi="Calibri" w:cs="Calibri"/>
                <w:bCs/>
                <w:sz w:val="20"/>
                <w:szCs w:val="20"/>
              </w:rPr>
              <w:t>B</w:t>
            </w:r>
            <w:r w:rsidRPr="00784C3D">
              <w:rPr>
                <w:rFonts w:ascii="Calibri" w:eastAsia="PMingLiU" w:hAnsi="Calibri" w:cs="Calibri"/>
                <w:bCs/>
                <w:sz w:val="20"/>
                <w:szCs w:val="20"/>
                <w:vertAlign w:val="subscript"/>
              </w:rPr>
              <w:t>202</w:t>
            </w:r>
            <w:r>
              <w:rPr>
                <w:rFonts w:ascii="Calibri" w:eastAsia="PMingLiU" w:hAnsi="Calibri" w:cs="Calibri"/>
                <w:bCs/>
                <w:sz w:val="20"/>
                <w:szCs w:val="20"/>
                <w:vertAlign w:val="subscript"/>
              </w:rPr>
              <w:t>5</w:t>
            </w:r>
            <w:r w:rsidRPr="00784C3D">
              <w:rPr>
                <w:rFonts w:ascii="Calibri" w:hAnsi="Calibri" w:cs="Calibri"/>
                <w:kern w:val="24"/>
                <w:sz w:val="20"/>
                <w:szCs w:val="20"/>
                <w:lang w:eastAsia="en-AU"/>
              </w:rPr>
              <w:t xml:space="preserve"> &lt; </w:t>
            </w:r>
            <w:r w:rsidRPr="00784C3D">
              <w:rPr>
                <w:rFonts w:ascii="Calibri" w:eastAsia="PMingLiU" w:hAnsi="Calibri" w:cs="Calibri"/>
                <w:bCs/>
                <w:sz w:val="20"/>
                <w:szCs w:val="20"/>
              </w:rPr>
              <w:t>B</w:t>
            </w:r>
            <w:r w:rsidRPr="00784C3D">
              <w:rPr>
                <w:rFonts w:ascii="Calibri" w:eastAsia="PMingLiU" w:hAnsi="Calibri" w:cs="Calibri"/>
                <w:bCs/>
                <w:sz w:val="20"/>
                <w:szCs w:val="20"/>
                <w:vertAlign w:val="subscript"/>
              </w:rPr>
              <w:t>MSY</w:t>
            </w:r>
          </w:p>
        </w:tc>
        <w:tc>
          <w:tcPr>
            <w:tcW w:w="873" w:type="dxa"/>
            <w:tcBorders>
              <w:top w:val="single" w:sz="4" w:space="0" w:color="auto"/>
            </w:tcBorders>
            <w:tcMar>
              <w:top w:w="15" w:type="dxa"/>
              <w:left w:w="15" w:type="dxa"/>
              <w:bottom w:w="0" w:type="dxa"/>
              <w:right w:w="15" w:type="dxa"/>
            </w:tcMar>
            <w:vAlign w:val="center"/>
          </w:tcPr>
          <w:p w14:paraId="4B42EC8E"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100</w:t>
            </w:r>
          </w:p>
        </w:tc>
        <w:tc>
          <w:tcPr>
            <w:tcW w:w="1092" w:type="dxa"/>
            <w:tcBorders>
              <w:top w:val="single" w:sz="4" w:space="0" w:color="auto"/>
            </w:tcBorders>
            <w:tcMar>
              <w:top w:w="15" w:type="dxa"/>
              <w:left w:w="15" w:type="dxa"/>
              <w:bottom w:w="0" w:type="dxa"/>
              <w:right w:w="15" w:type="dxa"/>
            </w:tcMar>
            <w:vAlign w:val="center"/>
          </w:tcPr>
          <w:p w14:paraId="6179EEE2"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100</w:t>
            </w:r>
          </w:p>
        </w:tc>
        <w:tc>
          <w:tcPr>
            <w:tcW w:w="796" w:type="dxa"/>
            <w:tcBorders>
              <w:top w:val="single" w:sz="4" w:space="0" w:color="auto"/>
            </w:tcBorders>
            <w:vAlign w:val="center"/>
          </w:tcPr>
          <w:p w14:paraId="1DCE3224"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100</w:t>
            </w:r>
          </w:p>
        </w:tc>
        <w:tc>
          <w:tcPr>
            <w:tcW w:w="877" w:type="dxa"/>
            <w:tcBorders>
              <w:top w:val="single" w:sz="4" w:space="0" w:color="auto"/>
            </w:tcBorders>
            <w:vAlign w:val="center"/>
          </w:tcPr>
          <w:p w14:paraId="0A6640FC"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100</w:t>
            </w:r>
          </w:p>
        </w:tc>
        <w:tc>
          <w:tcPr>
            <w:tcW w:w="1225" w:type="dxa"/>
            <w:tcBorders>
              <w:top w:val="single" w:sz="4" w:space="0" w:color="auto"/>
            </w:tcBorders>
            <w:tcMar>
              <w:top w:w="15" w:type="dxa"/>
              <w:left w:w="15" w:type="dxa"/>
              <w:bottom w:w="0" w:type="dxa"/>
              <w:right w:w="15" w:type="dxa"/>
            </w:tcMar>
            <w:vAlign w:val="center"/>
          </w:tcPr>
          <w:p w14:paraId="0FD7B5FA"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100</w:t>
            </w:r>
          </w:p>
        </w:tc>
        <w:tc>
          <w:tcPr>
            <w:tcW w:w="877" w:type="dxa"/>
            <w:tcBorders>
              <w:top w:val="single" w:sz="4" w:space="0" w:color="auto"/>
            </w:tcBorders>
            <w:vAlign w:val="center"/>
          </w:tcPr>
          <w:p w14:paraId="616CF4A9"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100</w:t>
            </w:r>
          </w:p>
        </w:tc>
        <w:tc>
          <w:tcPr>
            <w:tcW w:w="1177" w:type="dxa"/>
            <w:tcBorders>
              <w:top w:val="single" w:sz="4" w:space="0" w:color="auto"/>
            </w:tcBorders>
            <w:tcMar>
              <w:top w:w="15" w:type="dxa"/>
              <w:left w:w="15" w:type="dxa"/>
              <w:bottom w:w="0" w:type="dxa"/>
              <w:right w:w="15" w:type="dxa"/>
            </w:tcMar>
            <w:vAlign w:val="center"/>
          </w:tcPr>
          <w:p w14:paraId="2BF2E41E"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100</w:t>
            </w:r>
          </w:p>
        </w:tc>
        <w:tc>
          <w:tcPr>
            <w:tcW w:w="1218" w:type="dxa"/>
            <w:tcBorders>
              <w:top w:val="single" w:sz="4" w:space="0" w:color="auto"/>
            </w:tcBorders>
            <w:tcMar>
              <w:top w:w="15" w:type="dxa"/>
              <w:left w:w="15" w:type="dxa"/>
              <w:bottom w:w="0" w:type="dxa"/>
              <w:right w:w="15" w:type="dxa"/>
            </w:tcMar>
            <w:vAlign w:val="center"/>
          </w:tcPr>
          <w:p w14:paraId="20261BE2"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100</w:t>
            </w:r>
          </w:p>
        </w:tc>
        <w:tc>
          <w:tcPr>
            <w:tcW w:w="877" w:type="dxa"/>
            <w:tcBorders>
              <w:top w:val="single" w:sz="4" w:space="0" w:color="auto"/>
            </w:tcBorders>
            <w:vAlign w:val="center"/>
          </w:tcPr>
          <w:p w14:paraId="71085D6D"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100</w:t>
            </w:r>
          </w:p>
        </w:tc>
      </w:tr>
      <w:tr w:rsidR="00D95EAD" w:rsidRPr="00784C3D" w14:paraId="01AB42F9" w14:textId="77777777" w:rsidTr="00444A1C">
        <w:trPr>
          <w:trHeight w:val="283"/>
          <w:jc w:val="center"/>
        </w:trPr>
        <w:tc>
          <w:tcPr>
            <w:tcW w:w="1730" w:type="dxa"/>
            <w:tcMar>
              <w:top w:w="15" w:type="dxa"/>
              <w:left w:w="108" w:type="dxa"/>
              <w:bottom w:w="0" w:type="dxa"/>
              <w:right w:w="108" w:type="dxa"/>
            </w:tcMar>
            <w:vAlign w:val="center"/>
            <w:hideMark/>
          </w:tcPr>
          <w:p w14:paraId="1F9445AC" w14:textId="77777777" w:rsidR="00D95EAD" w:rsidRPr="00784C3D" w:rsidRDefault="00D95EAD" w:rsidP="00444A1C">
            <w:pPr>
              <w:jc w:val="center"/>
              <w:rPr>
                <w:rFonts w:ascii="Calibri" w:hAnsi="Calibri" w:cs="Calibri"/>
                <w:sz w:val="20"/>
                <w:szCs w:val="20"/>
                <w:lang w:eastAsia="en-AU"/>
              </w:rPr>
            </w:pPr>
            <w:r w:rsidRPr="00784C3D">
              <w:rPr>
                <w:rFonts w:ascii="Calibri" w:eastAsia="PMingLiU" w:hAnsi="Calibri" w:cs="Calibri"/>
                <w:bCs/>
                <w:sz w:val="20"/>
                <w:szCs w:val="20"/>
              </w:rPr>
              <w:t>F</w:t>
            </w:r>
            <w:r w:rsidRPr="00784C3D">
              <w:rPr>
                <w:rFonts w:ascii="Calibri" w:eastAsia="PMingLiU" w:hAnsi="Calibri" w:cs="Calibri"/>
                <w:bCs/>
                <w:sz w:val="20"/>
                <w:szCs w:val="20"/>
                <w:vertAlign w:val="subscript"/>
              </w:rPr>
              <w:t>202</w:t>
            </w:r>
            <w:r>
              <w:rPr>
                <w:rFonts w:ascii="Calibri" w:eastAsia="PMingLiU" w:hAnsi="Calibri" w:cs="Calibri"/>
                <w:bCs/>
                <w:sz w:val="20"/>
                <w:szCs w:val="20"/>
                <w:vertAlign w:val="subscript"/>
              </w:rPr>
              <w:t>5</w:t>
            </w:r>
            <w:r w:rsidRPr="00784C3D">
              <w:rPr>
                <w:rFonts w:ascii="Calibri" w:hAnsi="Calibri" w:cs="Calibri"/>
                <w:kern w:val="24"/>
                <w:sz w:val="20"/>
                <w:szCs w:val="20"/>
                <w:lang w:eastAsia="en-AU"/>
              </w:rPr>
              <w:t xml:space="preserve"> &gt; F</w:t>
            </w:r>
            <w:r w:rsidRPr="00784C3D">
              <w:rPr>
                <w:rFonts w:ascii="Calibri" w:eastAsia="PMingLiU" w:hAnsi="Calibri" w:cs="Calibri"/>
                <w:bCs/>
                <w:sz w:val="20"/>
                <w:szCs w:val="20"/>
                <w:vertAlign w:val="subscript"/>
              </w:rPr>
              <w:t>MSY</w:t>
            </w:r>
          </w:p>
        </w:tc>
        <w:tc>
          <w:tcPr>
            <w:tcW w:w="873" w:type="dxa"/>
            <w:tcMar>
              <w:top w:w="15" w:type="dxa"/>
              <w:left w:w="15" w:type="dxa"/>
              <w:bottom w:w="0" w:type="dxa"/>
              <w:right w:w="15" w:type="dxa"/>
            </w:tcMar>
            <w:vAlign w:val="center"/>
          </w:tcPr>
          <w:p w14:paraId="164195FA"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3</w:t>
            </w:r>
          </w:p>
        </w:tc>
        <w:tc>
          <w:tcPr>
            <w:tcW w:w="1092" w:type="dxa"/>
            <w:tcMar>
              <w:top w:w="15" w:type="dxa"/>
              <w:left w:w="15" w:type="dxa"/>
              <w:bottom w:w="0" w:type="dxa"/>
              <w:right w:w="15" w:type="dxa"/>
            </w:tcMar>
            <w:vAlign w:val="center"/>
          </w:tcPr>
          <w:p w14:paraId="6D235E07"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12</w:t>
            </w:r>
          </w:p>
        </w:tc>
        <w:tc>
          <w:tcPr>
            <w:tcW w:w="796" w:type="dxa"/>
            <w:vAlign w:val="center"/>
          </w:tcPr>
          <w:p w14:paraId="00DB13F4"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35</w:t>
            </w:r>
          </w:p>
        </w:tc>
        <w:tc>
          <w:tcPr>
            <w:tcW w:w="877" w:type="dxa"/>
            <w:vAlign w:val="center"/>
          </w:tcPr>
          <w:p w14:paraId="6F993035"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66</w:t>
            </w:r>
          </w:p>
        </w:tc>
        <w:tc>
          <w:tcPr>
            <w:tcW w:w="1225" w:type="dxa"/>
            <w:tcMar>
              <w:top w:w="15" w:type="dxa"/>
              <w:left w:w="15" w:type="dxa"/>
              <w:bottom w:w="0" w:type="dxa"/>
              <w:right w:w="15" w:type="dxa"/>
            </w:tcMar>
            <w:vAlign w:val="center"/>
          </w:tcPr>
          <w:p w14:paraId="62DB66C7"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88</w:t>
            </w:r>
          </w:p>
        </w:tc>
        <w:tc>
          <w:tcPr>
            <w:tcW w:w="877" w:type="dxa"/>
            <w:vAlign w:val="center"/>
          </w:tcPr>
          <w:p w14:paraId="1602B989"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97</w:t>
            </w:r>
          </w:p>
        </w:tc>
        <w:tc>
          <w:tcPr>
            <w:tcW w:w="1177" w:type="dxa"/>
            <w:tcMar>
              <w:top w:w="15" w:type="dxa"/>
              <w:left w:w="15" w:type="dxa"/>
              <w:bottom w:w="0" w:type="dxa"/>
              <w:right w:w="15" w:type="dxa"/>
            </w:tcMar>
            <w:vAlign w:val="center"/>
          </w:tcPr>
          <w:p w14:paraId="01947D10"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99</w:t>
            </w:r>
          </w:p>
        </w:tc>
        <w:tc>
          <w:tcPr>
            <w:tcW w:w="1218" w:type="dxa"/>
            <w:tcMar>
              <w:top w:w="15" w:type="dxa"/>
              <w:left w:w="15" w:type="dxa"/>
              <w:bottom w:w="0" w:type="dxa"/>
              <w:right w:w="15" w:type="dxa"/>
            </w:tcMar>
            <w:vAlign w:val="center"/>
          </w:tcPr>
          <w:p w14:paraId="388E7C72"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100</w:t>
            </w:r>
          </w:p>
        </w:tc>
        <w:tc>
          <w:tcPr>
            <w:tcW w:w="877" w:type="dxa"/>
            <w:vAlign w:val="center"/>
          </w:tcPr>
          <w:p w14:paraId="4D48ECA5"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100</w:t>
            </w:r>
          </w:p>
        </w:tc>
      </w:tr>
      <w:tr w:rsidR="00D95EAD" w:rsidRPr="00784C3D" w14:paraId="17A435F1" w14:textId="77777777" w:rsidTr="00444A1C">
        <w:trPr>
          <w:trHeight w:val="138"/>
          <w:jc w:val="center"/>
        </w:trPr>
        <w:tc>
          <w:tcPr>
            <w:tcW w:w="1730" w:type="dxa"/>
            <w:tcMar>
              <w:top w:w="15" w:type="dxa"/>
              <w:left w:w="108" w:type="dxa"/>
              <w:bottom w:w="0" w:type="dxa"/>
              <w:right w:w="108" w:type="dxa"/>
            </w:tcMar>
            <w:vAlign w:val="center"/>
            <w:hideMark/>
          </w:tcPr>
          <w:p w14:paraId="2234F372" w14:textId="77777777" w:rsidR="00D95EAD" w:rsidRPr="00784C3D" w:rsidRDefault="00D95EAD" w:rsidP="00444A1C">
            <w:pPr>
              <w:jc w:val="center"/>
              <w:rPr>
                <w:rFonts w:ascii="Calibri" w:hAnsi="Calibri" w:cs="Calibri"/>
                <w:sz w:val="20"/>
                <w:szCs w:val="20"/>
                <w:lang w:eastAsia="en-AU"/>
              </w:rPr>
            </w:pPr>
          </w:p>
        </w:tc>
        <w:tc>
          <w:tcPr>
            <w:tcW w:w="873" w:type="dxa"/>
            <w:tcMar>
              <w:top w:w="15" w:type="dxa"/>
              <w:left w:w="15" w:type="dxa"/>
              <w:bottom w:w="0" w:type="dxa"/>
              <w:right w:w="15" w:type="dxa"/>
            </w:tcMar>
            <w:vAlign w:val="center"/>
          </w:tcPr>
          <w:p w14:paraId="646C1D9A" w14:textId="77777777" w:rsidR="00D95EAD" w:rsidRPr="00A659E3" w:rsidRDefault="00D95EAD" w:rsidP="00444A1C">
            <w:pPr>
              <w:jc w:val="center"/>
              <w:rPr>
                <w:rFonts w:asciiTheme="minorHAnsi" w:hAnsiTheme="minorHAnsi" w:cstheme="minorHAnsi"/>
                <w:sz w:val="20"/>
                <w:szCs w:val="20"/>
                <w:lang w:eastAsia="en-AU"/>
              </w:rPr>
            </w:pPr>
          </w:p>
        </w:tc>
        <w:tc>
          <w:tcPr>
            <w:tcW w:w="1092" w:type="dxa"/>
            <w:tcMar>
              <w:top w:w="15" w:type="dxa"/>
              <w:left w:w="15" w:type="dxa"/>
              <w:bottom w:w="0" w:type="dxa"/>
              <w:right w:w="15" w:type="dxa"/>
            </w:tcMar>
            <w:vAlign w:val="center"/>
          </w:tcPr>
          <w:p w14:paraId="22B88ED7" w14:textId="77777777" w:rsidR="00D95EAD" w:rsidRPr="00A659E3" w:rsidRDefault="00D95EAD" w:rsidP="00444A1C">
            <w:pPr>
              <w:jc w:val="center"/>
              <w:rPr>
                <w:rFonts w:asciiTheme="minorHAnsi" w:hAnsiTheme="minorHAnsi" w:cstheme="minorHAnsi"/>
                <w:sz w:val="20"/>
                <w:szCs w:val="20"/>
                <w:lang w:eastAsia="en-AU"/>
              </w:rPr>
            </w:pPr>
          </w:p>
        </w:tc>
        <w:tc>
          <w:tcPr>
            <w:tcW w:w="796" w:type="dxa"/>
            <w:vAlign w:val="center"/>
          </w:tcPr>
          <w:p w14:paraId="1D4C852E" w14:textId="77777777" w:rsidR="00D95EAD" w:rsidRPr="00A659E3" w:rsidRDefault="00D95EAD" w:rsidP="00444A1C">
            <w:pPr>
              <w:jc w:val="center"/>
              <w:rPr>
                <w:rFonts w:asciiTheme="minorHAnsi" w:hAnsiTheme="minorHAnsi" w:cstheme="minorHAnsi"/>
                <w:sz w:val="20"/>
                <w:szCs w:val="20"/>
                <w:lang w:eastAsia="en-AU"/>
              </w:rPr>
            </w:pPr>
          </w:p>
        </w:tc>
        <w:tc>
          <w:tcPr>
            <w:tcW w:w="877" w:type="dxa"/>
            <w:vAlign w:val="center"/>
          </w:tcPr>
          <w:p w14:paraId="1B9DFC98" w14:textId="77777777" w:rsidR="00D95EAD" w:rsidRPr="00A659E3" w:rsidRDefault="00D95EAD" w:rsidP="00444A1C">
            <w:pPr>
              <w:jc w:val="center"/>
              <w:rPr>
                <w:rFonts w:asciiTheme="minorHAnsi" w:hAnsiTheme="minorHAnsi" w:cstheme="minorHAnsi"/>
                <w:sz w:val="20"/>
                <w:szCs w:val="20"/>
                <w:lang w:eastAsia="en-AU"/>
              </w:rPr>
            </w:pPr>
          </w:p>
        </w:tc>
        <w:tc>
          <w:tcPr>
            <w:tcW w:w="1225" w:type="dxa"/>
            <w:tcMar>
              <w:top w:w="15" w:type="dxa"/>
              <w:left w:w="15" w:type="dxa"/>
              <w:bottom w:w="0" w:type="dxa"/>
              <w:right w:w="15" w:type="dxa"/>
            </w:tcMar>
            <w:vAlign w:val="center"/>
          </w:tcPr>
          <w:p w14:paraId="16F0269E" w14:textId="77777777" w:rsidR="00D95EAD" w:rsidRPr="00A659E3" w:rsidRDefault="00D95EAD" w:rsidP="00444A1C">
            <w:pPr>
              <w:jc w:val="center"/>
              <w:rPr>
                <w:rFonts w:asciiTheme="minorHAnsi" w:hAnsiTheme="minorHAnsi" w:cstheme="minorHAnsi"/>
                <w:sz w:val="20"/>
                <w:szCs w:val="20"/>
                <w:lang w:eastAsia="en-AU"/>
              </w:rPr>
            </w:pPr>
          </w:p>
        </w:tc>
        <w:tc>
          <w:tcPr>
            <w:tcW w:w="877" w:type="dxa"/>
            <w:vAlign w:val="center"/>
          </w:tcPr>
          <w:p w14:paraId="1606353F" w14:textId="77777777" w:rsidR="00D95EAD" w:rsidRPr="00A659E3" w:rsidRDefault="00D95EAD" w:rsidP="00444A1C">
            <w:pPr>
              <w:jc w:val="center"/>
              <w:rPr>
                <w:rFonts w:asciiTheme="minorHAnsi" w:hAnsiTheme="minorHAnsi" w:cstheme="minorHAnsi"/>
                <w:sz w:val="20"/>
                <w:szCs w:val="20"/>
                <w:lang w:eastAsia="en-AU"/>
              </w:rPr>
            </w:pPr>
          </w:p>
        </w:tc>
        <w:tc>
          <w:tcPr>
            <w:tcW w:w="1177" w:type="dxa"/>
            <w:tcMar>
              <w:top w:w="15" w:type="dxa"/>
              <w:left w:w="15" w:type="dxa"/>
              <w:bottom w:w="0" w:type="dxa"/>
              <w:right w:w="15" w:type="dxa"/>
            </w:tcMar>
            <w:vAlign w:val="center"/>
          </w:tcPr>
          <w:p w14:paraId="07356E0F" w14:textId="77777777" w:rsidR="00D95EAD" w:rsidRPr="00A659E3" w:rsidRDefault="00D95EAD" w:rsidP="00444A1C">
            <w:pPr>
              <w:jc w:val="center"/>
              <w:rPr>
                <w:rFonts w:asciiTheme="minorHAnsi" w:hAnsiTheme="minorHAnsi" w:cstheme="minorHAnsi"/>
                <w:sz w:val="20"/>
                <w:szCs w:val="20"/>
                <w:lang w:eastAsia="en-AU"/>
              </w:rPr>
            </w:pPr>
          </w:p>
        </w:tc>
        <w:tc>
          <w:tcPr>
            <w:tcW w:w="1218" w:type="dxa"/>
            <w:tcMar>
              <w:top w:w="15" w:type="dxa"/>
              <w:left w:w="15" w:type="dxa"/>
              <w:bottom w:w="0" w:type="dxa"/>
              <w:right w:w="15" w:type="dxa"/>
            </w:tcMar>
            <w:vAlign w:val="center"/>
          </w:tcPr>
          <w:p w14:paraId="27CBE375" w14:textId="77777777" w:rsidR="00D95EAD" w:rsidRPr="00A659E3" w:rsidRDefault="00D95EAD" w:rsidP="00444A1C">
            <w:pPr>
              <w:jc w:val="center"/>
              <w:rPr>
                <w:rFonts w:asciiTheme="minorHAnsi" w:hAnsiTheme="minorHAnsi" w:cstheme="minorHAnsi"/>
                <w:sz w:val="20"/>
                <w:szCs w:val="20"/>
                <w:lang w:eastAsia="en-AU"/>
              </w:rPr>
            </w:pPr>
          </w:p>
        </w:tc>
        <w:tc>
          <w:tcPr>
            <w:tcW w:w="877" w:type="dxa"/>
            <w:vAlign w:val="center"/>
          </w:tcPr>
          <w:p w14:paraId="53E1C736" w14:textId="77777777" w:rsidR="00D95EAD" w:rsidRPr="00A659E3" w:rsidRDefault="00D95EAD" w:rsidP="00444A1C">
            <w:pPr>
              <w:jc w:val="center"/>
              <w:rPr>
                <w:rFonts w:asciiTheme="minorHAnsi" w:hAnsiTheme="minorHAnsi" w:cstheme="minorHAnsi"/>
                <w:sz w:val="20"/>
                <w:szCs w:val="20"/>
                <w:lang w:eastAsia="en-AU"/>
              </w:rPr>
            </w:pPr>
          </w:p>
        </w:tc>
      </w:tr>
      <w:tr w:rsidR="00D95EAD" w:rsidRPr="00784C3D" w14:paraId="50233CD5" w14:textId="77777777" w:rsidTr="00444A1C">
        <w:trPr>
          <w:trHeight w:val="283"/>
          <w:jc w:val="center"/>
        </w:trPr>
        <w:tc>
          <w:tcPr>
            <w:tcW w:w="1730" w:type="dxa"/>
            <w:tcMar>
              <w:top w:w="15" w:type="dxa"/>
              <w:left w:w="108" w:type="dxa"/>
              <w:bottom w:w="0" w:type="dxa"/>
              <w:right w:w="108" w:type="dxa"/>
            </w:tcMar>
            <w:vAlign w:val="center"/>
            <w:hideMark/>
          </w:tcPr>
          <w:p w14:paraId="11B6116E" w14:textId="77777777" w:rsidR="00D95EAD" w:rsidRPr="00784C3D" w:rsidRDefault="00D95EAD" w:rsidP="00444A1C">
            <w:pPr>
              <w:jc w:val="center"/>
              <w:rPr>
                <w:rFonts w:ascii="Calibri" w:hAnsi="Calibri" w:cs="Calibri"/>
                <w:sz w:val="20"/>
                <w:szCs w:val="20"/>
                <w:lang w:eastAsia="en-AU"/>
              </w:rPr>
            </w:pPr>
            <w:r w:rsidRPr="00784C3D">
              <w:rPr>
                <w:rFonts w:ascii="Calibri" w:eastAsia="PMingLiU" w:hAnsi="Calibri" w:cs="Calibri"/>
                <w:bCs/>
                <w:sz w:val="20"/>
                <w:szCs w:val="20"/>
              </w:rPr>
              <w:t>B</w:t>
            </w:r>
            <w:r w:rsidRPr="00784C3D">
              <w:rPr>
                <w:rFonts w:ascii="Calibri" w:eastAsia="PMingLiU" w:hAnsi="Calibri" w:cs="Calibri"/>
                <w:bCs/>
                <w:sz w:val="20"/>
                <w:szCs w:val="20"/>
                <w:vertAlign w:val="subscript"/>
              </w:rPr>
              <w:t>20</w:t>
            </w:r>
            <w:r>
              <w:rPr>
                <w:rFonts w:ascii="Calibri" w:eastAsia="PMingLiU" w:hAnsi="Calibri" w:cs="Calibri"/>
                <w:bCs/>
                <w:sz w:val="20"/>
                <w:szCs w:val="20"/>
                <w:vertAlign w:val="subscript"/>
              </w:rPr>
              <w:t>32</w:t>
            </w:r>
            <w:r w:rsidRPr="00784C3D">
              <w:rPr>
                <w:rFonts w:ascii="Calibri" w:hAnsi="Calibri" w:cs="Calibri"/>
                <w:kern w:val="24"/>
                <w:sz w:val="20"/>
                <w:szCs w:val="20"/>
                <w:lang w:eastAsia="en-AU"/>
              </w:rPr>
              <w:t xml:space="preserve"> &lt; </w:t>
            </w:r>
            <w:r w:rsidRPr="00784C3D">
              <w:rPr>
                <w:rFonts w:ascii="Calibri" w:eastAsia="PMingLiU" w:hAnsi="Calibri" w:cs="Calibri"/>
                <w:bCs/>
                <w:sz w:val="20"/>
                <w:szCs w:val="20"/>
              </w:rPr>
              <w:t>B</w:t>
            </w:r>
            <w:r w:rsidRPr="00784C3D">
              <w:rPr>
                <w:rFonts w:ascii="Calibri" w:eastAsia="PMingLiU" w:hAnsi="Calibri" w:cs="Calibri"/>
                <w:bCs/>
                <w:sz w:val="20"/>
                <w:szCs w:val="20"/>
                <w:vertAlign w:val="subscript"/>
              </w:rPr>
              <w:t>MSY</w:t>
            </w:r>
          </w:p>
        </w:tc>
        <w:tc>
          <w:tcPr>
            <w:tcW w:w="873" w:type="dxa"/>
            <w:tcMar>
              <w:top w:w="15" w:type="dxa"/>
              <w:left w:w="15" w:type="dxa"/>
              <w:bottom w:w="0" w:type="dxa"/>
              <w:right w:w="15" w:type="dxa"/>
            </w:tcMar>
            <w:vAlign w:val="center"/>
          </w:tcPr>
          <w:p w14:paraId="10C76941"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3</w:t>
            </w:r>
          </w:p>
        </w:tc>
        <w:tc>
          <w:tcPr>
            <w:tcW w:w="1092" w:type="dxa"/>
            <w:tcMar>
              <w:top w:w="15" w:type="dxa"/>
              <w:left w:w="15" w:type="dxa"/>
              <w:bottom w:w="0" w:type="dxa"/>
              <w:right w:w="15" w:type="dxa"/>
            </w:tcMar>
            <w:vAlign w:val="center"/>
          </w:tcPr>
          <w:p w14:paraId="4D1D903F"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9</w:t>
            </w:r>
          </w:p>
        </w:tc>
        <w:tc>
          <w:tcPr>
            <w:tcW w:w="796" w:type="dxa"/>
            <w:vAlign w:val="center"/>
          </w:tcPr>
          <w:p w14:paraId="02338C1E"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22</w:t>
            </w:r>
          </w:p>
        </w:tc>
        <w:tc>
          <w:tcPr>
            <w:tcW w:w="877" w:type="dxa"/>
            <w:vAlign w:val="center"/>
          </w:tcPr>
          <w:p w14:paraId="0E931C77"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42</w:t>
            </w:r>
          </w:p>
        </w:tc>
        <w:tc>
          <w:tcPr>
            <w:tcW w:w="1225" w:type="dxa"/>
            <w:tcMar>
              <w:top w:w="15" w:type="dxa"/>
              <w:left w:w="15" w:type="dxa"/>
              <w:bottom w:w="0" w:type="dxa"/>
              <w:right w:w="15" w:type="dxa"/>
            </w:tcMar>
            <w:vAlign w:val="center"/>
          </w:tcPr>
          <w:p w14:paraId="3CB7B23D"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64</w:t>
            </w:r>
          </w:p>
        </w:tc>
        <w:tc>
          <w:tcPr>
            <w:tcW w:w="877" w:type="dxa"/>
            <w:vAlign w:val="center"/>
          </w:tcPr>
          <w:p w14:paraId="6E3D90B2"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83</w:t>
            </w:r>
          </w:p>
        </w:tc>
        <w:tc>
          <w:tcPr>
            <w:tcW w:w="1177" w:type="dxa"/>
            <w:tcMar>
              <w:top w:w="15" w:type="dxa"/>
              <w:left w:w="15" w:type="dxa"/>
              <w:bottom w:w="0" w:type="dxa"/>
              <w:right w:w="15" w:type="dxa"/>
            </w:tcMar>
            <w:vAlign w:val="center"/>
          </w:tcPr>
          <w:p w14:paraId="4AE4E1E4"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93</w:t>
            </w:r>
          </w:p>
        </w:tc>
        <w:tc>
          <w:tcPr>
            <w:tcW w:w="1218" w:type="dxa"/>
            <w:tcMar>
              <w:top w:w="15" w:type="dxa"/>
              <w:left w:w="15" w:type="dxa"/>
              <w:bottom w:w="0" w:type="dxa"/>
              <w:right w:w="15" w:type="dxa"/>
            </w:tcMar>
            <w:vAlign w:val="center"/>
          </w:tcPr>
          <w:p w14:paraId="49BAD0F4"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98</w:t>
            </w:r>
          </w:p>
        </w:tc>
        <w:tc>
          <w:tcPr>
            <w:tcW w:w="877" w:type="dxa"/>
            <w:vAlign w:val="center"/>
          </w:tcPr>
          <w:p w14:paraId="1EEEF46A"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100</w:t>
            </w:r>
          </w:p>
        </w:tc>
      </w:tr>
      <w:tr w:rsidR="00D95EAD" w:rsidRPr="00784C3D" w14:paraId="18B8A0A1" w14:textId="77777777" w:rsidTr="00444A1C">
        <w:trPr>
          <w:trHeight w:val="283"/>
          <w:jc w:val="center"/>
        </w:trPr>
        <w:tc>
          <w:tcPr>
            <w:tcW w:w="1730" w:type="dxa"/>
            <w:tcBorders>
              <w:bottom w:val="single" w:sz="4" w:space="0" w:color="auto"/>
            </w:tcBorders>
            <w:tcMar>
              <w:top w:w="15" w:type="dxa"/>
              <w:left w:w="108" w:type="dxa"/>
              <w:bottom w:w="0" w:type="dxa"/>
              <w:right w:w="108" w:type="dxa"/>
            </w:tcMar>
            <w:vAlign w:val="center"/>
            <w:hideMark/>
          </w:tcPr>
          <w:p w14:paraId="72E1854D" w14:textId="77777777" w:rsidR="00D95EAD" w:rsidRPr="00784C3D" w:rsidRDefault="00D95EAD" w:rsidP="00444A1C">
            <w:pPr>
              <w:jc w:val="center"/>
              <w:rPr>
                <w:rFonts w:ascii="Calibri" w:hAnsi="Calibri" w:cs="Calibri"/>
                <w:sz w:val="20"/>
                <w:szCs w:val="20"/>
                <w:lang w:eastAsia="en-AU"/>
              </w:rPr>
            </w:pPr>
            <w:r w:rsidRPr="00784C3D">
              <w:rPr>
                <w:rFonts w:ascii="Calibri" w:eastAsia="PMingLiU" w:hAnsi="Calibri" w:cs="Calibri"/>
                <w:bCs/>
                <w:sz w:val="20"/>
                <w:szCs w:val="20"/>
              </w:rPr>
              <w:t>F</w:t>
            </w:r>
            <w:r w:rsidRPr="00784C3D">
              <w:rPr>
                <w:rFonts w:ascii="Calibri" w:eastAsia="PMingLiU" w:hAnsi="Calibri" w:cs="Calibri"/>
                <w:bCs/>
                <w:sz w:val="20"/>
                <w:szCs w:val="20"/>
                <w:vertAlign w:val="subscript"/>
              </w:rPr>
              <w:t>20</w:t>
            </w:r>
            <w:r>
              <w:rPr>
                <w:rFonts w:ascii="Calibri" w:eastAsia="PMingLiU" w:hAnsi="Calibri" w:cs="Calibri"/>
                <w:bCs/>
                <w:sz w:val="20"/>
                <w:szCs w:val="20"/>
                <w:vertAlign w:val="subscript"/>
              </w:rPr>
              <w:t>32</w:t>
            </w:r>
            <w:r w:rsidRPr="00784C3D">
              <w:rPr>
                <w:rFonts w:ascii="Calibri" w:hAnsi="Calibri" w:cs="Calibri"/>
                <w:kern w:val="24"/>
                <w:sz w:val="20"/>
                <w:szCs w:val="20"/>
                <w:lang w:eastAsia="en-AU"/>
              </w:rPr>
              <w:t xml:space="preserve"> &gt; F</w:t>
            </w:r>
            <w:r w:rsidRPr="00784C3D">
              <w:rPr>
                <w:rFonts w:ascii="Calibri" w:eastAsia="PMingLiU" w:hAnsi="Calibri" w:cs="Calibri"/>
                <w:bCs/>
                <w:sz w:val="20"/>
                <w:szCs w:val="20"/>
                <w:vertAlign w:val="subscript"/>
              </w:rPr>
              <w:t>MSY</w:t>
            </w:r>
          </w:p>
        </w:tc>
        <w:tc>
          <w:tcPr>
            <w:tcW w:w="873" w:type="dxa"/>
            <w:tcBorders>
              <w:bottom w:val="single" w:sz="4" w:space="0" w:color="auto"/>
            </w:tcBorders>
            <w:tcMar>
              <w:top w:w="15" w:type="dxa"/>
              <w:left w:w="15" w:type="dxa"/>
              <w:bottom w:w="0" w:type="dxa"/>
              <w:right w:w="15" w:type="dxa"/>
            </w:tcMar>
            <w:vAlign w:val="center"/>
          </w:tcPr>
          <w:p w14:paraId="50C3D794"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0</w:t>
            </w:r>
          </w:p>
        </w:tc>
        <w:tc>
          <w:tcPr>
            <w:tcW w:w="1092" w:type="dxa"/>
            <w:tcBorders>
              <w:bottom w:val="single" w:sz="4" w:space="0" w:color="auto"/>
            </w:tcBorders>
            <w:tcMar>
              <w:top w:w="15" w:type="dxa"/>
              <w:left w:w="15" w:type="dxa"/>
              <w:bottom w:w="0" w:type="dxa"/>
              <w:right w:w="15" w:type="dxa"/>
            </w:tcMar>
            <w:vAlign w:val="center"/>
          </w:tcPr>
          <w:p w14:paraId="0432254E"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4</w:t>
            </w:r>
          </w:p>
        </w:tc>
        <w:tc>
          <w:tcPr>
            <w:tcW w:w="796" w:type="dxa"/>
            <w:tcBorders>
              <w:bottom w:val="single" w:sz="4" w:space="0" w:color="auto"/>
            </w:tcBorders>
            <w:vAlign w:val="center"/>
          </w:tcPr>
          <w:p w14:paraId="12CDE154"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8</w:t>
            </w:r>
          </w:p>
        </w:tc>
        <w:tc>
          <w:tcPr>
            <w:tcW w:w="877" w:type="dxa"/>
            <w:tcBorders>
              <w:bottom w:val="single" w:sz="4" w:space="0" w:color="auto"/>
            </w:tcBorders>
            <w:vAlign w:val="center"/>
          </w:tcPr>
          <w:p w14:paraId="7F4A0BA2"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18</w:t>
            </w:r>
          </w:p>
        </w:tc>
        <w:tc>
          <w:tcPr>
            <w:tcW w:w="1225" w:type="dxa"/>
            <w:tcBorders>
              <w:bottom w:val="single" w:sz="4" w:space="0" w:color="auto"/>
            </w:tcBorders>
            <w:tcMar>
              <w:top w:w="15" w:type="dxa"/>
              <w:left w:w="15" w:type="dxa"/>
              <w:bottom w:w="0" w:type="dxa"/>
              <w:right w:w="15" w:type="dxa"/>
            </w:tcMar>
            <w:vAlign w:val="center"/>
          </w:tcPr>
          <w:p w14:paraId="56AD47ED"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35</w:t>
            </w:r>
          </w:p>
        </w:tc>
        <w:tc>
          <w:tcPr>
            <w:tcW w:w="877" w:type="dxa"/>
            <w:tcBorders>
              <w:bottom w:val="single" w:sz="4" w:space="0" w:color="auto"/>
            </w:tcBorders>
            <w:vAlign w:val="center"/>
          </w:tcPr>
          <w:p w14:paraId="50AD3586" w14:textId="77777777" w:rsidR="00D95EAD" w:rsidRPr="00A659E3" w:rsidRDefault="00D95EAD" w:rsidP="00444A1C">
            <w:pPr>
              <w:jc w:val="center"/>
              <w:textAlignment w:val="bottom"/>
              <w:rPr>
                <w:rFonts w:asciiTheme="minorHAnsi" w:hAnsiTheme="minorHAnsi" w:cstheme="minorHAnsi"/>
                <w:sz w:val="20"/>
                <w:szCs w:val="20"/>
                <w:lang w:eastAsia="ja-JP"/>
              </w:rPr>
            </w:pPr>
            <w:r w:rsidRPr="00A659E3">
              <w:rPr>
                <w:rFonts w:asciiTheme="minorHAnsi" w:hAnsiTheme="minorHAnsi" w:cstheme="minorHAnsi"/>
                <w:color w:val="000000"/>
                <w:sz w:val="20"/>
                <w:szCs w:val="20"/>
              </w:rPr>
              <w:t>57</w:t>
            </w:r>
          </w:p>
        </w:tc>
        <w:tc>
          <w:tcPr>
            <w:tcW w:w="1177" w:type="dxa"/>
            <w:tcBorders>
              <w:bottom w:val="single" w:sz="4" w:space="0" w:color="auto"/>
            </w:tcBorders>
            <w:tcMar>
              <w:top w:w="15" w:type="dxa"/>
              <w:left w:w="15" w:type="dxa"/>
              <w:bottom w:w="0" w:type="dxa"/>
              <w:right w:w="15" w:type="dxa"/>
            </w:tcMar>
            <w:vAlign w:val="center"/>
          </w:tcPr>
          <w:p w14:paraId="1FEB3B23"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78</w:t>
            </w:r>
          </w:p>
        </w:tc>
        <w:tc>
          <w:tcPr>
            <w:tcW w:w="1218" w:type="dxa"/>
            <w:tcBorders>
              <w:bottom w:val="single" w:sz="4" w:space="0" w:color="auto"/>
            </w:tcBorders>
            <w:tcMar>
              <w:top w:w="15" w:type="dxa"/>
              <w:left w:w="15" w:type="dxa"/>
              <w:bottom w:w="0" w:type="dxa"/>
              <w:right w:w="15" w:type="dxa"/>
            </w:tcMar>
            <w:vAlign w:val="center"/>
          </w:tcPr>
          <w:p w14:paraId="1E485EF2"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91</w:t>
            </w:r>
          </w:p>
        </w:tc>
        <w:tc>
          <w:tcPr>
            <w:tcW w:w="877" w:type="dxa"/>
            <w:tcBorders>
              <w:bottom w:val="single" w:sz="4" w:space="0" w:color="auto"/>
            </w:tcBorders>
            <w:vAlign w:val="center"/>
          </w:tcPr>
          <w:p w14:paraId="596F2A5A" w14:textId="77777777" w:rsidR="00D95EAD" w:rsidRPr="00A659E3" w:rsidRDefault="00D95EAD" w:rsidP="00444A1C">
            <w:pPr>
              <w:jc w:val="center"/>
              <w:textAlignment w:val="bottom"/>
              <w:rPr>
                <w:rFonts w:asciiTheme="minorHAnsi" w:hAnsiTheme="minorHAnsi" w:cstheme="minorHAnsi"/>
                <w:sz w:val="20"/>
                <w:szCs w:val="20"/>
                <w:lang w:eastAsia="en-AU"/>
              </w:rPr>
            </w:pPr>
            <w:r w:rsidRPr="00A659E3">
              <w:rPr>
                <w:rFonts w:asciiTheme="minorHAnsi" w:hAnsiTheme="minorHAnsi" w:cstheme="minorHAnsi"/>
                <w:color w:val="000000"/>
                <w:sz w:val="20"/>
                <w:szCs w:val="20"/>
              </w:rPr>
              <w:t>99</w:t>
            </w:r>
          </w:p>
        </w:tc>
      </w:tr>
    </w:tbl>
    <w:p w14:paraId="7DF70379" w14:textId="77777777" w:rsidR="00D95EAD" w:rsidRPr="00784C3D" w:rsidRDefault="00D95EAD" w:rsidP="00D95EAD">
      <w:pPr>
        <w:rPr>
          <w:rFonts w:ascii="Calibri" w:hAnsi="Calibri" w:cs="Calibri"/>
          <w:i/>
          <w:iCs/>
          <w:sz w:val="18"/>
          <w:szCs w:val="18"/>
        </w:rPr>
      </w:pPr>
    </w:p>
    <w:p w14:paraId="084D21A3" w14:textId="77777777" w:rsidR="00D95EAD" w:rsidRDefault="00D95EAD" w:rsidP="00D95EAD">
      <w:pPr>
        <w:ind w:right="90"/>
        <w:rPr>
          <w:rFonts w:ascii="Calibri" w:hAnsi="Calibri" w:cs="Calibri"/>
          <w:b/>
          <w:sz w:val="18"/>
          <w:szCs w:val="18"/>
        </w:rPr>
      </w:pPr>
    </w:p>
    <w:p w14:paraId="04E96DFA" w14:textId="77777777" w:rsidR="00D95EAD" w:rsidRDefault="00D95EAD" w:rsidP="00D95EAD">
      <w:pPr>
        <w:keepNext/>
        <w:ind w:right="91"/>
        <w:rPr>
          <w:rFonts w:asciiTheme="minorHAnsi" w:hAnsiTheme="minorHAnsi" w:cstheme="minorHAnsi"/>
          <w:sz w:val="20"/>
          <w:szCs w:val="20"/>
          <w:lang w:eastAsia="en-GB"/>
        </w:rPr>
      </w:pPr>
      <w:r w:rsidRPr="00E33405">
        <w:rPr>
          <w:rFonts w:asciiTheme="minorHAnsi" w:hAnsiTheme="minorHAnsi" w:cstheme="minorHAnsi"/>
          <w:b/>
          <w:sz w:val="18"/>
          <w:szCs w:val="18"/>
        </w:rPr>
        <w:t>Table 3.</w:t>
      </w:r>
      <w:r w:rsidRPr="00E33405">
        <w:rPr>
          <w:rFonts w:asciiTheme="minorHAnsi" w:hAnsiTheme="minorHAnsi" w:cstheme="minorHAnsi"/>
          <w:sz w:val="20"/>
          <w:szCs w:val="20"/>
        </w:rPr>
        <w:t xml:space="preserve"> Striped marlin: </w:t>
      </w:r>
      <w:r w:rsidRPr="00E33405">
        <w:rPr>
          <w:rFonts w:asciiTheme="minorHAnsi" w:hAnsiTheme="minorHAnsi" w:cstheme="minorHAnsi"/>
          <w:sz w:val="20"/>
          <w:szCs w:val="20"/>
          <w:lang w:eastAsia="en-GB"/>
        </w:rPr>
        <w:t>Probability (</w:t>
      </w:r>
      <w:r w:rsidRPr="00E33405">
        <w:rPr>
          <w:rFonts w:asciiTheme="minorHAnsi" w:hAnsiTheme="minorHAnsi" w:cstheme="minorHAnsi"/>
          <w:kern w:val="24"/>
          <w:sz w:val="20"/>
          <w:szCs w:val="20"/>
          <w:lang w:eastAsia="en-AU"/>
        </w:rPr>
        <w:t xml:space="preserve">percentage) </w:t>
      </w:r>
      <w:r w:rsidRPr="00E33405">
        <w:rPr>
          <w:rFonts w:asciiTheme="minorHAnsi" w:hAnsiTheme="minorHAnsi" w:cstheme="minorHAnsi"/>
          <w:sz w:val="20"/>
          <w:szCs w:val="20"/>
          <w:lang w:eastAsia="en-GB"/>
        </w:rPr>
        <w:t>of achieving the KOBE green quadrat from 202</w:t>
      </w:r>
      <w:r>
        <w:rPr>
          <w:rFonts w:asciiTheme="minorHAnsi" w:hAnsiTheme="minorHAnsi" w:cstheme="minorHAnsi"/>
          <w:sz w:val="20"/>
          <w:szCs w:val="20"/>
          <w:lang w:eastAsia="en-GB"/>
        </w:rPr>
        <w:t>3</w:t>
      </w:r>
      <w:r w:rsidRPr="00E33405">
        <w:rPr>
          <w:rFonts w:asciiTheme="minorHAnsi" w:hAnsiTheme="minorHAnsi" w:cstheme="minorHAnsi"/>
          <w:sz w:val="20"/>
          <w:szCs w:val="20"/>
          <w:lang w:eastAsia="en-GB"/>
        </w:rPr>
        <w:t>-20</w:t>
      </w:r>
      <w:r>
        <w:rPr>
          <w:rFonts w:asciiTheme="minorHAnsi" w:hAnsiTheme="minorHAnsi" w:cstheme="minorHAnsi"/>
          <w:sz w:val="20"/>
          <w:szCs w:val="20"/>
          <w:lang w:eastAsia="en-GB"/>
        </w:rPr>
        <w:t>32</w:t>
      </w:r>
      <w:r w:rsidRPr="00E33405">
        <w:rPr>
          <w:rFonts w:asciiTheme="minorHAnsi" w:hAnsiTheme="minorHAnsi" w:cstheme="minorHAnsi"/>
          <w:sz w:val="20"/>
          <w:szCs w:val="20"/>
          <w:lang w:eastAsia="en-GB"/>
        </w:rPr>
        <w:t xml:space="preserve"> for a range of constant catch projections (JABBA).</w:t>
      </w:r>
    </w:p>
    <w:p w14:paraId="0A2CBC42" w14:textId="77777777" w:rsidR="00D95EAD" w:rsidRDefault="00D95EAD" w:rsidP="00D95EAD">
      <w:pPr>
        <w:keepNext/>
        <w:ind w:right="91"/>
        <w:rPr>
          <w:rFonts w:asciiTheme="minorHAnsi" w:hAnsiTheme="minorHAnsi" w:cstheme="minorHAnsi"/>
          <w:sz w:val="20"/>
          <w:szCs w:val="20"/>
          <w:lang w:eastAsia="en-GB"/>
        </w:rPr>
      </w:pPr>
    </w:p>
    <w:tbl>
      <w:tblPr>
        <w:tblW w:w="9946" w:type="dxa"/>
        <w:tblLook w:val="04A0" w:firstRow="1" w:lastRow="0" w:firstColumn="1" w:lastColumn="0" w:noHBand="0" w:noVBand="1"/>
      </w:tblPr>
      <w:tblGrid>
        <w:gridCol w:w="1906"/>
        <w:gridCol w:w="800"/>
        <w:gridCol w:w="800"/>
        <w:gridCol w:w="800"/>
        <w:gridCol w:w="800"/>
        <w:gridCol w:w="820"/>
        <w:gridCol w:w="800"/>
        <w:gridCol w:w="800"/>
        <w:gridCol w:w="820"/>
        <w:gridCol w:w="800"/>
        <w:gridCol w:w="800"/>
      </w:tblGrid>
      <w:tr w:rsidR="00D95EAD" w:rsidRPr="00BB7B5F" w14:paraId="001A75C1" w14:textId="77777777" w:rsidTr="00444A1C">
        <w:trPr>
          <w:trHeight w:val="310"/>
        </w:trPr>
        <w:tc>
          <w:tcPr>
            <w:tcW w:w="1906" w:type="dxa"/>
            <w:tcBorders>
              <w:top w:val="nil"/>
              <w:left w:val="nil"/>
              <w:bottom w:val="nil"/>
              <w:right w:val="nil"/>
            </w:tcBorders>
            <w:noWrap/>
            <w:vAlign w:val="center"/>
            <w:hideMark/>
          </w:tcPr>
          <w:p w14:paraId="713EEF6E" w14:textId="77777777" w:rsidR="00D95EAD" w:rsidRPr="00A659E3" w:rsidRDefault="00D95EAD" w:rsidP="00444A1C">
            <w:pPr>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lang w:val="en-US" w:eastAsia="zh-CN" w:bidi="he-IL"/>
              </w:rPr>
              <w:t>Catch (t)| Year</w:t>
            </w:r>
          </w:p>
        </w:tc>
        <w:tc>
          <w:tcPr>
            <w:tcW w:w="800" w:type="dxa"/>
            <w:tcBorders>
              <w:top w:val="nil"/>
              <w:left w:val="nil"/>
              <w:bottom w:val="nil"/>
              <w:right w:val="nil"/>
            </w:tcBorders>
            <w:noWrap/>
            <w:vAlign w:val="center"/>
            <w:hideMark/>
          </w:tcPr>
          <w:p w14:paraId="16743A24"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lang w:val="en-US" w:eastAsia="zh-CN" w:bidi="he-IL"/>
              </w:rPr>
              <w:t>2023</w:t>
            </w:r>
          </w:p>
        </w:tc>
        <w:tc>
          <w:tcPr>
            <w:tcW w:w="800" w:type="dxa"/>
            <w:tcBorders>
              <w:top w:val="nil"/>
              <w:left w:val="nil"/>
              <w:bottom w:val="nil"/>
              <w:right w:val="nil"/>
            </w:tcBorders>
            <w:noWrap/>
            <w:vAlign w:val="center"/>
            <w:hideMark/>
          </w:tcPr>
          <w:p w14:paraId="03E7284F"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lang w:val="en-US" w:eastAsia="zh-CN" w:bidi="he-IL"/>
              </w:rPr>
              <w:t>2024</w:t>
            </w:r>
          </w:p>
        </w:tc>
        <w:tc>
          <w:tcPr>
            <w:tcW w:w="800" w:type="dxa"/>
            <w:tcBorders>
              <w:top w:val="nil"/>
              <w:left w:val="nil"/>
              <w:bottom w:val="nil"/>
              <w:right w:val="nil"/>
            </w:tcBorders>
            <w:noWrap/>
            <w:vAlign w:val="center"/>
            <w:hideMark/>
          </w:tcPr>
          <w:p w14:paraId="56021F23"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lang w:val="en-US" w:eastAsia="zh-CN" w:bidi="he-IL"/>
              </w:rPr>
              <w:t>2025</w:t>
            </w:r>
          </w:p>
        </w:tc>
        <w:tc>
          <w:tcPr>
            <w:tcW w:w="800" w:type="dxa"/>
            <w:tcBorders>
              <w:top w:val="nil"/>
              <w:left w:val="nil"/>
              <w:bottom w:val="nil"/>
              <w:right w:val="nil"/>
            </w:tcBorders>
            <w:noWrap/>
            <w:vAlign w:val="center"/>
            <w:hideMark/>
          </w:tcPr>
          <w:p w14:paraId="2A7163A6"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lang w:val="en-US" w:eastAsia="zh-CN" w:bidi="he-IL"/>
              </w:rPr>
              <w:t>2026</w:t>
            </w:r>
          </w:p>
        </w:tc>
        <w:tc>
          <w:tcPr>
            <w:tcW w:w="820" w:type="dxa"/>
            <w:tcBorders>
              <w:top w:val="nil"/>
              <w:left w:val="nil"/>
              <w:bottom w:val="nil"/>
              <w:right w:val="nil"/>
            </w:tcBorders>
            <w:noWrap/>
            <w:vAlign w:val="center"/>
            <w:hideMark/>
          </w:tcPr>
          <w:p w14:paraId="5B089A4A"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lang w:val="en-US" w:eastAsia="zh-CN" w:bidi="he-IL"/>
              </w:rPr>
              <w:t>2027</w:t>
            </w:r>
          </w:p>
        </w:tc>
        <w:tc>
          <w:tcPr>
            <w:tcW w:w="800" w:type="dxa"/>
            <w:tcBorders>
              <w:top w:val="nil"/>
              <w:left w:val="nil"/>
              <w:bottom w:val="nil"/>
              <w:right w:val="nil"/>
            </w:tcBorders>
            <w:noWrap/>
            <w:vAlign w:val="center"/>
            <w:hideMark/>
          </w:tcPr>
          <w:p w14:paraId="7413F18E"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lang w:val="en-US" w:eastAsia="zh-CN" w:bidi="he-IL"/>
              </w:rPr>
              <w:t>2028</w:t>
            </w:r>
          </w:p>
        </w:tc>
        <w:tc>
          <w:tcPr>
            <w:tcW w:w="800" w:type="dxa"/>
            <w:tcBorders>
              <w:top w:val="nil"/>
              <w:left w:val="nil"/>
              <w:bottom w:val="nil"/>
              <w:right w:val="nil"/>
            </w:tcBorders>
            <w:noWrap/>
            <w:vAlign w:val="center"/>
            <w:hideMark/>
          </w:tcPr>
          <w:p w14:paraId="3C26CB46"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lang w:val="en-US" w:eastAsia="zh-CN" w:bidi="he-IL"/>
              </w:rPr>
              <w:t>2029</w:t>
            </w:r>
          </w:p>
        </w:tc>
        <w:tc>
          <w:tcPr>
            <w:tcW w:w="820" w:type="dxa"/>
            <w:tcBorders>
              <w:top w:val="nil"/>
              <w:left w:val="nil"/>
              <w:bottom w:val="nil"/>
              <w:right w:val="nil"/>
            </w:tcBorders>
            <w:noWrap/>
            <w:vAlign w:val="center"/>
            <w:hideMark/>
          </w:tcPr>
          <w:p w14:paraId="37510B7B"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lang w:val="en-US" w:eastAsia="zh-CN" w:bidi="he-IL"/>
              </w:rPr>
              <w:t>2030</w:t>
            </w:r>
          </w:p>
        </w:tc>
        <w:tc>
          <w:tcPr>
            <w:tcW w:w="800" w:type="dxa"/>
            <w:tcBorders>
              <w:top w:val="nil"/>
              <w:left w:val="nil"/>
              <w:bottom w:val="nil"/>
              <w:right w:val="nil"/>
            </w:tcBorders>
            <w:noWrap/>
            <w:vAlign w:val="center"/>
            <w:hideMark/>
          </w:tcPr>
          <w:p w14:paraId="3B32395D"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lang w:val="en-US" w:eastAsia="zh-CN" w:bidi="he-IL"/>
              </w:rPr>
              <w:t>2031</w:t>
            </w:r>
          </w:p>
        </w:tc>
        <w:tc>
          <w:tcPr>
            <w:tcW w:w="800" w:type="dxa"/>
            <w:tcBorders>
              <w:top w:val="nil"/>
              <w:left w:val="nil"/>
              <w:bottom w:val="nil"/>
              <w:right w:val="nil"/>
            </w:tcBorders>
            <w:noWrap/>
            <w:vAlign w:val="center"/>
            <w:hideMark/>
          </w:tcPr>
          <w:p w14:paraId="10CF69CC"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lang w:val="en-US" w:eastAsia="zh-CN" w:bidi="he-IL"/>
              </w:rPr>
              <w:t>2032</w:t>
            </w:r>
          </w:p>
        </w:tc>
      </w:tr>
      <w:tr w:rsidR="00D95EAD" w:rsidRPr="00BF3D19" w14:paraId="3AF27D87" w14:textId="77777777" w:rsidTr="00444A1C">
        <w:trPr>
          <w:trHeight w:val="310"/>
        </w:trPr>
        <w:tc>
          <w:tcPr>
            <w:tcW w:w="1906" w:type="dxa"/>
            <w:tcBorders>
              <w:top w:val="nil"/>
              <w:left w:val="nil"/>
              <w:bottom w:val="nil"/>
              <w:right w:val="nil"/>
            </w:tcBorders>
            <w:noWrap/>
            <w:vAlign w:val="center"/>
            <w:hideMark/>
          </w:tcPr>
          <w:p w14:paraId="12241AE6" w14:textId="77777777" w:rsidR="00D95EAD" w:rsidRPr="00A659E3" w:rsidRDefault="00D95EAD" w:rsidP="00444A1C">
            <w:pPr>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289 (10%)</w:t>
            </w:r>
          </w:p>
        </w:tc>
        <w:tc>
          <w:tcPr>
            <w:tcW w:w="800" w:type="dxa"/>
            <w:tcBorders>
              <w:top w:val="nil"/>
              <w:left w:val="nil"/>
              <w:bottom w:val="nil"/>
              <w:right w:val="nil"/>
            </w:tcBorders>
            <w:noWrap/>
            <w:vAlign w:val="center"/>
            <w:hideMark/>
          </w:tcPr>
          <w:p w14:paraId="0E289C5C"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47033D1C"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624C3657"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20CD8B7D"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20" w:type="dxa"/>
            <w:tcBorders>
              <w:top w:val="nil"/>
              <w:left w:val="nil"/>
              <w:bottom w:val="nil"/>
              <w:right w:val="nil"/>
            </w:tcBorders>
            <w:noWrap/>
            <w:vAlign w:val="center"/>
            <w:hideMark/>
          </w:tcPr>
          <w:p w14:paraId="086CF2C3"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7</w:t>
            </w:r>
          </w:p>
        </w:tc>
        <w:tc>
          <w:tcPr>
            <w:tcW w:w="800" w:type="dxa"/>
            <w:tcBorders>
              <w:top w:val="nil"/>
              <w:left w:val="nil"/>
              <w:bottom w:val="nil"/>
              <w:right w:val="nil"/>
            </w:tcBorders>
            <w:noWrap/>
            <w:vAlign w:val="center"/>
            <w:hideMark/>
          </w:tcPr>
          <w:p w14:paraId="56A9C6BB"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31</w:t>
            </w:r>
          </w:p>
        </w:tc>
        <w:tc>
          <w:tcPr>
            <w:tcW w:w="800" w:type="dxa"/>
            <w:tcBorders>
              <w:top w:val="nil"/>
              <w:left w:val="nil"/>
              <w:bottom w:val="nil"/>
              <w:right w:val="nil"/>
            </w:tcBorders>
            <w:noWrap/>
            <w:vAlign w:val="center"/>
            <w:hideMark/>
          </w:tcPr>
          <w:p w14:paraId="4A39CDFF"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63</w:t>
            </w:r>
          </w:p>
        </w:tc>
        <w:tc>
          <w:tcPr>
            <w:tcW w:w="820" w:type="dxa"/>
            <w:tcBorders>
              <w:top w:val="nil"/>
              <w:left w:val="nil"/>
              <w:bottom w:val="nil"/>
              <w:right w:val="nil"/>
            </w:tcBorders>
            <w:noWrap/>
            <w:vAlign w:val="center"/>
            <w:hideMark/>
          </w:tcPr>
          <w:p w14:paraId="26A09637"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84</w:t>
            </w:r>
          </w:p>
        </w:tc>
        <w:tc>
          <w:tcPr>
            <w:tcW w:w="800" w:type="dxa"/>
            <w:tcBorders>
              <w:top w:val="nil"/>
              <w:left w:val="nil"/>
              <w:bottom w:val="nil"/>
              <w:right w:val="nil"/>
            </w:tcBorders>
            <w:noWrap/>
            <w:vAlign w:val="center"/>
            <w:hideMark/>
          </w:tcPr>
          <w:p w14:paraId="79AF8901"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94</w:t>
            </w:r>
          </w:p>
        </w:tc>
        <w:tc>
          <w:tcPr>
            <w:tcW w:w="800" w:type="dxa"/>
            <w:tcBorders>
              <w:top w:val="nil"/>
              <w:left w:val="nil"/>
              <w:bottom w:val="nil"/>
              <w:right w:val="nil"/>
            </w:tcBorders>
            <w:noWrap/>
            <w:vAlign w:val="center"/>
            <w:hideMark/>
          </w:tcPr>
          <w:p w14:paraId="5E27E113"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97</w:t>
            </w:r>
          </w:p>
        </w:tc>
      </w:tr>
      <w:tr w:rsidR="00D95EAD" w:rsidRPr="00BF3D19" w14:paraId="1EF13BC0" w14:textId="77777777" w:rsidTr="00444A1C">
        <w:trPr>
          <w:trHeight w:val="310"/>
        </w:trPr>
        <w:tc>
          <w:tcPr>
            <w:tcW w:w="1906" w:type="dxa"/>
            <w:tcBorders>
              <w:top w:val="nil"/>
              <w:left w:val="nil"/>
              <w:bottom w:val="nil"/>
              <w:right w:val="nil"/>
            </w:tcBorders>
            <w:noWrap/>
            <w:vAlign w:val="center"/>
            <w:hideMark/>
          </w:tcPr>
          <w:p w14:paraId="03C685E7" w14:textId="77777777" w:rsidR="00D95EAD" w:rsidRPr="00A659E3" w:rsidRDefault="00D95EAD" w:rsidP="00444A1C">
            <w:pPr>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578 (20%)</w:t>
            </w:r>
          </w:p>
        </w:tc>
        <w:tc>
          <w:tcPr>
            <w:tcW w:w="800" w:type="dxa"/>
            <w:tcBorders>
              <w:top w:val="nil"/>
              <w:left w:val="nil"/>
              <w:bottom w:val="nil"/>
              <w:right w:val="nil"/>
            </w:tcBorders>
            <w:noWrap/>
            <w:vAlign w:val="center"/>
            <w:hideMark/>
          </w:tcPr>
          <w:p w14:paraId="720BAAEF"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44A97F9F"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3591C6B6"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348106B0"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20" w:type="dxa"/>
            <w:tcBorders>
              <w:top w:val="nil"/>
              <w:left w:val="nil"/>
              <w:bottom w:val="nil"/>
              <w:right w:val="nil"/>
            </w:tcBorders>
            <w:noWrap/>
            <w:vAlign w:val="center"/>
            <w:hideMark/>
          </w:tcPr>
          <w:p w14:paraId="54EA6E38"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3</w:t>
            </w:r>
          </w:p>
        </w:tc>
        <w:tc>
          <w:tcPr>
            <w:tcW w:w="800" w:type="dxa"/>
            <w:tcBorders>
              <w:top w:val="nil"/>
              <w:left w:val="nil"/>
              <w:bottom w:val="nil"/>
              <w:right w:val="nil"/>
            </w:tcBorders>
            <w:noWrap/>
            <w:vAlign w:val="center"/>
            <w:hideMark/>
          </w:tcPr>
          <w:p w14:paraId="409343D8"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17</w:t>
            </w:r>
          </w:p>
        </w:tc>
        <w:tc>
          <w:tcPr>
            <w:tcW w:w="800" w:type="dxa"/>
            <w:tcBorders>
              <w:top w:val="nil"/>
              <w:left w:val="nil"/>
              <w:bottom w:val="nil"/>
              <w:right w:val="nil"/>
            </w:tcBorders>
            <w:noWrap/>
            <w:vAlign w:val="center"/>
            <w:hideMark/>
          </w:tcPr>
          <w:p w14:paraId="6C9E85B7"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44</w:t>
            </w:r>
          </w:p>
        </w:tc>
        <w:tc>
          <w:tcPr>
            <w:tcW w:w="820" w:type="dxa"/>
            <w:tcBorders>
              <w:top w:val="nil"/>
              <w:left w:val="nil"/>
              <w:bottom w:val="nil"/>
              <w:right w:val="nil"/>
            </w:tcBorders>
            <w:noWrap/>
            <w:vAlign w:val="center"/>
            <w:hideMark/>
          </w:tcPr>
          <w:p w14:paraId="187CABED"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68</w:t>
            </w:r>
          </w:p>
        </w:tc>
        <w:tc>
          <w:tcPr>
            <w:tcW w:w="800" w:type="dxa"/>
            <w:tcBorders>
              <w:top w:val="nil"/>
              <w:left w:val="nil"/>
              <w:bottom w:val="nil"/>
              <w:right w:val="nil"/>
            </w:tcBorders>
            <w:noWrap/>
            <w:vAlign w:val="center"/>
            <w:hideMark/>
          </w:tcPr>
          <w:p w14:paraId="01DC730D"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84</w:t>
            </w:r>
          </w:p>
        </w:tc>
        <w:tc>
          <w:tcPr>
            <w:tcW w:w="800" w:type="dxa"/>
            <w:tcBorders>
              <w:top w:val="nil"/>
              <w:left w:val="nil"/>
              <w:bottom w:val="nil"/>
              <w:right w:val="nil"/>
            </w:tcBorders>
            <w:noWrap/>
            <w:vAlign w:val="center"/>
            <w:hideMark/>
          </w:tcPr>
          <w:p w14:paraId="013665EF"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91</w:t>
            </w:r>
          </w:p>
        </w:tc>
      </w:tr>
      <w:tr w:rsidR="00D95EAD" w:rsidRPr="00BF3D19" w14:paraId="4796D540" w14:textId="77777777" w:rsidTr="00444A1C">
        <w:trPr>
          <w:trHeight w:val="310"/>
        </w:trPr>
        <w:tc>
          <w:tcPr>
            <w:tcW w:w="1906" w:type="dxa"/>
            <w:tcBorders>
              <w:top w:val="nil"/>
              <w:left w:val="nil"/>
              <w:bottom w:val="nil"/>
              <w:right w:val="nil"/>
            </w:tcBorders>
            <w:noWrap/>
            <w:vAlign w:val="center"/>
            <w:hideMark/>
          </w:tcPr>
          <w:p w14:paraId="278DE885" w14:textId="77777777" w:rsidR="00D95EAD" w:rsidRPr="00A659E3" w:rsidRDefault="00D95EAD" w:rsidP="00444A1C">
            <w:pPr>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867 (30%)</w:t>
            </w:r>
          </w:p>
        </w:tc>
        <w:tc>
          <w:tcPr>
            <w:tcW w:w="800" w:type="dxa"/>
            <w:tcBorders>
              <w:top w:val="nil"/>
              <w:left w:val="nil"/>
              <w:bottom w:val="nil"/>
              <w:right w:val="nil"/>
            </w:tcBorders>
            <w:noWrap/>
            <w:vAlign w:val="center"/>
            <w:hideMark/>
          </w:tcPr>
          <w:p w14:paraId="0A1E10B9"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3E742F3C"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0A44DE77"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0F1725F1"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20" w:type="dxa"/>
            <w:tcBorders>
              <w:top w:val="nil"/>
              <w:left w:val="nil"/>
              <w:bottom w:val="nil"/>
              <w:right w:val="nil"/>
            </w:tcBorders>
            <w:noWrap/>
            <w:vAlign w:val="center"/>
            <w:hideMark/>
          </w:tcPr>
          <w:p w14:paraId="06175690"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1</w:t>
            </w:r>
          </w:p>
        </w:tc>
        <w:tc>
          <w:tcPr>
            <w:tcW w:w="800" w:type="dxa"/>
            <w:tcBorders>
              <w:top w:val="nil"/>
              <w:left w:val="nil"/>
              <w:bottom w:val="nil"/>
              <w:right w:val="nil"/>
            </w:tcBorders>
            <w:noWrap/>
            <w:vAlign w:val="center"/>
            <w:hideMark/>
          </w:tcPr>
          <w:p w14:paraId="486074C8"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8</w:t>
            </w:r>
          </w:p>
        </w:tc>
        <w:tc>
          <w:tcPr>
            <w:tcW w:w="800" w:type="dxa"/>
            <w:tcBorders>
              <w:top w:val="nil"/>
              <w:left w:val="nil"/>
              <w:bottom w:val="nil"/>
              <w:right w:val="nil"/>
            </w:tcBorders>
            <w:noWrap/>
            <w:vAlign w:val="center"/>
            <w:hideMark/>
          </w:tcPr>
          <w:p w14:paraId="376CE56A"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26</w:t>
            </w:r>
          </w:p>
        </w:tc>
        <w:tc>
          <w:tcPr>
            <w:tcW w:w="820" w:type="dxa"/>
            <w:tcBorders>
              <w:top w:val="nil"/>
              <w:left w:val="nil"/>
              <w:bottom w:val="nil"/>
              <w:right w:val="nil"/>
            </w:tcBorders>
            <w:noWrap/>
            <w:vAlign w:val="center"/>
            <w:hideMark/>
          </w:tcPr>
          <w:p w14:paraId="67A9D54B"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48</w:t>
            </w:r>
          </w:p>
        </w:tc>
        <w:tc>
          <w:tcPr>
            <w:tcW w:w="800" w:type="dxa"/>
            <w:tcBorders>
              <w:top w:val="nil"/>
              <w:left w:val="nil"/>
              <w:bottom w:val="nil"/>
              <w:right w:val="nil"/>
            </w:tcBorders>
            <w:noWrap/>
            <w:vAlign w:val="center"/>
            <w:hideMark/>
          </w:tcPr>
          <w:p w14:paraId="79688A84"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66</w:t>
            </w:r>
          </w:p>
        </w:tc>
        <w:tc>
          <w:tcPr>
            <w:tcW w:w="800" w:type="dxa"/>
            <w:tcBorders>
              <w:top w:val="nil"/>
              <w:left w:val="nil"/>
              <w:bottom w:val="nil"/>
              <w:right w:val="nil"/>
            </w:tcBorders>
            <w:noWrap/>
            <w:vAlign w:val="center"/>
            <w:hideMark/>
          </w:tcPr>
          <w:p w14:paraId="3A96D5DA"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78</w:t>
            </w:r>
          </w:p>
        </w:tc>
      </w:tr>
      <w:tr w:rsidR="00D95EAD" w:rsidRPr="00BF3D19" w14:paraId="4D5829D0" w14:textId="77777777" w:rsidTr="00444A1C">
        <w:trPr>
          <w:trHeight w:val="310"/>
        </w:trPr>
        <w:tc>
          <w:tcPr>
            <w:tcW w:w="1906" w:type="dxa"/>
            <w:tcBorders>
              <w:top w:val="nil"/>
              <w:left w:val="nil"/>
              <w:bottom w:val="nil"/>
              <w:right w:val="nil"/>
            </w:tcBorders>
            <w:noWrap/>
            <w:vAlign w:val="center"/>
            <w:hideMark/>
          </w:tcPr>
          <w:p w14:paraId="007FD5EA" w14:textId="77777777" w:rsidR="00D95EAD" w:rsidRPr="00A659E3" w:rsidRDefault="00D95EAD" w:rsidP="00444A1C">
            <w:pPr>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1157 (40%)</w:t>
            </w:r>
          </w:p>
        </w:tc>
        <w:tc>
          <w:tcPr>
            <w:tcW w:w="800" w:type="dxa"/>
            <w:tcBorders>
              <w:top w:val="nil"/>
              <w:left w:val="nil"/>
              <w:bottom w:val="nil"/>
              <w:right w:val="nil"/>
            </w:tcBorders>
            <w:noWrap/>
            <w:vAlign w:val="center"/>
            <w:hideMark/>
          </w:tcPr>
          <w:p w14:paraId="433E276F"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427B945C"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19F753DB"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4058C882"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20" w:type="dxa"/>
            <w:tcBorders>
              <w:top w:val="nil"/>
              <w:left w:val="nil"/>
              <w:bottom w:val="nil"/>
              <w:right w:val="nil"/>
            </w:tcBorders>
            <w:noWrap/>
            <w:vAlign w:val="center"/>
            <w:hideMark/>
          </w:tcPr>
          <w:p w14:paraId="2910F5CD"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0AB27365"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4</w:t>
            </w:r>
          </w:p>
        </w:tc>
        <w:tc>
          <w:tcPr>
            <w:tcW w:w="800" w:type="dxa"/>
            <w:tcBorders>
              <w:top w:val="nil"/>
              <w:left w:val="nil"/>
              <w:bottom w:val="nil"/>
              <w:right w:val="nil"/>
            </w:tcBorders>
            <w:noWrap/>
            <w:vAlign w:val="center"/>
            <w:hideMark/>
          </w:tcPr>
          <w:p w14:paraId="7B01ACD3"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13</w:t>
            </w:r>
          </w:p>
        </w:tc>
        <w:tc>
          <w:tcPr>
            <w:tcW w:w="820" w:type="dxa"/>
            <w:tcBorders>
              <w:top w:val="nil"/>
              <w:left w:val="nil"/>
              <w:bottom w:val="nil"/>
              <w:right w:val="nil"/>
            </w:tcBorders>
            <w:noWrap/>
            <w:vAlign w:val="center"/>
            <w:hideMark/>
          </w:tcPr>
          <w:p w14:paraId="0A501144"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28</w:t>
            </w:r>
          </w:p>
        </w:tc>
        <w:tc>
          <w:tcPr>
            <w:tcW w:w="800" w:type="dxa"/>
            <w:tcBorders>
              <w:top w:val="nil"/>
              <w:left w:val="nil"/>
              <w:bottom w:val="nil"/>
              <w:right w:val="nil"/>
            </w:tcBorders>
            <w:noWrap/>
            <w:vAlign w:val="center"/>
            <w:hideMark/>
          </w:tcPr>
          <w:p w14:paraId="3CB325DC"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45</w:t>
            </w:r>
          </w:p>
        </w:tc>
        <w:tc>
          <w:tcPr>
            <w:tcW w:w="800" w:type="dxa"/>
            <w:tcBorders>
              <w:top w:val="nil"/>
              <w:left w:val="nil"/>
              <w:bottom w:val="nil"/>
              <w:right w:val="nil"/>
            </w:tcBorders>
            <w:noWrap/>
            <w:vAlign w:val="center"/>
            <w:hideMark/>
          </w:tcPr>
          <w:p w14:paraId="3FC03FB0"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58</w:t>
            </w:r>
          </w:p>
        </w:tc>
      </w:tr>
      <w:tr w:rsidR="00D95EAD" w:rsidRPr="00BF3D19" w14:paraId="12EF006B" w14:textId="77777777" w:rsidTr="00444A1C">
        <w:trPr>
          <w:trHeight w:val="310"/>
        </w:trPr>
        <w:tc>
          <w:tcPr>
            <w:tcW w:w="1906" w:type="dxa"/>
            <w:tcBorders>
              <w:top w:val="nil"/>
              <w:left w:val="nil"/>
              <w:bottom w:val="nil"/>
              <w:right w:val="nil"/>
            </w:tcBorders>
            <w:noWrap/>
            <w:vAlign w:val="center"/>
            <w:hideMark/>
          </w:tcPr>
          <w:p w14:paraId="4A48F976" w14:textId="77777777" w:rsidR="00D95EAD" w:rsidRPr="00A659E3" w:rsidRDefault="00D95EAD" w:rsidP="00444A1C">
            <w:pPr>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1446 (50%)</w:t>
            </w:r>
          </w:p>
        </w:tc>
        <w:tc>
          <w:tcPr>
            <w:tcW w:w="800" w:type="dxa"/>
            <w:tcBorders>
              <w:top w:val="nil"/>
              <w:left w:val="nil"/>
              <w:bottom w:val="nil"/>
              <w:right w:val="nil"/>
            </w:tcBorders>
            <w:noWrap/>
            <w:vAlign w:val="center"/>
            <w:hideMark/>
          </w:tcPr>
          <w:p w14:paraId="6C970918"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7944C6C4"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5E8A4084"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78D9F6C5"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20" w:type="dxa"/>
            <w:tcBorders>
              <w:top w:val="nil"/>
              <w:left w:val="nil"/>
              <w:bottom w:val="nil"/>
              <w:right w:val="nil"/>
            </w:tcBorders>
            <w:noWrap/>
            <w:vAlign w:val="center"/>
            <w:hideMark/>
          </w:tcPr>
          <w:p w14:paraId="5CDCD635"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1F1285CC"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1</w:t>
            </w:r>
          </w:p>
        </w:tc>
        <w:tc>
          <w:tcPr>
            <w:tcW w:w="800" w:type="dxa"/>
            <w:tcBorders>
              <w:top w:val="nil"/>
              <w:left w:val="nil"/>
              <w:bottom w:val="nil"/>
              <w:right w:val="nil"/>
            </w:tcBorders>
            <w:noWrap/>
            <w:vAlign w:val="center"/>
            <w:hideMark/>
          </w:tcPr>
          <w:p w14:paraId="24A3B515"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5</w:t>
            </w:r>
          </w:p>
        </w:tc>
        <w:tc>
          <w:tcPr>
            <w:tcW w:w="820" w:type="dxa"/>
            <w:tcBorders>
              <w:top w:val="nil"/>
              <w:left w:val="nil"/>
              <w:bottom w:val="nil"/>
              <w:right w:val="nil"/>
            </w:tcBorders>
            <w:noWrap/>
            <w:vAlign w:val="center"/>
            <w:hideMark/>
          </w:tcPr>
          <w:p w14:paraId="3766B587"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13</w:t>
            </w:r>
          </w:p>
        </w:tc>
        <w:tc>
          <w:tcPr>
            <w:tcW w:w="800" w:type="dxa"/>
            <w:tcBorders>
              <w:top w:val="nil"/>
              <w:left w:val="nil"/>
              <w:bottom w:val="nil"/>
              <w:right w:val="nil"/>
            </w:tcBorders>
            <w:noWrap/>
            <w:vAlign w:val="center"/>
            <w:hideMark/>
          </w:tcPr>
          <w:p w14:paraId="7A4EE025"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25</w:t>
            </w:r>
          </w:p>
        </w:tc>
        <w:tc>
          <w:tcPr>
            <w:tcW w:w="800" w:type="dxa"/>
            <w:tcBorders>
              <w:top w:val="nil"/>
              <w:left w:val="nil"/>
              <w:bottom w:val="nil"/>
              <w:right w:val="nil"/>
            </w:tcBorders>
            <w:noWrap/>
            <w:vAlign w:val="center"/>
            <w:hideMark/>
          </w:tcPr>
          <w:p w14:paraId="3EF9DF0E"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36</w:t>
            </w:r>
          </w:p>
        </w:tc>
      </w:tr>
      <w:tr w:rsidR="00D95EAD" w:rsidRPr="00BF3D19" w14:paraId="3D8CBD8A" w14:textId="77777777" w:rsidTr="00444A1C">
        <w:trPr>
          <w:trHeight w:val="310"/>
        </w:trPr>
        <w:tc>
          <w:tcPr>
            <w:tcW w:w="1906" w:type="dxa"/>
            <w:tcBorders>
              <w:top w:val="nil"/>
              <w:left w:val="nil"/>
              <w:bottom w:val="nil"/>
              <w:right w:val="nil"/>
            </w:tcBorders>
            <w:noWrap/>
            <w:vAlign w:val="center"/>
            <w:hideMark/>
          </w:tcPr>
          <w:p w14:paraId="75EFC4A9" w14:textId="77777777" w:rsidR="00D95EAD" w:rsidRPr="00A659E3" w:rsidRDefault="00D95EAD" w:rsidP="00444A1C">
            <w:pPr>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1735 (60%)</w:t>
            </w:r>
          </w:p>
        </w:tc>
        <w:tc>
          <w:tcPr>
            <w:tcW w:w="800" w:type="dxa"/>
            <w:tcBorders>
              <w:top w:val="nil"/>
              <w:left w:val="nil"/>
              <w:bottom w:val="nil"/>
              <w:right w:val="nil"/>
            </w:tcBorders>
            <w:noWrap/>
            <w:vAlign w:val="center"/>
            <w:hideMark/>
          </w:tcPr>
          <w:p w14:paraId="0A5885A7"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010C0DB2"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467617B7"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3B78AE35"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20" w:type="dxa"/>
            <w:tcBorders>
              <w:top w:val="nil"/>
              <w:left w:val="nil"/>
              <w:bottom w:val="nil"/>
              <w:right w:val="nil"/>
            </w:tcBorders>
            <w:noWrap/>
            <w:vAlign w:val="center"/>
            <w:hideMark/>
          </w:tcPr>
          <w:p w14:paraId="1FC00DAF"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25D9B1AA"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2B819E5A"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2</w:t>
            </w:r>
          </w:p>
        </w:tc>
        <w:tc>
          <w:tcPr>
            <w:tcW w:w="820" w:type="dxa"/>
            <w:tcBorders>
              <w:top w:val="nil"/>
              <w:left w:val="nil"/>
              <w:bottom w:val="nil"/>
              <w:right w:val="nil"/>
            </w:tcBorders>
            <w:noWrap/>
            <w:vAlign w:val="center"/>
            <w:hideMark/>
          </w:tcPr>
          <w:p w14:paraId="26A4A323"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5</w:t>
            </w:r>
          </w:p>
        </w:tc>
        <w:tc>
          <w:tcPr>
            <w:tcW w:w="800" w:type="dxa"/>
            <w:tcBorders>
              <w:top w:val="nil"/>
              <w:left w:val="nil"/>
              <w:bottom w:val="nil"/>
              <w:right w:val="nil"/>
            </w:tcBorders>
            <w:noWrap/>
            <w:vAlign w:val="center"/>
            <w:hideMark/>
          </w:tcPr>
          <w:p w14:paraId="15133149"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11</w:t>
            </w:r>
          </w:p>
        </w:tc>
        <w:tc>
          <w:tcPr>
            <w:tcW w:w="800" w:type="dxa"/>
            <w:tcBorders>
              <w:top w:val="nil"/>
              <w:left w:val="nil"/>
              <w:bottom w:val="nil"/>
              <w:right w:val="nil"/>
            </w:tcBorders>
            <w:noWrap/>
            <w:vAlign w:val="center"/>
            <w:hideMark/>
          </w:tcPr>
          <w:p w14:paraId="1C568082"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17</w:t>
            </w:r>
          </w:p>
        </w:tc>
      </w:tr>
      <w:tr w:rsidR="00D95EAD" w:rsidRPr="00BF3D19" w14:paraId="25840860" w14:textId="77777777" w:rsidTr="00444A1C">
        <w:trPr>
          <w:trHeight w:val="310"/>
        </w:trPr>
        <w:tc>
          <w:tcPr>
            <w:tcW w:w="1906" w:type="dxa"/>
            <w:tcBorders>
              <w:top w:val="nil"/>
              <w:left w:val="nil"/>
              <w:bottom w:val="nil"/>
              <w:right w:val="nil"/>
            </w:tcBorders>
            <w:noWrap/>
            <w:vAlign w:val="center"/>
            <w:hideMark/>
          </w:tcPr>
          <w:p w14:paraId="5B502774" w14:textId="77777777" w:rsidR="00D95EAD" w:rsidRPr="00A659E3" w:rsidRDefault="00D95EAD" w:rsidP="00444A1C">
            <w:pPr>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2024 (70%)</w:t>
            </w:r>
          </w:p>
        </w:tc>
        <w:tc>
          <w:tcPr>
            <w:tcW w:w="800" w:type="dxa"/>
            <w:tcBorders>
              <w:top w:val="nil"/>
              <w:left w:val="nil"/>
              <w:bottom w:val="nil"/>
              <w:right w:val="nil"/>
            </w:tcBorders>
            <w:noWrap/>
            <w:vAlign w:val="center"/>
            <w:hideMark/>
          </w:tcPr>
          <w:p w14:paraId="2D06828E"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6DCB4D43"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2B5FEEB7"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1A55A133"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20" w:type="dxa"/>
            <w:tcBorders>
              <w:top w:val="nil"/>
              <w:left w:val="nil"/>
              <w:bottom w:val="nil"/>
              <w:right w:val="nil"/>
            </w:tcBorders>
            <w:noWrap/>
            <w:vAlign w:val="center"/>
            <w:hideMark/>
          </w:tcPr>
          <w:p w14:paraId="6215D646"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7ACA36D5"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hideMark/>
          </w:tcPr>
          <w:p w14:paraId="3AA68FCD"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1</w:t>
            </w:r>
          </w:p>
        </w:tc>
        <w:tc>
          <w:tcPr>
            <w:tcW w:w="820" w:type="dxa"/>
            <w:tcBorders>
              <w:top w:val="nil"/>
              <w:left w:val="nil"/>
              <w:bottom w:val="nil"/>
              <w:right w:val="nil"/>
            </w:tcBorders>
            <w:noWrap/>
            <w:vAlign w:val="center"/>
            <w:hideMark/>
          </w:tcPr>
          <w:p w14:paraId="22E78038"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2</w:t>
            </w:r>
          </w:p>
        </w:tc>
        <w:tc>
          <w:tcPr>
            <w:tcW w:w="800" w:type="dxa"/>
            <w:tcBorders>
              <w:top w:val="nil"/>
              <w:left w:val="nil"/>
              <w:bottom w:val="nil"/>
              <w:right w:val="nil"/>
            </w:tcBorders>
            <w:noWrap/>
            <w:vAlign w:val="center"/>
            <w:hideMark/>
          </w:tcPr>
          <w:p w14:paraId="262EA888"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4</w:t>
            </w:r>
          </w:p>
        </w:tc>
        <w:tc>
          <w:tcPr>
            <w:tcW w:w="800" w:type="dxa"/>
            <w:tcBorders>
              <w:top w:val="nil"/>
              <w:left w:val="nil"/>
              <w:bottom w:val="nil"/>
              <w:right w:val="nil"/>
            </w:tcBorders>
            <w:noWrap/>
            <w:vAlign w:val="center"/>
            <w:hideMark/>
          </w:tcPr>
          <w:p w14:paraId="6704281F" w14:textId="77777777" w:rsidR="00D95EAD" w:rsidRPr="00A659E3" w:rsidRDefault="00D95EAD" w:rsidP="00444A1C">
            <w:pPr>
              <w:jc w:val="right"/>
              <w:rPr>
                <w:rFonts w:asciiTheme="minorHAnsi" w:hAnsiTheme="minorHAnsi" w:cstheme="minorHAnsi"/>
                <w:color w:val="000000"/>
                <w:sz w:val="20"/>
                <w:szCs w:val="20"/>
                <w:lang w:val="en-US" w:eastAsia="zh-CN" w:bidi="he-IL"/>
              </w:rPr>
            </w:pPr>
            <w:r w:rsidRPr="00A659E3">
              <w:rPr>
                <w:rFonts w:asciiTheme="minorHAnsi" w:hAnsiTheme="minorHAnsi" w:cstheme="minorHAnsi"/>
                <w:color w:val="000000"/>
                <w:sz w:val="20"/>
                <w:szCs w:val="20"/>
              </w:rPr>
              <w:t>7</w:t>
            </w:r>
          </w:p>
        </w:tc>
      </w:tr>
      <w:tr w:rsidR="00D95EAD" w:rsidRPr="00BF3D19" w14:paraId="6C3461E9" w14:textId="77777777" w:rsidTr="00444A1C">
        <w:trPr>
          <w:trHeight w:val="310"/>
        </w:trPr>
        <w:tc>
          <w:tcPr>
            <w:tcW w:w="1906" w:type="dxa"/>
            <w:tcBorders>
              <w:top w:val="nil"/>
              <w:left w:val="nil"/>
              <w:bottom w:val="nil"/>
              <w:right w:val="nil"/>
            </w:tcBorders>
            <w:noWrap/>
            <w:vAlign w:val="center"/>
          </w:tcPr>
          <w:p w14:paraId="55421FEB" w14:textId="77777777" w:rsidR="00D95EAD" w:rsidRPr="00A659E3" w:rsidRDefault="00D95EAD" w:rsidP="00444A1C">
            <w:pPr>
              <w:rPr>
                <w:rFonts w:asciiTheme="minorHAnsi" w:hAnsiTheme="minorHAnsi" w:cstheme="minorHAnsi"/>
                <w:color w:val="000000"/>
                <w:sz w:val="20"/>
                <w:szCs w:val="20"/>
              </w:rPr>
            </w:pPr>
            <w:r w:rsidRPr="00A659E3">
              <w:rPr>
                <w:rFonts w:asciiTheme="minorHAnsi" w:hAnsiTheme="minorHAnsi" w:cstheme="minorHAnsi"/>
                <w:color w:val="000000"/>
                <w:sz w:val="20"/>
                <w:szCs w:val="20"/>
              </w:rPr>
              <w:t>2313 (80%)</w:t>
            </w:r>
          </w:p>
        </w:tc>
        <w:tc>
          <w:tcPr>
            <w:tcW w:w="800" w:type="dxa"/>
            <w:tcBorders>
              <w:top w:val="nil"/>
              <w:left w:val="nil"/>
              <w:bottom w:val="nil"/>
              <w:right w:val="nil"/>
            </w:tcBorders>
            <w:noWrap/>
            <w:vAlign w:val="center"/>
          </w:tcPr>
          <w:p w14:paraId="64CF5A6D"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01CD028F"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30E7DE33"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4A44117D"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20" w:type="dxa"/>
            <w:tcBorders>
              <w:top w:val="nil"/>
              <w:left w:val="nil"/>
              <w:bottom w:val="nil"/>
              <w:right w:val="nil"/>
            </w:tcBorders>
            <w:noWrap/>
            <w:vAlign w:val="center"/>
          </w:tcPr>
          <w:p w14:paraId="305FB36A"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6272BC87"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66B76AC5"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20" w:type="dxa"/>
            <w:tcBorders>
              <w:top w:val="nil"/>
              <w:left w:val="nil"/>
              <w:bottom w:val="nil"/>
              <w:right w:val="nil"/>
            </w:tcBorders>
            <w:noWrap/>
            <w:vAlign w:val="center"/>
          </w:tcPr>
          <w:p w14:paraId="2587FEB4"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6D4311E2"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1</w:t>
            </w:r>
          </w:p>
        </w:tc>
        <w:tc>
          <w:tcPr>
            <w:tcW w:w="800" w:type="dxa"/>
            <w:tcBorders>
              <w:top w:val="nil"/>
              <w:left w:val="nil"/>
              <w:bottom w:val="nil"/>
              <w:right w:val="nil"/>
            </w:tcBorders>
            <w:noWrap/>
            <w:vAlign w:val="center"/>
          </w:tcPr>
          <w:p w14:paraId="41120AC8"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2</w:t>
            </w:r>
          </w:p>
        </w:tc>
      </w:tr>
      <w:tr w:rsidR="00D95EAD" w:rsidRPr="00BF3D19" w14:paraId="17D55388" w14:textId="77777777" w:rsidTr="00444A1C">
        <w:trPr>
          <w:trHeight w:val="310"/>
        </w:trPr>
        <w:tc>
          <w:tcPr>
            <w:tcW w:w="1906" w:type="dxa"/>
            <w:tcBorders>
              <w:top w:val="nil"/>
              <w:left w:val="nil"/>
              <w:bottom w:val="nil"/>
              <w:right w:val="nil"/>
            </w:tcBorders>
            <w:noWrap/>
            <w:vAlign w:val="center"/>
          </w:tcPr>
          <w:p w14:paraId="309D1DE2" w14:textId="77777777" w:rsidR="00D95EAD" w:rsidRPr="00A659E3" w:rsidRDefault="00D95EAD" w:rsidP="00444A1C">
            <w:pPr>
              <w:rPr>
                <w:rFonts w:asciiTheme="minorHAnsi" w:hAnsiTheme="minorHAnsi" w:cstheme="minorHAnsi"/>
                <w:color w:val="000000"/>
                <w:sz w:val="20"/>
                <w:szCs w:val="20"/>
              </w:rPr>
            </w:pPr>
            <w:r w:rsidRPr="00A659E3">
              <w:rPr>
                <w:rFonts w:asciiTheme="minorHAnsi" w:hAnsiTheme="minorHAnsi" w:cstheme="minorHAnsi"/>
                <w:color w:val="000000"/>
                <w:sz w:val="20"/>
                <w:szCs w:val="20"/>
              </w:rPr>
              <w:t>3470 (100%)</w:t>
            </w:r>
          </w:p>
        </w:tc>
        <w:tc>
          <w:tcPr>
            <w:tcW w:w="800" w:type="dxa"/>
            <w:tcBorders>
              <w:top w:val="nil"/>
              <w:left w:val="nil"/>
              <w:bottom w:val="nil"/>
              <w:right w:val="nil"/>
            </w:tcBorders>
            <w:noWrap/>
            <w:vAlign w:val="center"/>
          </w:tcPr>
          <w:p w14:paraId="169032DB"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34FBC789"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3A22B3A7"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6052E22F"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20" w:type="dxa"/>
            <w:tcBorders>
              <w:top w:val="nil"/>
              <w:left w:val="nil"/>
              <w:bottom w:val="nil"/>
              <w:right w:val="nil"/>
            </w:tcBorders>
            <w:noWrap/>
            <w:vAlign w:val="center"/>
          </w:tcPr>
          <w:p w14:paraId="66BC2114"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5A4DEDB5"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7AA512BD"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20" w:type="dxa"/>
            <w:tcBorders>
              <w:top w:val="nil"/>
              <w:left w:val="nil"/>
              <w:bottom w:val="nil"/>
              <w:right w:val="nil"/>
            </w:tcBorders>
            <w:noWrap/>
            <w:vAlign w:val="center"/>
          </w:tcPr>
          <w:p w14:paraId="29CCE2A2"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341F3200"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c>
          <w:tcPr>
            <w:tcW w:w="800" w:type="dxa"/>
            <w:tcBorders>
              <w:top w:val="nil"/>
              <w:left w:val="nil"/>
              <w:bottom w:val="nil"/>
              <w:right w:val="nil"/>
            </w:tcBorders>
            <w:noWrap/>
            <w:vAlign w:val="center"/>
          </w:tcPr>
          <w:p w14:paraId="2BCDF8FA" w14:textId="77777777" w:rsidR="00D95EAD" w:rsidRPr="00A659E3" w:rsidRDefault="00D95EAD" w:rsidP="00444A1C">
            <w:pPr>
              <w:jc w:val="right"/>
              <w:rPr>
                <w:rFonts w:asciiTheme="minorHAnsi" w:hAnsiTheme="minorHAnsi" w:cstheme="minorHAnsi"/>
                <w:sz w:val="20"/>
                <w:szCs w:val="20"/>
              </w:rPr>
            </w:pPr>
            <w:r w:rsidRPr="00A659E3">
              <w:rPr>
                <w:rFonts w:asciiTheme="minorHAnsi" w:hAnsiTheme="minorHAnsi" w:cstheme="minorHAnsi"/>
                <w:color w:val="000000"/>
                <w:sz w:val="20"/>
                <w:szCs w:val="20"/>
              </w:rPr>
              <w:t>0</w:t>
            </w:r>
          </w:p>
        </w:tc>
      </w:tr>
      <w:bookmarkEnd w:id="182"/>
    </w:tbl>
    <w:p w14:paraId="2E005701" w14:textId="77777777" w:rsidR="00D95EAD" w:rsidRDefault="00D95EAD" w:rsidP="002C77EE">
      <w:pPr>
        <w:pStyle w:val="AppendixHeading"/>
        <w:spacing w:after="240"/>
      </w:pPr>
    </w:p>
    <w:p w14:paraId="31BD07E0" w14:textId="77777777" w:rsidR="0012241C" w:rsidRDefault="0012241C" w:rsidP="002C77EE">
      <w:pPr>
        <w:pStyle w:val="AppendixHeading"/>
        <w:spacing w:after="240"/>
      </w:pPr>
    </w:p>
    <w:p w14:paraId="329675D7" w14:textId="77777777" w:rsidR="0012241C" w:rsidRDefault="0012241C" w:rsidP="002C77EE">
      <w:pPr>
        <w:pStyle w:val="AppendixHeading"/>
        <w:spacing w:after="240"/>
      </w:pPr>
    </w:p>
    <w:p w14:paraId="597EB807" w14:textId="77777777" w:rsidR="0012241C" w:rsidRDefault="0012241C" w:rsidP="002C77EE">
      <w:pPr>
        <w:pStyle w:val="AppendixHeading"/>
        <w:spacing w:after="240"/>
      </w:pPr>
    </w:p>
    <w:p w14:paraId="41778A55" w14:textId="77777777" w:rsidR="0012241C" w:rsidRDefault="0012241C" w:rsidP="002C77EE">
      <w:pPr>
        <w:pStyle w:val="AppendixHeading"/>
        <w:spacing w:after="240"/>
      </w:pPr>
    </w:p>
    <w:p w14:paraId="689E96C2" w14:textId="77777777" w:rsidR="0012241C" w:rsidRDefault="0012241C" w:rsidP="002C77EE">
      <w:pPr>
        <w:pStyle w:val="AppendixHeading"/>
        <w:spacing w:after="240"/>
      </w:pPr>
    </w:p>
    <w:p w14:paraId="391D6ADF" w14:textId="77777777" w:rsidR="0012241C" w:rsidRDefault="0012241C" w:rsidP="002C77EE">
      <w:pPr>
        <w:pStyle w:val="AppendixHeading"/>
        <w:spacing w:after="240"/>
      </w:pPr>
    </w:p>
    <w:p w14:paraId="4E7AD2A4" w14:textId="77777777" w:rsidR="0012241C" w:rsidRDefault="0012241C" w:rsidP="002C77EE">
      <w:pPr>
        <w:pStyle w:val="AppendixHeading"/>
        <w:spacing w:after="240"/>
      </w:pPr>
    </w:p>
    <w:p w14:paraId="497FA45E" w14:textId="77777777" w:rsidR="0012241C" w:rsidRDefault="0012241C" w:rsidP="002C77EE">
      <w:pPr>
        <w:pStyle w:val="AppendixHeading"/>
        <w:spacing w:after="240"/>
      </w:pPr>
    </w:p>
    <w:p w14:paraId="4C07B4C8" w14:textId="77777777" w:rsidR="0012241C" w:rsidRDefault="0012241C" w:rsidP="002C77EE">
      <w:pPr>
        <w:pStyle w:val="AppendixHeading"/>
        <w:spacing w:after="240"/>
      </w:pPr>
    </w:p>
    <w:p w14:paraId="13300748" w14:textId="77777777" w:rsidR="0012241C" w:rsidRDefault="0012241C" w:rsidP="002C77EE">
      <w:pPr>
        <w:pStyle w:val="AppendixHeading"/>
        <w:spacing w:after="240"/>
      </w:pPr>
    </w:p>
    <w:p w14:paraId="207B0747" w14:textId="77777777" w:rsidR="0012241C" w:rsidRDefault="0012241C" w:rsidP="002C77EE">
      <w:pPr>
        <w:pStyle w:val="AppendixHeading"/>
        <w:spacing w:after="240"/>
      </w:pPr>
    </w:p>
    <w:p w14:paraId="30ABF576" w14:textId="77777777" w:rsidR="0012241C" w:rsidRDefault="0012241C" w:rsidP="002C77EE">
      <w:pPr>
        <w:pStyle w:val="AppendixHeading"/>
        <w:spacing w:after="240"/>
      </w:pPr>
    </w:p>
    <w:p w14:paraId="292191C6" w14:textId="77777777" w:rsidR="0012241C" w:rsidRDefault="0012241C" w:rsidP="002C77EE">
      <w:pPr>
        <w:pStyle w:val="AppendixHeading"/>
        <w:spacing w:after="240"/>
      </w:pPr>
    </w:p>
    <w:p w14:paraId="2FABA789" w14:textId="77777777" w:rsidR="0012241C" w:rsidRDefault="0012241C" w:rsidP="002C77EE">
      <w:pPr>
        <w:pStyle w:val="AppendixHeading"/>
        <w:spacing w:after="240"/>
      </w:pPr>
    </w:p>
    <w:p w14:paraId="126E8C0C" w14:textId="77777777" w:rsidR="0012241C" w:rsidRDefault="0012241C" w:rsidP="002C77EE">
      <w:pPr>
        <w:pStyle w:val="AppendixHeading"/>
        <w:spacing w:after="240"/>
      </w:pPr>
    </w:p>
    <w:p w14:paraId="0CA60E58" w14:textId="25CFBFDD" w:rsidR="0058551D" w:rsidRPr="00CE36E8" w:rsidRDefault="0058551D" w:rsidP="002C77EE">
      <w:pPr>
        <w:pStyle w:val="AppendixHeading"/>
        <w:spacing w:after="240"/>
      </w:pPr>
      <w:bookmarkStart w:id="183" w:name="APP8"/>
      <w:bookmarkStart w:id="184" w:name="_Toc210218022"/>
      <w:r w:rsidRPr="00CE36E8">
        <w:lastRenderedPageBreak/>
        <w:t xml:space="preserve">Appendix </w:t>
      </w:r>
      <w:r w:rsidR="00E603E0">
        <w:t>VIII</w:t>
      </w:r>
      <w:r w:rsidR="002C77EE" w:rsidRPr="00CE36E8">
        <w:t xml:space="preserve"> </w:t>
      </w:r>
      <w:bookmarkEnd w:id="183"/>
      <w:r w:rsidR="002C77EE" w:rsidRPr="00CE36E8">
        <w:t xml:space="preserve">- </w:t>
      </w:r>
      <w:r w:rsidRPr="00CE36E8">
        <w:t>[ Draft ] resource stock status summary – Indo-Pacific sailfish</w:t>
      </w:r>
      <w:bookmarkEnd w:id="179"/>
      <w:bookmarkEnd w:id="180"/>
      <w:bookmarkEnd w:id="184"/>
    </w:p>
    <w:p w14:paraId="59810488" w14:textId="77777777" w:rsidR="0058551D" w:rsidRPr="0037320B" w:rsidRDefault="0058551D" w:rsidP="0058551D">
      <w:pPr>
        <w:rPr>
          <w:rFonts w:ascii="Calibri" w:hAnsi="Calibri" w:cs="Calibri"/>
          <w:kern w:val="32"/>
          <w:highlight w:val="yellow"/>
        </w:rPr>
      </w:pPr>
      <w:bookmarkStart w:id="185" w:name="_Toc312233567"/>
      <w:r w:rsidRPr="0037320B">
        <w:rPr>
          <w:rFonts w:ascii="Calibri" w:hAnsi="Calibri" w:cs="Calibri"/>
          <w:noProof/>
          <w:highlight w:val="yellow"/>
          <w:lang w:val="en-ZA" w:eastAsia="en-ZA"/>
        </w:rPr>
        <mc:AlternateContent>
          <mc:Choice Requires="wps">
            <w:drawing>
              <wp:anchor distT="0" distB="0" distL="114300" distR="114300" simplePos="0" relativeHeight="251658242" behindDoc="0" locked="0" layoutInCell="1" allowOverlap="1" wp14:anchorId="1AF24A76" wp14:editId="5C1F5DD1">
                <wp:simplePos x="0" y="0"/>
                <wp:positionH relativeFrom="column">
                  <wp:posOffset>-7620</wp:posOffset>
                </wp:positionH>
                <wp:positionV relativeFrom="paragraph">
                  <wp:posOffset>-138430</wp:posOffset>
                </wp:positionV>
                <wp:extent cx="6069965" cy="904240"/>
                <wp:effectExtent l="0" t="0" r="0" b="0"/>
                <wp:wrapNone/>
                <wp:docPr id="98"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9965" cy="904240"/>
                        </a:xfrm>
                        <a:prstGeom prst="rect">
                          <a:avLst/>
                        </a:prstGeom>
                        <a:noFill/>
                        <a:ln w="6350">
                          <a:noFill/>
                        </a:ln>
                        <a:effectLst/>
                      </wps:spPr>
                      <wps:txbx>
                        <w:txbxContent>
                          <w:p w14:paraId="7ECEAED0" w14:textId="308FA0B8" w:rsidR="005E594A" w:rsidRDefault="005E594A" w:rsidP="00270840">
                            <w:pPr>
                              <w:jc w:val="center"/>
                            </w:pPr>
                            <w:r w:rsidRPr="00270C20">
                              <w:rPr>
                                <w:rFonts w:eastAsia="Calibri"/>
                                <w:noProof/>
                                <w:lang w:val="en-ZA" w:eastAsia="en-ZA"/>
                              </w:rPr>
                              <w:drawing>
                                <wp:inline distT="0" distB="0" distL="0" distR="0" wp14:anchorId="71EE5A20" wp14:editId="11156EDD">
                                  <wp:extent cx="1838528" cy="849640"/>
                                  <wp:effectExtent l="0" t="0" r="9525" b="7620"/>
                                  <wp:docPr id="644043568" name="Picture 644043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838721" cy="849729"/>
                                          </a:xfrm>
                                          <a:prstGeom prst="rect">
                                            <a:avLst/>
                                          </a:prstGeom>
                                          <a:noFill/>
                                          <a:ln>
                                            <a:noFill/>
                                          </a:ln>
                                        </pic:spPr>
                                      </pic:pic>
                                    </a:graphicData>
                                  </a:graphic>
                                </wp:inline>
                              </w:drawing>
                            </w:r>
                          </w:p>
                          <w:p w14:paraId="5A15697B" w14:textId="77777777" w:rsidR="005E594A" w:rsidRDefault="005E594A" w:rsidP="0058551D">
                            <w:pPr>
                              <w:jc w:val="right"/>
                            </w:pPr>
                          </w:p>
                          <w:p w14:paraId="027C80B5" w14:textId="77777777" w:rsidR="005E594A" w:rsidRDefault="005E594A" w:rsidP="0058551D">
                            <w:pP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F24A76" id="Text Box 98" o:spid="_x0000_s1031" type="#_x0000_t202" style="position:absolute;margin-left:-.6pt;margin-top:-10.9pt;width:477.95pt;height:71.2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" filled="f" stroked="f" strokeweight=".5pt">
                <v:textbox>
                  <w:txbxContent>
                    <w:p w14:paraId="7ECEAED0" w14:textId="308FA0B8" w:rsidR="005E594A" w:rsidRDefault="005E594A" w:rsidP="00270840">
                      <w:pPr>
                        <w:jc w:val="center"/>
                      </w:pPr>
                      <w:r w:rsidRPr="00270C20">
                        <w:rPr>
                          <w:rFonts w:eastAsia="Calibri"/>
                          <w:noProof/>
                          <w:lang w:val="en-ZA" w:eastAsia="en-ZA"/>
                        </w:rPr>
                        <w:drawing>
                          <wp:inline distT="0" distB="0" distL="0" distR="0" wp14:anchorId="71EE5A20" wp14:editId="11156EDD">
                            <wp:extent cx="1838528" cy="849640"/>
                            <wp:effectExtent l="0" t="0" r="9525" b="7620"/>
                            <wp:docPr id="644043568" name="Picture 644043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838721" cy="849729"/>
                                    </a:xfrm>
                                    <a:prstGeom prst="rect">
                                      <a:avLst/>
                                    </a:prstGeom>
                                    <a:noFill/>
                                    <a:ln>
                                      <a:noFill/>
                                    </a:ln>
                                  </pic:spPr>
                                </pic:pic>
                              </a:graphicData>
                            </a:graphic>
                          </wp:inline>
                        </w:drawing>
                      </w:r>
                    </w:p>
                    <w:p w14:paraId="5A15697B" w14:textId="77777777" w:rsidR="005E594A" w:rsidRDefault="005E594A" w:rsidP="0058551D">
                      <w:pPr>
                        <w:jc w:val="right"/>
                      </w:pPr>
                    </w:p>
                    <w:p w14:paraId="027C80B5" w14:textId="77777777" w:rsidR="005E594A" w:rsidRDefault="005E594A" w:rsidP="0058551D">
                      <w:pPr>
                        <w:jc w:val="right"/>
                      </w:pPr>
                    </w:p>
                  </w:txbxContent>
                </v:textbox>
              </v:shape>
            </w:pict>
          </mc:Fallback>
        </mc:AlternateContent>
      </w:r>
      <w:bookmarkEnd w:id="185"/>
    </w:p>
    <w:p w14:paraId="4597C8F2" w14:textId="77777777" w:rsidR="0058551D" w:rsidRPr="0037320B" w:rsidRDefault="0058551D" w:rsidP="0058551D">
      <w:pPr>
        <w:pStyle w:val="AnnexTitle"/>
        <w:spacing w:after="0"/>
        <w:rPr>
          <w:rFonts w:ascii="Calibri" w:hAnsi="Calibri" w:cs="Calibri"/>
          <w:kern w:val="32"/>
          <w:highlight w:val="yellow"/>
          <w:lang w:val="en-GB"/>
        </w:rPr>
      </w:pPr>
    </w:p>
    <w:p w14:paraId="6B04C933" w14:textId="77777777" w:rsidR="0058551D" w:rsidRPr="00CE36E8" w:rsidRDefault="0058551D" w:rsidP="0058551D">
      <w:pPr>
        <w:rPr>
          <w:rFonts w:ascii="Calibri" w:hAnsi="Calibri" w:cs="Calibri"/>
          <w:noProof/>
          <w:snapToGrid w:val="0"/>
          <w:lang w:eastAsia="en-US"/>
        </w:rPr>
      </w:pPr>
    </w:p>
    <w:p w14:paraId="31A788D6" w14:textId="77777777" w:rsidR="0058551D" w:rsidRPr="00CE36E8" w:rsidRDefault="0058551D" w:rsidP="0058551D">
      <w:pPr>
        <w:jc w:val="center"/>
        <w:rPr>
          <w:rFonts w:ascii="Calibri" w:hAnsi="Calibri" w:cs="Calibri"/>
          <w:b/>
          <w:sz w:val="28"/>
          <w:szCs w:val="28"/>
        </w:rPr>
      </w:pPr>
    </w:p>
    <w:p w14:paraId="03395562" w14:textId="77777777" w:rsidR="0058551D" w:rsidRPr="00CE36E8" w:rsidRDefault="0058551D" w:rsidP="0058551D">
      <w:pPr>
        <w:jc w:val="center"/>
        <w:rPr>
          <w:rFonts w:ascii="Calibri" w:hAnsi="Calibri" w:cs="Calibri"/>
          <w:b/>
          <w:sz w:val="28"/>
          <w:szCs w:val="28"/>
        </w:rPr>
      </w:pPr>
    </w:p>
    <w:p w14:paraId="6BA4A552" w14:textId="77777777" w:rsidR="00296747" w:rsidRPr="0070009C" w:rsidRDefault="00296747" w:rsidP="00296747">
      <w:pPr>
        <w:tabs>
          <w:tab w:val="left" w:pos="7005"/>
        </w:tabs>
        <w:spacing w:after="120"/>
        <w:jc w:val="center"/>
        <w:rPr>
          <w:rFonts w:ascii="Calibri" w:hAnsi="Calibri" w:cs="Calibri"/>
          <w:sz w:val="20"/>
          <w:szCs w:val="20"/>
        </w:rPr>
      </w:pPr>
      <w:bookmarkStart w:id="186" w:name="_Hlk185274668"/>
      <w:bookmarkStart w:id="187" w:name="APP9"/>
      <w:r w:rsidRPr="0070009C">
        <w:rPr>
          <w:rFonts w:ascii="Calibri" w:hAnsi="Calibri" w:cs="Calibri"/>
          <w:b/>
          <w:sz w:val="20"/>
          <w:szCs w:val="20"/>
        </w:rPr>
        <w:t>Table 1</w:t>
      </w:r>
      <w:r w:rsidRPr="0070009C">
        <w:rPr>
          <w:rFonts w:ascii="Calibri" w:hAnsi="Calibri" w:cs="Calibri"/>
          <w:sz w:val="20"/>
          <w:szCs w:val="20"/>
        </w:rPr>
        <w:t>. Status of Indo-Pacific sailfish (</w:t>
      </w:r>
      <w:r w:rsidRPr="0070009C">
        <w:rPr>
          <w:rFonts w:ascii="Calibri" w:hAnsi="Calibri" w:cs="Calibri"/>
          <w:i/>
          <w:sz w:val="20"/>
          <w:szCs w:val="20"/>
        </w:rPr>
        <w:t>Istiophorus platypterus</w:t>
      </w:r>
      <w:r w:rsidRPr="0070009C">
        <w:rPr>
          <w:rFonts w:ascii="Calibri" w:hAnsi="Calibri" w:cs="Calibri"/>
          <w:sz w:val="20"/>
          <w:szCs w:val="20"/>
        </w:rPr>
        <w:t>) in the Indian Ocean</w:t>
      </w:r>
    </w:p>
    <w:tbl>
      <w:tblPr>
        <w:tblStyle w:val="TableGrid26322"/>
        <w:tblW w:w="9368" w:type="dxa"/>
        <w:jc w:val="center"/>
        <w:tblLayout w:type="fixed"/>
        <w:tblLook w:val="04A0" w:firstRow="1" w:lastRow="0" w:firstColumn="1" w:lastColumn="0" w:noHBand="0" w:noVBand="1"/>
      </w:tblPr>
      <w:tblGrid>
        <w:gridCol w:w="2370"/>
        <w:gridCol w:w="2755"/>
        <w:gridCol w:w="2465"/>
        <w:gridCol w:w="1778"/>
      </w:tblGrid>
      <w:tr w:rsidR="00296747" w:rsidRPr="0070009C" w14:paraId="3F74594F" w14:textId="77777777" w:rsidTr="000D6E29">
        <w:trPr>
          <w:trHeight w:val="960"/>
          <w:jc w:val="center"/>
        </w:trPr>
        <w:tc>
          <w:tcPr>
            <w:tcW w:w="2370" w:type="dxa"/>
            <w:vAlign w:val="center"/>
          </w:tcPr>
          <w:p w14:paraId="26672471" w14:textId="77777777" w:rsidR="00296747" w:rsidRPr="0070009C" w:rsidRDefault="00296747" w:rsidP="000D6E29">
            <w:pPr>
              <w:jc w:val="center"/>
              <w:rPr>
                <w:rFonts w:ascii="Calibri" w:hAnsi="Calibri" w:cs="Calibri"/>
                <w:b/>
                <w:sz w:val="20"/>
                <w:szCs w:val="20"/>
              </w:rPr>
            </w:pPr>
            <w:r w:rsidRPr="0070009C">
              <w:rPr>
                <w:rFonts w:ascii="Calibri" w:hAnsi="Calibri" w:cs="Calibri"/>
                <w:b/>
                <w:sz w:val="20"/>
                <w:szCs w:val="20"/>
              </w:rPr>
              <w:t>Area</w:t>
            </w:r>
            <w:r w:rsidRPr="0070009C">
              <w:rPr>
                <w:rFonts w:ascii="Calibri" w:hAnsi="Calibri" w:cs="Calibri"/>
                <w:b/>
                <w:sz w:val="20"/>
                <w:szCs w:val="20"/>
                <w:vertAlign w:val="superscript"/>
              </w:rPr>
              <w:t>1</w:t>
            </w:r>
          </w:p>
        </w:tc>
        <w:tc>
          <w:tcPr>
            <w:tcW w:w="5220" w:type="dxa"/>
            <w:gridSpan w:val="2"/>
            <w:vAlign w:val="center"/>
          </w:tcPr>
          <w:p w14:paraId="5DEDBB05" w14:textId="77777777" w:rsidR="00296747" w:rsidRPr="0070009C" w:rsidRDefault="00296747" w:rsidP="000D6E29">
            <w:pPr>
              <w:autoSpaceDE w:val="0"/>
              <w:jc w:val="center"/>
              <w:rPr>
                <w:rFonts w:ascii="Calibri" w:hAnsi="Calibri" w:cs="Calibri"/>
                <w:b/>
                <w:sz w:val="20"/>
                <w:szCs w:val="20"/>
              </w:rPr>
            </w:pPr>
            <w:r w:rsidRPr="0070009C">
              <w:rPr>
                <w:rFonts w:ascii="Calibri" w:hAnsi="Calibri" w:cs="Calibri"/>
                <w:b/>
                <w:sz w:val="20"/>
                <w:szCs w:val="20"/>
              </w:rPr>
              <w:t>Indicators</w:t>
            </w:r>
          </w:p>
        </w:tc>
        <w:tc>
          <w:tcPr>
            <w:tcW w:w="1778" w:type="dxa"/>
            <w:vAlign w:val="center"/>
          </w:tcPr>
          <w:p w14:paraId="042CA2F6" w14:textId="77777777" w:rsidR="00296747" w:rsidRPr="0070009C" w:rsidRDefault="00296747" w:rsidP="000D6E29">
            <w:pPr>
              <w:autoSpaceDE w:val="0"/>
              <w:jc w:val="center"/>
              <w:rPr>
                <w:rFonts w:ascii="Calibri" w:hAnsi="Calibri" w:cs="Calibri"/>
                <w:b/>
                <w:bCs/>
                <w:sz w:val="20"/>
                <w:szCs w:val="20"/>
                <w:vertAlign w:val="superscript"/>
              </w:rPr>
            </w:pPr>
            <w:r w:rsidRPr="0070009C">
              <w:rPr>
                <w:rFonts w:ascii="Calibri" w:hAnsi="Calibri" w:cs="Calibri"/>
                <w:b/>
                <w:bCs/>
                <w:sz w:val="20"/>
                <w:szCs w:val="20"/>
              </w:rPr>
              <w:t>2025 stock status determination</w:t>
            </w:r>
            <w:r w:rsidRPr="0070009C">
              <w:rPr>
                <w:rFonts w:ascii="Calibri" w:hAnsi="Calibri" w:cs="Calibri"/>
                <w:b/>
                <w:bCs/>
                <w:sz w:val="20"/>
                <w:szCs w:val="20"/>
                <w:vertAlign w:val="superscript"/>
              </w:rPr>
              <w:t>3,4</w:t>
            </w:r>
          </w:p>
        </w:tc>
      </w:tr>
      <w:tr w:rsidR="00296747" w:rsidRPr="0070009C" w14:paraId="69C2607C" w14:textId="77777777" w:rsidTr="000D6E29">
        <w:trPr>
          <w:trHeight w:val="530"/>
          <w:jc w:val="center"/>
        </w:trPr>
        <w:tc>
          <w:tcPr>
            <w:tcW w:w="2370" w:type="dxa"/>
            <w:vMerge w:val="restart"/>
            <w:vAlign w:val="center"/>
          </w:tcPr>
          <w:p w14:paraId="6D931066" w14:textId="77777777" w:rsidR="00296747" w:rsidRPr="0070009C" w:rsidRDefault="00296747" w:rsidP="000D6E29">
            <w:pPr>
              <w:jc w:val="center"/>
              <w:rPr>
                <w:rFonts w:ascii="Calibri" w:hAnsi="Calibri" w:cs="Calibri"/>
                <w:sz w:val="20"/>
                <w:szCs w:val="20"/>
              </w:rPr>
            </w:pPr>
            <w:r w:rsidRPr="0070009C">
              <w:rPr>
                <w:rFonts w:ascii="Calibri" w:hAnsi="Calibri" w:cs="Calibri"/>
                <w:sz w:val="20"/>
                <w:szCs w:val="20"/>
              </w:rPr>
              <w:t>Indian Ocean</w:t>
            </w:r>
          </w:p>
        </w:tc>
        <w:tc>
          <w:tcPr>
            <w:tcW w:w="2755" w:type="dxa"/>
            <w:vAlign w:val="center"/>
          </w:tcPr>
          <w:p w14:paraId="3DE91E0E" w14:textId="77777777" w:rsidR="00296747" w:rsidRPr="0070009C" w:rsidRDefault="00296747" w:rsidP="000D6E29">
            <w:pPr>
              <w:tabs>
                <w:tab w:val="right" w:pos="932"/>
                <w:tab w:val="left" w:pos="1168"/>
              </w:tabs>
              <w:jc w:val="right"/>
              <w:rPr>
                <w:rFonts w:ascii="Calibri" w:hAnsi="Calibri" w:cs="Calibri"/>
                <w:sz w:val="20"/>
                <w:szCs w:val="20"/>
              </w:rPr>
            </w:pPr>
            <w:r w:rsidRPr="0070009C">
              <w:rPr>
                <w:rFonts w:ascii="Calibri" w:hAnsi="Calibri" w:cs="Calibri"/>
                <w:sz w:val="20"/>
                <w:szCs w:val="20"/>
              </w:rPr>
              <w:t>Catch 2023</w:t>
            </w:r>
            <w:r w:rsidRPr="0070009C">
              <w:rPr>
                <w:rFonts w:ascii="Calibri" w:hAnsi="Calibri" w:cs="Calibri"/>
                <w:sz w:val="20"/>
                <w:szCs w:val="20"/>
                <w:vertAlign w:val="superscript"/>
              </w:rPr>
              <w:t>2</w:t>
            </w:r>
            <w:r w:rsidRPr="0070009C">
              <w:rPr>
                <w:rFonts w:ascii="Calibri" w:hAnsi="Calibri" w:cs="Calibri"/>
                <w:sz w:val="20"/>
                <w:szCs w:val="20"/>
              </w:rPr>
              <w:t xml:space="preserve"> (t)</w:t>
            </w:r>
          </w:p>
          <w:p w14:paraId="3332C273" w14:textId="77777777" w:rsidR="00296747" w:rsidRPr="0070009C" w:rsidRDefault="00296747" w:rsidP="000D6E29">
            <w:pPr>
              <w:jc w:val="right"/>
              <w:rPr>
                <w:rFonts w:ascii="Calibri" w:hAnsi="Calibri" w:cs="Calibri"/>
                <w:sz w:val="20"/>
                <w:szCs w:val="20"/>
              </w:rPr>
            </w:pPr>
            <w:r w:rsidRPr="0070009C">
              <w:rPr>
                <w:rFonts w:ascii="Calibri" w:hAnsi="Calibri" w:cs="Calibri"/>
                <w:sz w:val="20"/>
                <w:szCs w:val="20"/>
              </w:rPr>
              <w:t>Average catch 2019-2023 (t)</w:t>
            </w:r>
          </w:p>
        </w:tc>
        <w:tc>
          <w:tcPr>
            <w:tcW w:w="2465" w:type="dxa"/>
            <w:vAlign w:val="center"/>
          </w:tcPr>
          <w:p w14:paraId="3D5A7491" w14:textId="77777777" w:rsidR="00296747" w:rsidRPr="0070009C" w:rsidRDefault="00296747" w:rsidP="000D6E29">
            <w:pPr>
              <w:rPr>
                <w:rFonts w:ascii="Calibri" w:hAnsi="Calibri" w:cs="Calibri"/>
                <w:sz w:val="20"/>
                <w:szCs w:val="20"/>
              </w:rPr>
            </w:pPr>
            <w:r w:rsidRPr="0070009C">
              <w:rPr>
                <w:rFonts w:ascii="Calibri" w:hAnsi="Calibri" w:cs="Calibri"/>
                <w:sz w:val="20"/>
                <w:szCs w:val="20"/>
              </w:rPr>
              <w:t>31,898</w:t>
            </w:r>
          </w:p>
          <w:p w14:paraId="5236C0C2" w14:textId="77777777" w:rsidR="00296747" w:rsidRPr="0070009C" w:rsidRDefault="00296747" w:rsidP="000D6E29">
            <w:pPr>
              <w:rPr>
                <w:rFonts w:ascii="Calibri" w:hAnsi="Calibri" w:cs="Calibri"/>
                <w:sz w:val="20"/>
                <w:szCs w:val="20"/>
              </w:rPr>
            </w:pPr>
            <w:r w:rsidRPr="0070009C">
              <w:rPr>
                <w:rFonts w:ascii="Calibri" w:hAnsi="Calibri" w:cs="Calibri"/>
                <w:sz w:val="20"/>
                <w:szCs w:val="20"/>
              </w:rPr>
              <w:t>33,888</w:t>
            </w:r>
          </w:p>
        </w:tc>
        <w:tc>
          <w:tcPr>
            <w:tcW w:w="1778" w:type="dxa"/>
            <w:vMerge w:val="restart"/>
            <w:shd w:val="clear" w:color="auto" w:fill="92D050"/>
            <w:vAlign w:val="center"/>
          </w:tcPr>
          <w:p w14:paraId="198DA367" w14:textId="77777777" w:rsidR="00296747" w:rsidRPr="0070009C" w:rsidRDefault="00296747" w:rsidP="000D6E29">
            <w:pPr>
              <w:keepNext/>
              <w:keepLines/>
              <w:jc w:val="center"/>
              <w:outlineLvl w:val="0"/>
              <w:rPr>
                <w:rFonts w:ascii="Calibri" w:hAnsi="Calibri" w:cs="Calibri"/>
                <w:b/>
                <w:bCs/>
                <w:smallCaps/>
                <w:kern w:val="32"/>
                <w:sz w:val="20"/>
                <w:szCs w:val="20"/>
              </w:rPr>
            </w:pPr>
            <w:r w:rsidRPr="0070009C">
              <w:rPr>
                <w:rFonts w:ascii="Calibri" w:hAnsi="Calibri" w:cs="Calibri"/>
                <w:b/>
                <w:bCs/>
                <w:smallCaps/>
                <w:sz w:val="20"/>
                <w:szCs w:val="20"/>
              </w:rPr>
              <w:t xml:space="preserve">92.3 % </w:t>
            </w:r>
          </w:p>
        </w:tc>
      </w:tr>
      <w:tr w:rsidR="00296747" w:rsidRPr="00AE73E7" w14:paraId="4E654AAB" w14:textId="77777777" w:rsidTr="000D6E29">
        <w:trPr>
          <w:trHeight w:val="993"/>
          <w:jc w:val="center"/>
        </w:trPr>
        <w:tc>
          <w:tcPr>
            <w:tcW w:w="2370" w:type="dxa"/>
            <w:vMerge/>
            <w:vAlign w:val="center"/>
          </w:tcPr>
          <w:p w14:paraId="60FC6C7B" w14:textId="77777777" w:rsidR="00296747" w:rsidRPr="00AE73E7" w:rsidRDefault="00296747" w:rsidP="000D6E29">
            <w:pPr>
              <w:jc w:val="center"/>
              <w:rPr>
                <w:rFonts w:ascii="Calibri" w:hAnsi="Calibri" w:cs="Calibri"/>
                <w:sz w:val="20"/>
                <w:szCs w:val="20"/>
              </w:rPr>
            </w:pPr>
          </w:p>
        </w:tc>
        <w:tc>
          <w:tcPr>
            <w:tcW w:w="2755" w:type="dxa"/>
            <w:vAlign w:val="center"/>
          </w:tcPr>
          <w:p w14:paraId="4EDA990D" w14:textId="77777777" w:rsidR="00296747" w:rsidRPr="0029109F" w:rsidRDefault="00296747" w:rsidP="000D6E29">
            <w:pPr>
              <w:tabs>
                <w:tab w:val="right" w:pos="932"/>
                <w:tab w:val="left" w:pos="1168"/>
              </w:tabs>
              <w:jc w:val="right"/>
              <w:rPr>
                <w:rFonts w:asciiTheme="minorHAnsi" w:hAnsiTheme="minorHAnsi" w:cstheme="minorHAnsi"/>
                <w:color w:val="000000"/>
                <w:sz w:val="20"/>
                <w:szCs w:val="20"/>
                <w:vertAlign w:val="superscript"/>
                <w:lang w:val="fr-FR"/>
              </w:rPr>
            </w:pPr>
            <w:r w:rsidRPr="0029109F">
              <w:rPr>
                <w:rFonts w:asciiTheme="minorHAnsi" w:hAnsiTheme="minorHAnsi" w:cstheme="minorHAnsi"/>
                <w:color w:val="000000"/>
                <w:sz w:val="20"/>
                <w:szCs w:val="20"/>
                <w:lang w:val="fr-FR"/>
              </w:rPr>
              <w:t>MSY (1,000 t) (80% CI)</w:t>
            </w:r>
            <w:r>
              <w:rPr>
                <w:rFonts w:asciiTheme="minorHAnsi" w:hAnsiTheme="minorHAnsi" w:cstheme="minorHAnsi"/>
                <w:color w:val="000000"/>
                <w:sz w:val="20"/>
                <w:szCs w:val="20"/>
                <w:vertAlign w:val="superscript"/>
                <w:lang w:val="fr-FR"/>
              </w:rPr>
              <w:t>4</w:t>
            </w:r>
          </w:p>
          <w:p w14:paraId="332E76EB" w14:textId="77777777" w:rsidR="00296747" w:rsidRPr="0029109F" w:rsidRDefault="00296747" w:rsidP="000D6E29">
            <w:pPr>
              <w:tabs>
                <w:tab w:val="right" w:pos="932"/>
                <w:tab w:val="left" w:pos="1168"/>
              </w:tabs>
              <w:jc w:val="right"/>
              <w:rPr>
                <w:rFonts w:asciiTheme="minorHAnsi" w:hAnsiTheme="minorHAnsi" w:cstheme="minorHAnsi"/>
                <w:color w:val="000000"/>
                <w:sz w:val="20"/>
                <w:szCs w:val="20"/>
                <w:lang w:val="fr-FR"/>
              </w:rPr>
            </w:pPr>
            <w:r w:rsidRPr="0029109F">
              <w:rPr>
                <w:rFonts w:asciiTheme="minorHAnsi" w:hAnsiTheme="minorHAnsi" w:cstheme="minorHAnsi"/>
                <w:color w:val="000000"/>
                <w:sz w:val="20"/>
                <w:szCs w:val="20"/>
                <w:lang w:val="fr-FR"/>
              </w:rPr>
              <w:t>F</w:t>
            </w:r>
            <w:r w:rsidRPr="0029109F">
              <w:rPr>
                <w:rFonts w:asciiTheme="minorHAnsi" w:hAnsiTheme="minorHAnsi" w:cstheme="minorHAnsi"/>
                <w:color w:val="000000"/>
                <w:sz w:val="20"/>
                <w:szCs w:val="20"/>
                <w:vertAlign w:val="subscript"/>
                <w:lang w:val="fr-FR"/>
              </w:rPr>
              <w:t>MSY</w:t>
            </w:r>
            <w:r w:rsidRPr="0029109F">
              <w:rPr>
                <w:rFonts w:asciiTheme="minorHAnsi" w:hAnsiTheme="minorHAnsi" w:cstheme="minorHAnsi"/>
                <w:color w:val="000000"/>
                <w:sz w:val="20"/>
                <w:szCs w:val="20"/>
                <w:lang w:val="fr-FR"/>
              </w:rPr>
              <w:t xml:space="preserve"> (80% CI)</w:t>
            </w:r>
            <w:r>
              <w:rPr>
                <w:rFonts w:asciiTheme="minorHAnsi" w:hAnsiTheme="minorHAnsi" w:cstheme="minorHAnsi"/>
                <w:color w:val="000000"/>
                <w:sz w:val="20"/>
                <w:szCs w:val="20"/>
                <w:vertAlign w:val="superscript"/>
                <w:lang w:val="fr-FR"/>
              </w:rPr>
              <w:t>4</w:t>
            </w:r>
            <w:r w:rsidRPr="0029109F">
              <w:rPr>
                <w:rFonts w:asciiTheme="minorHAnsi" w:hAnsiTheme="minorHAnsi" w:cstheme="minorHAnsi"/>
                <w:color w:val="000000"/>
                <w:sz w:val="20"/>
                <w:szCs w:val="20"/>
                <w:vertAlign w:val="superscript"/>
                <w:lang w:val="fr-FR"/>
              </w:rPr>
              <w:t xml:space="preserve"> </w:t>
            </w:r>
          </w:p>
          <w:p w14:paraId="1894DE21" w14:textId="77777777" w:rsidR="00296747" w:rsidRPr="0029109F" w:rsidRDefault="00296747" w:rsidP="000D6E29">
            <w:pPr>
              <w:tabs>
                <w:tab w:val="right" w:pos="932"/>
                <w:tab w:val="left" w:pos="1168"/>
              </w:tabs>
              <w:jc w:val="right"/>
              <w:rPr>
                <w:rFonts w:asciiTheme="minorHAnsi" w:hAnsiTheme="minorHAnsi" w:cstheme="minorHAnsi"/>
                <w:color w:val="000000"/>
                <w:sz w:val="20"/>
                <w:szCs w:val="20"/>
                <w:lang w:val="fr-FR"/>
              </w:rPr>
            </w:pPr>
            <w:r w:rsidRPr="0029109F">
              <w:rPr>
                <w:rFonts w:asciiTheme="minorHAnsi" w:hAnsiTheme="minorHAnsi" w:cstheme="minorHAnsi"/>
                <w:color w:val="000000"/>
                <w:sz w:val="20"/>
                <w:szCs w:val="20"/>
                <w:lang w:val="fr-FR"/>
              </w:rPr>
              <w:t>SB</w:t>
            </w:r>
            <w:r w:rsidRPr="0029109F">
              <w:rPr>
                <w:rFonts w:asciiTheme="minorHAnsi" w:hAnsiTheme="minorHAnsi" w:cstheme="minorHAnsi"/>
                <w:color w:val="000000"/>
                <w:sz w:val="20"/>
                <w:szCs w:val="20"/>
                <w:vertAlign w:val="subscript"/>
                <w:lang w:val="fr-FR"/>
              </w:rPr>
              <w:t>MSY</w:t>
            </w:r>
            <w:r w:rsidRPr="0029109F">
              <w:rPr>
                <w:rFonts w:asciiTheme="minorHAnsi" w:hAnsiTheme="minorHAnsi" w:cstheme="minorHAnsi"/>
                <w:color w:val="000000"/>
                <w:sz w:val="20"/>
                <w:szCs w:val="20"/>
                <w:lang w:val="fr-FR"/>
              </w:rPr>
              <w:t xml:space="preserve"> (1,000 t) (80% CI)</w:t>
            </w:r>
            <w:r>
              <w:rPr>
                <w:rFonts w:asciiTheme="minorHAnsi" w:hAnsiTheme="minorHAnsi" w:cstheme="minorHAnsi"/>
                <w:color w:val="000000"/>
                <w:sz w:val="20"/>
                <w:szCs w:val="20"/>
                <w:vertAlign w:val="superscript"/>
                <w:lang w:val="fr-FR"/>
              </w:rPr>
              <w:t>4</w:t>
            </w:r>
            <w:r w:rsidRPr="0029109F">
              <w:rPr>
                <w:rFonts w:asciiTheme="minorHAnsi" w:hAnsiTheme="minorHAnsi" w:cstheme="minorHAnsi"/>
                <w:color w:val="000000"/>
                <w:sz w:val="20"/>
                <w:szCs w:val="20"/>
                <w:vertAlign w:val="superscript"/>
                <w:lang w:val="fr-FR"/>
              </w:rPr>
              <w:t xml:space="preserve"> </w:t>
            </w:r>
          </w:p>
          <w:p w14:paraId="221A59C7" w14:textId="77777777" w:rsidR="00296747" w:rsidRPr="0029109F" w:rsidRDefault="00296747" w:rsidP="000D6E29">
            <w:pPr>
              <w:tabs>
                <w:tab w:val="right" w:pos="932"/>
                <w:tab w:val="left" w:pos="1168"/>
              </w:tabs>
              <w:jc w:val="right"/>
              <w:rPr>
                <w:rFonts w:asciiTheme="minorHAnsi" w:hAnsiTheme="minorHAnsi" w:cstheme="minorHAnsi"/>
                <w:color w:val="000000"/>
                <w:sz w:val="20"/>
                <w:szCs w:val="20"/>
                <w:lang w:val="fr-FR"/>
              </w:rPr>
            </w:pPr>
            <w:r w:rsidRPr="0029109F">
              <w:rPr>
                <w:rFonts w:asciiTheme="minorHAnsi" w:hAnsiTheme="minorHAnsi" w:cstheme="minorHAnsi"/>
                <w:color w:val="000000"/>
                <w:sz w:val="20"/>
                <w:szCs w:val="20"/>
                <w:lang w:val="fr-FR"/>
              </w:rPr>
              <w:t>F</w:t>
            </w:r>
            <w:r w:rsidRPr="0029109F">
              <w:rPr>
                <w:rFonts w:asciiTheme="minorHAnsi" w:hAnsiTheme="minorHAnsi" w:cstheme="minorHAnsi"/>
                <w:color w:val="000000"/>
                <w:sz w:val="20"/>
                <w:szCs w:val="20"/>
                <w:vertAlign w:val="subscript"/>
                <w:lang w:val="fr-FR"/>
              </w:rPr>
              <w:t>20</w:t>
            </w:r>
            <w:r w:rsidRPr="0029109F">
              <w:rPr>
                <w:rFonts w:asciiTheme="minorHAnsi" w:eastAsia="SimSun" w:hAnsiTheme="minorHAnsi" w:cstheme="minorHAnsi"/>
                <w:color w:val="000000"/>
                <w:sz w:val="20"/>
                <w:szCs w:val="20"/>
                <w:vertAlign w:val="subscript"/>
                <w:lang w:val="fr-FR" w:eastAsia="zh-CN"/>
              </w:rPr>
              <w:t>23</w:t>
            </w:r>
            <w:r w:rsidRPr="0029109F">
              <w:rPr>
                <w:rFonts w:asciiTheme="minorHAnsi" w:hAnsiTheme="minorHAnsi" w:cstheme="minorHAnsi"/>
                <w:color w:val="000000"/>
                <w:sz w:val="20"/>
                <w:szCs w:val="20"/>
                <w:vertAlign w:val="subscript"/>
                <w:lang w:val="fr-FR"/>
              </w:rPr>
              <w:t>/</w:t>
            </w:r>
            <w:r w:rsidRPr="0029109F">
              <w:rPr>
                <w:rFonts w:asciiTheme="minorHAnsi" w:hAnsiTheme="minorHAnsi" w:cstheme="minorHAnsi"/>
                <w:color w:val="000000"/>
                <w:sz w:val="20"/>
                <w:szCs w:val="20"/>
                <w:lang w:val="fr-FR"/>
              </w:rPr>
              <w:t>F</w:t>
            </w:r>
            <w:r w:rsidRPr="0029109F">
              <w:rPr>
                <w:rFonts w:asciiTheme="minorHAnsi" w:hAnsiTheme="minorHAnsi" w:cstheme="minorHAnsi"/>
                <w:color w:val="000000"/>
                <w:sz w:val="20"/>
                <w:szCs w:val="20"/>
                <w:vertAlign w:val="subscript"/>
                <w:lang w:val="fr-FR"/>
              </w:rPr>
              <w:t xml:space="preserve">MSY </w:t>
            </w:r>
            <w:r w:rsidRPr="0029109F">
              <w:rPr>
                <w:rFonts w:asciiTheme="minorHAnsi" w:hAnsiTheme="minorHAnsi" w:cstheme="minorHAnsi"/>
                <w:color w:val="000000"/>
                <w:sz w:val="20"/>
                <w:szCs w:val="20"/>
                <w:lang w:val="fr-FR"/>
              </w:rPr>
              <w:t>(80% CI)</w:t>
            </w:r>
            <w:r>
              <w:rPr>
                <w:rFonts w:asciiTheme="minorHAnsi" w:hAnsiTheme="minorHAnsi" w:cstheme="minorHAnsi"/>
                <w:color w:val="000000"/>
                <w:sz w:val="20"/>
                <w:szCs w:val="20"/>
                <w:vertAlign w:val="superscript"/>
                <w:lang w:val="fr-FR"/>
              </w:rPr>
              <w:t>4</w:t>
            </w:r>
            <w:r w:rsidRPr="0029109F">
              <w:rPr>
                <w:rFonts w:asciiTheme="minorHAnsi" w:hAnsiTheme="minorHAnsi" w:cstheme="minorHAnsi"/>
                <w:color w:val="000000"/>
                <w:sz w:val="20"/>
                <w:szCs w:val="20"/>
                <w:vertAlign w:val="superscript"/>
                <w:lang w:val="fr-FR"/>
              </w:rPr>
              <w:t xml:space="preserve"> </w:t>
            </w:r>
          </w:p>
          <w:p w14:paraId="67F2ED33" w14:textId="77777777" w:rsidR="00296747" w:rsidRPr="0029109F" w:rsidRDefault="00296747" w:rsidP="000D6E29">
            <w:pPr>
              <w:tabs>
                <w:tab w:val="right" w:pos="932"/>
                <w:tab w:val="left" w:pos="1168"/>
              </w:tabs>
              <w:jc w:val="right"/>
              <w:rPr>
                <w:rFonts w:asciiTheme="minorHAnsi" w:hAnsiTheme="minorHAnsi" w:cstheme="minorHAnsi"/>
                <w:color w:val="000000"/>
                <w:sz w:val="20"/>
                <w:szCs w:val="20"/>
                <w:lang w:val="fr-FR"/>
              </w:rPr>
            </w:pPr>
            <w:r w:rsidRPr="0029109F">
              <w:rPr>
                <w:rFonts w:asciiTheme="minorHAnsi" w:hAnsiTheme="minorHAnsi" w:cstheme="minorHAnsi"/>
                <w:color w:val="000000"/>
                <w:sz w:val="20"/>
                <w:szCs w:val="20"/>
                <w:lang w:val="fr-FR"/>
              </w:rPr>
              <w:t>SB</w:t>
            </w:r>
            <w:r w:rsidRPr="0029109F">
              <w:rPr>
                <w:rFonts w:asciiTheme="minorHAnsi" w:hAnsiTheme="minorHAnsi" w:cstheme="minorHAnsi"/>
                <w:color w:val="000000"/>
                <w:sz w:val="20"/>
                <w:szCs w:val="20"/>
                <w:vertAlign w:val="subscript"/>
                <w:lang w:val="fr-FR"/>
              </w:rPr>
              <w:t>20</w:t>
            </w:r>
            <w:r w:rsidRPr="0029109F">
              <w:rPr>
                <w:rFonts w:asciiTheme="minorHAnsi" w:eastAsia="SimSun" w:hAnsiTheme="minorHAnsi" w:cstheme="minorHAnsi"/>
                <w:color w:val="000000"/>
                <w:sz w:val="20"/>
                <w:szCs w:val="20"/>
                <w:vertAlign w:val="subscript"/>
                <w:lang w:val="fr-FR" w:eastAsia="zh-CN"/>
              </w:rPr>
              <w:t>23</w:t>
            </w:r>
            <w:r w:rsidRPr="0029109F">
              <w:rPr>
                <w:rFonts w:asciiTheme="minorHAnsi" w:hAnsiTheme="minorHAnsi" w:cstheme="minorHAnsi"/>
                <w:color w:val="000000"/>
                <w:sz w:val="20"/>
                <w:szCs w:val="20"/>
                <w:vertAlign w:val="subscript"/>
                <w:lang w:val="fr-FR"/>
              </w:rPr>
              <w:t>/</w:t>
            </w:r>
            <w:r w:rsidRPr="0029109F">
              <w:rPr>
                <w:rFonts w:asciiTheme="minorHAnsi" w:hAnsiTheme="minorHAnsi" w:cstheme="minorHAnsi"/>
                <w:color w:val="000000"/>
                <w:sz w:val="20"/>
                <w:szCs w:val="20"/>
                <w:lang w:val="fr-FR"/>
              </w:rPr>
              <w:t>SB</w:t>
            </w:r>
            <w:r w:rsidRPr="0029109F">
              <w:rPr>
                <w:rFonts w:asciiTheme="minorHAnsi" w:hAnsiTheme="minorHAnsi" w:cstheme="minorHAnsi"/>
                <w:color w:val="000000"/>
                <w:sz w:val="20"/>
                <w:szCs w:val="20"/>
                <w:vertAlign w:val="subscript"/>
                <w:lang w:val="fr-FR"/>
              </w:rPr>
              <w:t xml:space="preserve">MSY </w:t>
            </w:r>
            <w:r w:rsidRPr="0029109F">
              <w:rPr>
                <w:rFonts w:asciiTheme="minorHAnsi" w:hAnsiTheme="minorHAnsi" w:cstheme="minorHAnsi"/>
                <w:color w:val="000000"/>
                <w:sz w:val="20"/>
                <w:szCs w:val="20"/>
                <w:lang w:val="fr-FR"/>
              </w:rPr>
              <w:t>(80% CI)</w:t>
            </w:r>
            <w:r>
              <w:rPr>
                <w:rFonts w:asciiTheme="minorHAnsi" w:hAnsiTheme="minorHAnsi" w:cstheme="minorHAnsi"/>
                <w:color w:val="000000"/>
                <w:sz w:val="20"/>
                <w:szCs w:val="20"/>
                <w:vertAlign w:val="superscript"/>
                <w:lang w:val="fr-FR"/>
              </w:rPr>
              <w:t>4</w:t>
            </w:r>
            <w:r w:rsidRPr="0029109F">
              <w:rPr>
                <w:rFonts w:asciiTheme="minorHAnsi" w:hAnsiTheme="minorHAnsi" w:cstheme="minorHAnsi"/>
                <w:color w:val="000000"/>
                <w:sz w:val="20"/>
                <w:szCs w:val="20"/>
                <w:vertAlign w:val="superscript"/>
                <w:lang w:val="fr-FR"/>
              </w:rPr>
              <w:t xml:space="preserve"> </w:t>
            </w:r>
          </w:p>
          <w:p w14:paraId="6D82A96C" w14:textId="77777777" w:rsidR="00296747" w:rsidRPr="0029109F" w:rsidRDefault="00296747" w:rsidP="000D6E29">
            <w:pPr>
              <w:tabs>
                <w:tab w:val="right" w:pos="932"/>
                <w:tab w:val="left" w:pos="1168"/>
              </w:tabs>
              <w:spacing w:after="60"/>
              <w:jc w:val="right"/>
              <w:rPr>
                <w:rFonts w:asciiTheme="minorHAnsi" w:hAnsiTheme="minorHAnsi" w:cstheme="minorHAnsi"/>
                <w:sz w:val="20"/>
                <w:szCs w:val="20"/>
                <w:lang w:val="it-IT"/>
              </w:rPr>
            </w:pPr>
            <w:r w:rsidRPr="0029109F">
              <w:rPr>
                <w:rFonts w:asciiTheme="minorHAnsi" w:hAnsiTheme="minorHAnsi" w:cstheme="minorHAnsi"/>
                <w:color w:val="000000"/>
                <w:sz w:val="20"/>
                <w:szCs w:val="20"/>
                <w:lang w:val="fr-FR"/>
              </w:rPr>
              <w:t>SB</w:t>
            </w:r>
            <w:r w:rsidRPr="0029109F">
              <w:rPr>
                <w:rFonts w:asciiTheme="minorHAnsi" w:hAnsiTheme="minorHAnsi" w:cstheme="minorHAnsi"/>
                <w:color w:val="000000"/>
                <w:sz w:val="20"/>
                <w:szCs w:val="20"/>
                <w:vertAlign w:val="subscript"/>
                <w:lang w:val="fr-FR"/>
              </w:rPr>
              <w:t>20</w:t>
            </w:r>
            <w:r w:rsidRPr="0029109F">
              <w:rPr>
                <w:rFonts w:asciiTheme="minorHAnsi" w:eastAsia="SimSun" w:hAnsiTheme="minorHAnsi" w:cstheme="minorHAnsi"/>
                <w:color w:val="000000"/>
                <w:sz w:val="20"/>
                <w:szCs w:val="20"/>
                <w:vertAlign w:val="subscript"/>
                <w:lang w:val="fr-FR" w:eastAsia="zh-CN"/>
              </w:rPr>
              <w:t>23</w:t>
            </w:r>
            <w:r w:rsidRPr="0029109F">
              <w:rPr>
                <w:rFonts w:asciiTheme="minorHAnsi" w:hAnsiTheme="minorHAnsi" w:cstheme="minorHAnsi"/>
                <w:color w:val="000000"/>
                <w:sz w:val="20"/>
                <w:szCs w:val="20"/>
                <w:lang w:val="fr-FR"/>
              </w:rPr>
              <w:t>/SB</w:t>
            </w:r>
            <w:r w:rsidRPr="0029109F">
              <w:rPr>
                <w:rFonts w:asciiTheme="minorHAnsi" w:hAnsiTheme="minorHAnsi" w:cstheme="minorHAnsi"/>
                <w:color w:val="000000"/>
                <w:sz w:val="20"/>
                <w:szCs w:val="20"/>
                <w:vertAlign w:val="subscript"/>
                <w:lang w:val="fr-FR"/>
              </w:rPr>
              <w:t xml:space="preserve">0 </w:t>
            </w:r>
            <w:r w:rsidRPr="0029109F">
              <w:rPr>
                <w:rFonts w:asciiTheme="minorHAnsi" w:hAnsiTheme="minorHAnsi" w:cstheme="minorHAnsi"/>
                <w:color w:val="000000"/>
                <w:sz w:val="20"/>
                <w:szCs w:val="20"/>
                <w:lang w:val="fr-FR"/>
              </w:rPr>
              <w:t>(80% CI)</w:t>
            </w:r>
            <w:r>
              <w:rPr>
                <w:rFonts w:asciiTheme="minorHAnsi" w:hAnsiTheme="minorHAnsi" w:cstheme="minorHAnsi"/>
                <w:color w:val="000000"/>
                <w:sz w:val="20"/>
                <w:szCs w:val="20"/>
                <w:vertAlign w:val="superscript"/>
                <w:lang w:val="fr-FR"/>
              </w:rPr>
              <w:t>4</w:t>
            </w:r>
            <w:r w:rsidRPr="0029109F">
              <w:rPr>
                <w:rFonts w:asciiTheme="minorHAnsi" w:hAnsiTheme="minorHAnsi" w:cstheme="minorHAnsi"/>
                <w:color w:val="000000"/>
                <w:sz w:val="20"/>
                <w:szCs w:val="20"/>
                <w:vertAlign w:val="superscript"/>
                <w:lang w:val="fr-FR"/>
              </w:rPr>
              <w:t xml:space="preserve"> </w:t>
            </w:r>
          </w:p>
        </w:tc>
        <w:tc>
          <w:tcPr>
            <w:tcW w:w="2465" w:type="dxa"/>
          </w:tcPr>
          <w:p w14:paraId="48AA83A7" w14:textId="670BC6CF" w:rsidR="00296747" w:rsidRPr="0029109F" w:rsidRDefault="00296747" w:rsidP="000D6E29">
            <w:pPr>
              <w:rPr>
                <w:rFonts w:asciiTheme="minorHAnsi" w:hAnsiTheme="minorHAnsi" w:cstheme="minorHAnsi"/>
                <w:color w:val="000000"/>
                <w:sz w:val="20"/>
                <w:szCs w:val="20"/>
              </w:rPr>
            </w:pPr>
            <w:r w:rsidRPr="0029109F">
              <w:rPr>
                <w:rFonts w:asciiTheme="minorHAnsi" w:hAnsiTheme="minorHAnsi" w:cstheme="minorHAnsi"/>
                <w:color w:val="000000"/>
                <w:sz w:val="20"/>
                <w:szCs w:val="20"/>
              </w:rPr>
              <w:t>3</w:t>
            </w:r>
            <w:r w:rsidRPr="0029109F">
              <w:rPr>
                <w:rFonts w:asciiTheme="minorHAnsi" w:eastAsia="SimSun" w:hAnsiTheme="minorHAnsi" w:cstheme="minorHAnsi"/>
                <w:color w:val="000000"/>
                <w:sz w:val="20"/>
                <w:szCs w:val="20"/>
                <w:lang w:val="en-US" w:eastAsia="zh-CN"/>
              </w:rPr>
              <w:t>4</w:t>
            </w:r>
            <w:r w:rsidRPr="0029109F">
              <w:rPr>
                <w:rFonts w:asciiTheme="minorHAnsi" w:hAnsiTheme="minorHAnsi" w:cstheme="minorHAnsi"/>
                <w:color w:val="000000"/>
                <w:sz w:val="20"/>
                <w:szCs w:val="20"/>
              </w:rPr>
              <w:t>.</w:t>
            </w:r>
            <w:r w:rsidRPr="0029109F">
              <w:rPr>
                <w:rFonts w:asciiTheme="minorHAnsi" w:eastAsia="SimSun" w:hAnsiTheme="minorHAnsi" w:cstheme="minorHAnsi"/>
                <w:color w:val="000000"/>
                <w:sz w:val="20"/>
                <w:szCs w:val="20"/>
                <w:lang w:val="en-US" w:eastAsia="zh-CN"/>
              </w:rPr>
              <w:t>3</w:t>
            </w:r>
            <w:r w:rsidRPr="0029109F">
              <w:rPr>
                <w:rFonts w:asciiTheme="minorHAnsi" w:hAnsiTheme="minorHAnsi" w:cstheme="minorHAnsi"/>
                <w:color w:val="000000"/>
                <w:sz w:val="20"/>
                <w:szCs w:val="20"/>
              </w:rPr>
              <w:t xml:space="preserve"> (</w:t>
            </w:r>
            <w:r w:rsidRPr="0029109F">
              <w:rPr>
                <w:rFonts w:asciiTheme="minorHAnsi" w:eastAsia="SimSun" w:hAnsiTheme="minorHAnsi" w:cstheme="minorHAnsi"/>
                <w:color w:val="000000"/>
                <w:sz w:val="20"/>
                <w:szCs w:val="20"/>
                <w:lang w:val="en-US" w:eastAsia="zh-CN"/>
              </w:rPr>
              <w:t>28</w:t>
            </w:r>
            <w:r w:rsidRPr="0029109F">
              <w:rPr>
                <w:rFonts w:asciiTheme="minorHAnsi" w:hAnsiTheme="minorHAnsi" w:cstheme="minorHAnsi"/>
                <w:color w:val="000000"/>
                <w:sz w:val="20"/>
                <w:szCs w:val="20"/>
              </w:rPr>
              <w:t>.</w:t>
            </w:r>
            <w:r w:rsidRPr="0029109F">
              <w:rPr>
                <w:rFonts w:asciiTheme="minorHAnsi" w:eastAsia="SimSun" w:hAnsiTheme="minorHAnsi" w:cstheme="minorHAnsi"/>
                <w:color w:val="000000"/>
                <w:sz w:val="20"/>
                <w:szCs w:val="20"/>
                <w:lang w:val="en-US" w:eastAsia="zh-CN"/>
              </w:rPr>
              <w:t>7</w:t>
            </w:r>
            <w:r w:rsidRPr="0029109F">
              <w:rPr>
                <w:rFonts w:asciiTheme="minorHAnsi" w:hAnsiTheme="minorHAnsi" w:cstheme="minorHAnsi"/>
                <w:color w:val="000000"/>
                <w:sz w:val="20"/>
                <w:szCs w:val="20"/>
              </w:rPr>
              <w:t xml:space="preserve"> - </w:t>
            </w:r>
            <w:r w:rsidRPr="0029109F">
              <w:rPr>
                <w:rFonts w:asciiTheme="minorHAnsi" w:eastAsia="SimSun" w:hAnsiTheme="minorHAnsi" w:cstheme="minorHAnsi"/>
                <w:color w:val="000000"/>
                <w:sz w:val="20"/>
                <w:szCs w:val="20"/>
                <w:lang w:val="en-US" w:eastAsia="zh-CN"/>
              </w:rPr>
              <w:t>42</w:t>
            </w:r>
            <w:r w:rsidRPr="0029109F">
              <w:rPr>
                <w:rFonts w:asciiTheme="minorHAnsi" w:hAnsiTheme="minorHAnsi" w:cstheme="minorHAnsi"/>
                <w:color w:val="000000"/>
                <w:sz w:val="20"/>
                <w:szCs w:val="20"/>
              </w:rPr>
              <w:t>.</w:t>
            </w:r>
            <w:r w:rsidRPr="0029109F">
              <w:rPr>
                <w:rFonts w:asciiTheme="minorHAnsi" w:eastAsia="SimSun" w:hAnsiTheme="minorHAnsi" w:cstheme="minorHAnsi"/>
                <w:color w:val="000000"/>
                <w:sz w:val="20"/>
                <w:szCs w:val="20"/>
                <w:lang w:val="en-US" w:eastAsia="zh-CN"/>
              </w:rPr>
              <w:t>2</w:t>
            </w:r>
            <w:r w:rsidRPr="0029109F">
              <w:rPr>
                <w:rFonts w:asciiTheme="minorHAnsi" w:hAnsiTheme="minorHAnsi" w:cstheme="minorHAnsi"/>
                <w:color w:val="000000"/>
                <w:sz w:val="20"/>
                <w:szCs w:val="20"/>
              </w:rPr>
              <w:t>)</w:t>
            </w:r>
          </w:p>
          <w:p w14:paraId="4550012C" w14:textId="148CB940" w:rsidR="00296747" w:rsidRPr="00DF36F5" w:rsidRDefault="00296747" w:rsidP="000D6E29">
            <w:pPr>
              <w:rPr>
                <w:rFonts w:asciiTheme="minorHAnsi" w:hAnsiTheme="minorHAnsi" w:cstheme="minorHAnsi"/>
                <w:color w:val="000000"/>
                <w:sz w:val="20"/>
                <w:szCs w:val="20"/>
              </w:rPr>
            </w:pPr>
            <w:r w:rsidRPr="24659807">
              <w:rPr>
                <w:rFonts w:asciiTheme="minorHAnsi" w:hAnsiTheme="minorHAnsi" w:cstheme="minorBidi"/>
                <w:color w:val="000000" w:themeColor="text1"/>
                <w:sz w:val="20"/>
                <w:szCs w:val="20"/>
              </w:rPr>
              <w:t>0.</w:t>
            </w:r>
            <w:r w:rsidRPr="24659807">
              <w:rPr>
                <w:rFonts w:asciiTheme="minorHAnsi" w:eastAsia="SimSun" w:hAnsiTheme="minorHAnsi" w:cstheme="minorBidi"/>
                <w:color w:val="000000" w:themeColor="text1"/>
                <w:sz w:val="20"/>
                <w:szCs w:val="20"/>
                <w:lang w:val="en-US" w:eastAsia="zh-CN"/>
              </w:rPr>
              <w:t>20</w:t>
            </w:r>
            <w:r w:rsidRPr="24659807">
              <w:rPr>
                <w:rFonts w:asciiTheme="minorHAnsi" w:hAnsiTheme="minorHAnsi" w:cstheme="minorBidi"/>
                <w:color w:val="000000" w:themeColor="text1"/>
                <w:sz w:val="20"/>
                <w:szCs w:val="20"/>
              </w:rPr>
              <w:t xml:space="preserve"> (0.</w:t>
            </w:r>
            <w:r w:rsidRPr="24659807">
              <w:rPr>
                <w:rFonts w:asciiTheme="minorHAnsi" w:eastAsia="SimSun" w:hAnsiTheme="minorHAnsi" w:cstheme="minorBidi"/>
                <w:color w:val="000000" w:themeColor="text1"/>
                <w:sz w:val="20"/>
                <w:szCs w:val="20"/>
                <w:lang w:val="en-US" w:eastAsia="zh-CN"/>
              </w:rPr>
              <w:t>17</w:t>
            </w:r>
            <w:r w:rsidRPr="24659807">
              <w:rPr>
                <w:rFonts w:asciiTheme="minorHAnsi" w:hAnsiTheme="minorHAnsi" w:cstheme="minorBidi"/>
                <w:color w:val="000000" w:themeColor="text1"/>
                <w:sz w:val="20"/>
                <w:szCs w:val="20"/>
              </w:rPr>
              <w:t xml:space="preserve"> - 0.</w:t>
            </w:r>
            <w:r w:rsidRPr="24659807">
              <w:rPr>
                <w:rFonts w:asciiTheme="minorHAnsi" w:eastAsia="SimSun" w:hAnsiTheme="minorHAnsi" w:cstheme="minorBidi"/>
                <w:color w:val="000000" w:themeColor="text1"/>
                <w:sz w:val="20"/>
                <w:szCs w:val="20"/>
                <w:lang w:val="en-US" w:eastAsia="zh-CN"/>
              </w:rPr>
              <w:t>23</w:t>
            </w:r>
            <w:r w:rsidRPr="24659807">
              <w:rPr>
                <w:rFonts w:asciiTheme="minorHAnsi" w:hAnsiTheme="minorHAnsi" w:cstheme="minorBidi"/>
                <w:color w:val="000000" w:themeColor="text1"/>
                <w:sz w:val="20"/>
                <w:szCs w:val="20"/>
              </w:rPr>
              <w:t>)</w:t>
            </w:r>
          </w:p>
          <w:p w14:paraId="11E06BB0" w14:textId="3CD37AA0" w:rsidR="00296747" w:rsidRPr="00DF36F5" w:rsidRDefault="00296747" w:rsidP="000D6E29">
            <w:pPr>
              <w:rPr>
                <w:rFonts w:asciiTheme="minorHAnsi" w:hAnsiTheme="minorHAnsi" w:cstheme="minorHAnsi"/>
                <w:color w:val="000000"/>
                <w:sz w:val="20"/>
                <w:szCs w:val="20"/>
              </w:rPr>
            </w:pPr>
            <w:r w:rsidRPr="24659807">
              <w:rPr>
                <w:rFonts w:asciiTheme="minorHAnsi" w:eastAsia="SimSun" w:hAnsiTheme="minorHAnsi" w:cstheme="minorBidi"/>
                <w:color w:val="000000" w:themeColor="text1"/>
                <w:sz w:val="20"/>
                <w:szCs w:val="20"/>
                <w:lang w:val="en-US" w:eastAsia="zh-CN"/>
              </w:rPr>
              <w:t xml:space="preserve">174 </w:t>
            </w:r>
            <w:r w:rsidRPr="24659807">
              <w:rPr>
                <w:rFonts w:asciiTheme="minorHAnsi" w:hAnsiTheme="minorHAnsi" w:cstheme="minorBidi"/>
                <w:color w:val="000000" w:themeColor="text1"/>
                <w:sz w:val="20"/>
                <w:szCs w:val="20"/>
              </w:rPr>
              <w:t>(</w:t>
            </w:r>
            <w:r w:rsidRPr="24659807">
              <w:rPr>
                <w:rFonts w:asciiTheme="minorHAnsi" w:eastAsia="SimSun" w:hAnsiTheme="minorHAnsi" w:cstheme="minorBidi"/>
                <w:color w:val="000000" w:themeColor="text1"/>
                <w:sz w:val="20"/>
                <w:szCs w:val="20"/>
                <w:lang w:val="en-US" w:eastAsia="zh-CN"/>
              </w:rPr>
              <w:t>145</w:t>
            </w:r>
            <w:r w:rsidRPr="24659807">
              <w:rPr>
                <w:rFonts w:asciiTheme="minorHAnsi" w:hAnsiTheme="minorHAnsi" w:cstheme="minorBidi"/>
                <w:color w:val="000000" w:themeColor="text1"/>
                <w:sz w:val="20"/>
                <w:szCs w:val="20"/>
              </w:rPr>
              <w:t xml:space="preserve"> - </w:t>
            </w:r>
            <w:r w:rsidRPr="24659807">
              <w:rPr>
                <w:rFonts w:asciiTheme="minorHAnsi" w:eastAsia="SimSun" w:hAnsiTheme="minorHAnsi" w:cstheme="minorBidi"/>
                <w:color w:val="000000" w:themeColor="text1"/>
                <w:sz w:val="20"/>
                <w:szCs w:val="20"/>
                <w:lang w:val="en-US" w:eastAsia="zh-CN"/>
              </w:rPr>
              <w:t>212</w:t>
            </w:r>
            <w:r w:rsidRPr="24659807">
              <w:rPr>
                <w:rFonts w:asciiTheme="minorHAnsi" w:hAnsiTheme="minorHAnsi" w:cstheme="minorBidi"/>
                <w:color w:val="000000" w:themeColor="text1"/>
                <w:sz w:val="20"/>
                <w:szCs w:val="20"/>
              </w:rPr>
              <w:t>)</w:t>
            </w:r>
          </w:p>
          <w:p w14:paraId="698FED04" w14:textId="77777777" w:rsidR="00296747" w:rsidRPr="0029109F" w:rsidRDefault="00296747" w:rsidP="000D6E29">
            <w:pPr>
              <w:rPr>
                <w:rFonts w:asciiTheme="minorHAnsi" w:hAnsiTheme="minorHAnsi" w:cstheme="minorHAnsi"/>
                <w:color w:val="000000"/>
                <w:sz w:val="20"/>
                <w:szCs w:val="20"/>
              </w:rPr>
            </w:pPr>
            <w:r w:rsidRPr="0029109F">
              <w:rPr>
                <w:rFonts w:asciiTheme="minorHAnsi" w:hAnsiTheme="minorHAnsi" w:cstheme="minorHAnsi"/>
                <w:color w:val="000000"/>
                <w:sz w:val="20"/>
                <w:szCs w:val="20"/>
              </w:rPr>
              <w:t>0.6</w:t>
            </w:r>
            <w:r w:rsidRPr="0029109F">
              <w:rPr>
                <w:rFonts w:asciiTheme="minorHAnsi" w:eastAsia="SimSun" w:hAnsiTheme="minorHAnsi" w:cstheme="minorHAnsi"/>
                <w:color w:val="000000"/>
                <w:sz w:val="20"/>
                <w:szCs w:val="20"/>
                <w:lang w:val="en-US" w:eastAsia="zh-CN"/>
              </w:rPr>
              <w:t>9</w:t>
            </w:r>
            <w:r w:rsidRPr="0029109F">
              <w:rPr>
                <w:rFonts w:asciiTheme="minorHAnsi" w:hAnsiTheme="minorHAnsi" w:cstheme="minorHAnsi"/>
                <w:color w:val="000000"/>
                <w:sz w:val="20"/>
                <w:szCs w:val="20"/>
              </w:rPr>
              <w:t xml:space="preserve"> (0.</w:t>
            </w:r>
            <w:r w:rsidRPr="0029109F">
              <w:rPr>
                <w:rFonts w:asciiTheme="minorHAnsi" w:eastAsia="SimSun" w:hAnsiTheme="minorHAnsi" w:cstheme="minorHAnsi"/>
                <w:color w:val="000000"/>
                <w:sz w:val="20"/>
                <w:szCs w:val="20"/>
                <w:lang w:val="en-US" w:eastAsia="zh-CN"/>
              </w:rPr>
              <w:t>51</w:t>
            </w:r>
            <w:r w:rsidRPr="0029109F">
              <w:rPr>
                <w:rFonts w:asciiTheme="minorHAnsi" w:hAnsiTheme="minorHAnsi" w:cstheme="minorHAnsi"/>
                <w:color w:val="000000"/>
                <w:sz w:val="20"/>
                <w:szCs w:val="20"/>
              </w:rPr>
              <w:t xml:space="preserve"> - </w:t>
            </w:r>
            <w:r w:rsidRPr="0029109F">
              <w:rPr>
                <w:rFonts w:asciiTheme="minorHAnsi" w:eastAsia="SimSun" w:hAnsiTheme="minorHAnsi" w:cstheme="minorHAnsi"/>
                <w:color w:val="000000"/>
                <w:sz w:val="20"/>
                <w:szCs w:val="20"/>
                <w:lang w:val="en-US" w:eastAsia="zh-CN"/>
              </w:rPr>
              <w:t>0.94</w:t>
            </w:r>
            <w:r w:rsidRPr="0029109F">
              <w:rPr>
                <w:rFonts w:asciiTheme="minorHAnsi" w:hAnsiTheme="minorHAnsi" w:cstheme="minorHAnsi"/>
                <w:color w:val="000000"/>
                <w:sz w:val="20"/>
                <w:szCs w:val="20"/>
              </w:rPr>
              <w:t>)</w:t>
            </w:r>
          </w:p>
          <w:p w14:paraId="5184A77E" w14:textId="77777777" w:rsidR="00296747" w:rsidRPr="0029109F" w:rsidRDefault="00296747" w:rsidP="000D6E29">
            <w:pPr>
              <w:rPr>
                <w:rFonts w:asciiTheme="minorHAnsi" w:hAnsiTheme="minorHAnsi" w:cstheme="minorHAnsi"/>
                <w:color w:val="000000"/>
                <w:sz w:val="20"/>
                <w:szCs w:val="20"/>
              </w:rPr>
            </w:pPr>
            <w:r w:rsidRPr="0029109F">
              <w:rPr>
                <w:rFonts w:asciiTheme="minorHAnsi" w:hAnsiTheme="minorHAnsi" w:cstheme="minorHAnsi"/>
                <w:color w:val="000000"/>
                <w:sz w:val="20"/>
                <w:szCs w:val="20"/>
              </w:rPr>
              <w:t>1.3</w:t>
            </w:r>
            <w:r w:rsidRPr="0029109F">
              <w:rPr>
                <w:rFonts w:asciiTheme="minorHAnsi" w:eastAsia="SimSun" w:hAnsiTheme="minorHAnsi" w:cstheme="minorHAnsi"/>
                <w:color w:val="000000"/>
                <w:sz w:val="20"/>
                <w:szCs w:val="20"/>
                <w:lang w:val="en-US" w:eastAsia="zh-CN"/>
              </w:rPr>
              <w:t>4</w:t>
            </w:r>
            <w:r w:rsidRPr="0029109F">
              <w:rPr>
                <w:rFonts w:asciiTheme="minorHAnsi" w:hAnsiTheme="minorHAnsi" w:cstheme="minorHAnsi"/>
                <w:color w:val="000000"/>
                <w:sz w:val="20"/>
                <w:szCs w:val="20"/>
              </w:rPr>
              <w:t xml:space="preserve"> (1.</w:t>
            </w:r>
            <w:r w:rsidRPr="0029109F">
              <w:rPr>
                <w:rFonts w:asciiTheme="minorHAnsi" w:eastAsia="SimSun" w:hAnsiTheme="minorHAnsi" w:cstheme="minorHAnsi"/>
                <w:color w:val="000000"/>
                <w:sz w:val="20"/>
                <w:szCs w:val="20"/>
                <w:lang w:val="en-US" w:eastAsia="zh-CN"/>
              </w:rPr>
              <w:t>15</w:t>
            </w:r>
            <w:r w:rsidRPr="0029109F">
              <w:rPr>
                <w:rFonts w:asciiTheme="minorHAnsi" w:hAnsiTheme="minorHAnsi" w:cstheme="minorHAnsi"/>
                <w:color w:val="000000"/>
                <w:sz w:val="20"/>
                <w:szCs w:val="20"/>
              </w:rPr>
              <w:t xml:space="preserve"> - 1.</w:t>
            </w:r>
            <w:r w:rsidRPr="0029109F">
              <w:rPr>
                <w:rFonts w:asciiTheme="minorHAnsi" w:eastAsia="SimSun" w:hAnsiTheme="minorHAnsi" w:cstheme="minorHAnsi"/>
                <w:color w:val="000000"/>
                <w:sz w:val="20"/>
                <w:szCs w:val="20"/>
                <w:lang w:val="en-US" w:eastAsia="zh-CN"/>
              </w:rPr>
              <w:t>53</w:t>
            </w:r>
            <w:r w:rsidRPr="0029109F">
              <w:rPr>
                <w:rFonts w:asciiTheme="minorHAnsi" w:hAnsiTheme="minorHAnsi" w:cstheme="minorHAnsi"/>
                <w:color w:val="000000"/>
                <w:sz w:val="20"/>
                <w:szCs w:val="20"/>
              </w:rPr>
              <w:t>)</w:t>
            </w:r>
          </w:p>
          <w:p w14:paraId="691A5BF8" w14:textId="77777777" w:rsidR="00296747" w:rsidRPr="0029109F" w:rsidRDefault="00296747" w:rsidP="000D6E29">
            <w:pPr>
              <w:rPr>
                <w:rFonts w:asciiTheme="minorHAnsi" w:hAnsiTheme="minorHAnsi" w:cstheme="minorHAnsi"/>
                <w:sz w:val="20"/>
                <w:szCs w:val="20"/>
              </w:rPr>
            </w:pPr>
            <w:r w:rsidRPr="0029109F">
              <w:rPr>
                <w:rFonts w:asciiTheme="minorHAnsi" w:hAnsiTheme="minorHAnsi" w:cstheme="minorHAnsi"/>
                <w:color w:val="000000"/>
                <w:sz w:val="20"/>
                <w:szCs w:val="20"/>
              </w:rPr>
              <w:t>0.</w:t>
            </w:r>
            <w:r w:rsidRPr="0029109F">
              <w:rPr>
                <w:rFonts w:asciiTheme="minorHAnsi" w:eastAsia="SimSun" w:hAnsiTheme="minorHAnsi" w:cstheme="minorHAnsi"/>
                <w:color w:val="000000"/>
                <w:sz w:val="20"/>
                <w:szCs w:val="20"/>
                <w:lang w:val="en-US" w:eastAsia="zh-CN"/>
              </w:rPr>
              <w:t>67</w:t>
            </w:r>
            <w:r w:rsidRPr="0029109F">
              <w:rPr>
                <w:rFonts w:asciiTheme="minorHAnsi" w:hAnsiTheme="minorHAnsi" w:cstheme="minorHAnsi"/>
                <w:color w:val="000000"/>
                <w:sz w:val="20"/>
                <w:szCs w:val="20"/>
              </w:rPr>
              <w:t xml:space="preserve"> (0.</w:t>
            </w:r>
            <w:r w:rsidRPr="0029109F">
              <w:rPr>
                <w:rFonts w:asciiTheme="minorHAnsi" w:eastAsia="SimSun" w:hAnsiTheme="minorHAnsi" w:cstheme="minorHAnsi"/>
                <w:color w:val="000000"/>
                <w:sz w:val="20"/>
                <w:szCs w:val="20"/>
                <w:lang w:val="en-US" w:eastAsia="zh-CN"/>
              </w:rPr>
              <w:t>58</w:t>
            </w:r>
            <w:r w:rsidRPr="0029109F">
              <w:rPr>
                <w:rFonts w:asciiTheme="minorHAnsi" w:hAnsiTheme="minorHAnsi" w:cstheme="minorHAnsi"/>
                <w:color w:val="000000"/>
                <w:sz w:val="20"/>
                <w:szCs w:val="20"/>
              </w:rPr>
              <w:t xml:space="preserve"> - 0.</w:t>
            </w:r>
            <w:r w:rsidRPr="0029109F">
              <w:rPr>
                <w:rFonts w:asciiTheme="minorHAnsi" w:eastAsia="SimSun" w:hAnsiTheme="minorHAnsi" w:cstheme="minorHAnsi"/>
                <w:color w:val="000000"/>
                <w:sz w:val="20"/>
                <w:szCs w:val="20"/>
                <w:lang w:val="en-US" w:eastAsia="zh-CN"/>
              </w:rPr>
              <w:t>76</w:t>
            </w:r>
            <w:r w:rsidRPr="0029109F">
              <w:rPr>
                <w:rFonts w:asciiTheme="minorHAnsi" w:hAnsiTheme="minorHAnsi" w:cstheme="minorHAnsi"/>
                <w:color w:val="000000"/>
                <w:sz w:val="20"/>
                <w:szCs w:val="20"/>
              </w:rPr>
              <w:t>)</w:t>
            </w:r>
            <w:r w:rsidRPr="0029109F">
              <w:rPr>
                <w:rFonts w:asciiTheme="minorHAnsi" w:hAnsiTheme="minorHAnsi" w:cstheme="minorHAnsi"/>
                <w:color w:val="000000"/>
                <w:sz w:val="20"/>
                <w:szCs w:val="20"/>
                <w:u w:val="single"/>
              </w:rPr>
              <w:t xml:space="preserve"> </w:t>
            </w:r>
          </w:p>
        </w:tc>
        <w:tc>
          <w:tcPr>
            <w:tcW w:w="1778" w:type="dxa"/>
            <w:vMerge/>
            <w:vAlign w:val="center"/>
          </w:tcPr>
          <w:p w14:paraId="33473913" w14:textId="77777777" w:rsidR="00296747" w:rsidRPr="00AE73E7" w:rsidRDefault="00296747" w:rsidP="000D6E29">
            <w:pPr>
              <w:keepNext/>
              <w:keepLines/>
              <w:jc w:val="center"/>
              <w:outlineLvl w:val="0"/>
              <w:rPr>
                <w:rFonts w:ascii="Calibri" w:hAnsi="Calibri" w:cs="Calibri"/>
                <w:sz w:val="20"/>
                <w:szCs w:val="20"/>
              </w:rPr>
            </w:pPr>
          </w:p>
        </w:tc>
      </w:tr>
    </w:tbl>
    <w:p w14:paraId="1EEE67E0" w14:textId="77777777" w:rsidR="00296747" w:rsidRPr="00AE73E7" w:rsidRDefault="00296747" w:rsidP="00296747">
      <w:pPr>
        <w:ind w:left="720"/>
        <w:rPr>
          <w:rFonts w:ascii="Calibri" w:hAnsi="Calibri" w:cs="Calibri"/>
          <w:sz w:val="18"/>
          <w:szCs w:val="18"/>
        </w:rPr>
      </w:pPr>
      <w:r w:rsidRPr="00AE73E7">
        <w:rPr>
          <w:rFonts w:ascii="Calibri" w:hAnsi="Calibri" w:cs="Calibri"/>
          <w:sz w:val="20"/>
          <w:szCs w:val="20"/>
          <w:vertAlign w:val="superscript"/>
        </w:rPr>
        <w:t xml:space="preserve">1 </w:t>
      </w:r>
      <w:r w:rsidRPr="00AE73E7">
        <w:rPr>
          <w:rFonts w:ascii="Calibri" w:hAnsi="Calibri" w:cs="Calibri"/>
          <w:sz w:val="18"/>
          <w:szCs w:val="18"/>
        </w:rPr>
        <w:t>Boundaries for the Indian Ocean stock assessment are defined as the IOTC area of competence</w:t>
      </w:r>
    </w:p>
    <w:p w14:paraId="3B13C97A" w14:textId="77777777" w:rsidR="00296747" w:rsidRDefault="00296747" w:rsidP="00296747">
      <w:pPr>
        <w:ind w:left="720"/>
        <w:rPr>
          <w:rFonts w:ascii="Calibri" w:hAnsi="Calibri" w:cs="Calibri"/>
          <w:sz w:val="18"/>
          <w:szCs w:val="18"/>
        </w:rPr>
      </w:pPr>
      <w:r w:rsidRPr="28F5435A">
        <w:rPr>
          <w:rFonts w:ascii="Calibri" w:hAnsi="Calibri" w:cs="Calibri"/>
          <w:smallCaps/>
          <w:kern w:val="32"/>
          <w:sz w:val="18"/>
          <w:szCs w:val="18"/>
          <w:vertAlign w:val="superscript"/>
        </w:rPr>
        <w:t xml:space="preserve">2 </w:t>
      </w:r>
      <w:r w:rsidRPr="00AE73E7">
        <w:rPr>
          <w:rFonts w:ascii="Calibri" w:hAnsi="Calibri" w:cs="Calibri"/>
          <w:sz w:val="18"/>
          <w:szCs w:val="18"/>
        </w:rPr>
        <w:t>Proportion of 202</w:t>
      </w:r>
      <w:r>
        <w:rPr>
          <w:rFonts w:ascii="Calibri" w:hAnsi="Calibri" w:cs="Calibri"/>
          <w:sz w:val="18"/>
          <w:szCs w:val="18"/>
        </w:rPr>
        <w:t>3</w:t>
      </w:r>
      <w:r w:rsidRPr="00AE73E7">
        <w:rPr>
          <w:rFonts w:ascii="Calibri" w:hAnsi="Calibri" w:cs="Calibri"/>
          <w:sz w:val="18"/>
          <w:szCs w:val="18"/>
        </w:rPr>
        <w:t xml:space="preserve"> catch estimated or partially estimated by IOTC Secretariat: </w:t>
      </w:r>
      <w:r w:rsidRPr="007D49B6">
        <w:rPr>
          <w:rFonts w:ascii="Calibri" w:hAnsi="Calibri" w:cs="Calibri"/>
          <w:sz w:val="18"/>
          <w:szCs w:val="18"/>
        </w:rPr>
        <w:t>31</w:t>
      </w:r>
      <w:r>
        <w:rPr>
          <w:rFonts w:ascii="Calibri" w:hAnsi="Calibri" w:cs="Calibri"/>
          <w:sz w:val="18"/>
          <w:szCs w:val="18"/>
        </w:rPr>
        <w:t xml:space="preserve"> </w:t>
      </w:r>
      <w:r w:rsidRPr="00AE73E7">
        <w:rPr>
          <w:rFonts w:ascii="Calibri" w:hAnsi="Calibri" w:cs="Calibri"/>
          <w:sz w:val="18"/>
          <w:szCs w:val="18"/>
        </w:rPr>
        <w:t>%</w:t>
      </w:r>
    </w:p>
    <w:p w14:paraId="012523A4" w14:textId="77777777" w:rsidR="00296747" w:rsidRDefault="00296747" w:rsidP="00296747">
      <w:pPr>
        <w:ind w:left="720"/>
        <w:rPr>
          <w:rFonts w:ascii="Calibri" w:eastAsia="Calibri" w:hAnsi="Calibri" w:cs="Calibri"/>
          <w:sz w:val="18"/>
          <w:szCs w:val="18"/>
        </w:rPr>
      </w:pPr>
      <w:r w:rsidRPr="00C250FC">
        <w:rPr>
          <w:rFonts w:ascii="Calibri" w:eastAsia="Calibri" w:hAnsi="Calibri" w:cs="Calibri"/>
          <w:sz w:val="18"/>
          <w:szCs w:val="18"/>
          <w:vertAlign w:val="superscript"/>
        </w:rPr>
        <w:t>3</w:t>
      </w:r>
      <w:r>
        <w:rPr>
          <w:rFonts w:ascii="Calibri" w:eastAsia="Calibri" w:hAnsi="Calibri" w:cs="Calibri"/>
          <w:sz w:val="18"/>
          <w:szCs w:val="18"/>
        </w:rPr>
        <w:t>2023</w:t>
      </w:r>
      <w:r w:rsidRPr="00C250FC">
        <w:rPr>
          <w:rFonts w:ascii="Calibri" w:eastAsia="Calibri" w:hAnsi="Calibri" w:cs="Calibri"/>
          <w:sz w:val="18"/>
          <w:szCs w:val="18"/>
        </w:rPr>
        <w:t xml:space="preserve"> </w:t>
      </w:r>
      <w:r>
        <w:rPr>
          <w:rFonts w:ascii="Calibri" w:eastAsia="Calibri" w:hAnsi="Calibri" w:cs="Calibri"/>
          <w:sz w:val="18"/>
          <w:szCs w:val="18"/>
        </w:rPr>
        <w:t>is</w:t>
      </w:r>
      <w:r w:rsidRPr="00C250FC">
        <w:rPr>
          <w:rFonts w:ascii="Calibri" w:eastAsia="Calibri" w:hAnsi="Calibri" w:cs="Calibri"/>
          <w:sz w:val="18"/>
          <w:szCs w:val="18"/>
        </w:rPr>
        <w:t xml:space="preserve"> the final year </w:t>
      </w:r>
      <w:r>
        <w:rPr>
          <w:rFonts w:ascii="Calibri" w:eastAsia="Calibri" w:hAnsi="Calibri" w:cs="Calibri"/>
          <w:sz w:val="18"/>
          <w:szCs w:val="18"/>
        </w:rPr>
        <w:t xml:space="preserve">that </w:t>
      </w:r>
      <w:r w:rsidRPr="00C250FC">
        <w:rPr>
          <w:rFonts w:ascii="Calibri" w:eastAsia="Calibri" w:hAnsi="Calibri" w:cs="Calibri"/>
          <w:sz w:val="18"/>
          <w:szCs w:val="18"/>
        </w:rPr>
        <w:t>data</w:t>
      </w:r>
      <w:r>
        <w:rPr>
          <w:rFonts w:ascii="Calibri" w:eastAsia="Calibri" w:hAnsi="Calibri" w:cs="Calibri"/>
          <w:sz w:val="18"/>
          <w:szCs w:val="18"/>
        </w:rPr>
        <w:t xml:space="preserve"> were</w:t>
      </w:r>
      <w:r w:rsidRPr="00C250FC">
        <w:rPr>
          <w:rFonts w:ascii="Calibri" w:eastAsia="Calibri" w:hAnsi="Calibri" w:cs="Calibri"/>
          <w:sz w:val="18"/>
          <w:szCs w:val="18"/>
        </w:rPr>
        <w:t xml:space="preserve"> available for </w:t>
      </w:r>
      <w:r>
        <w:rPr>
          <w:rFonts w:ascii="Calibri" w:eastAsia="Calibri" w:hAnsi="Calibri" w:cs="Calibri"/>
          <w:sz w:val="18"/>
          <w:szCs w:val="18"/>
        </w:rPr>
        <w:t xml:space="preserve">this </w:t>
      </w:r>
      <w:r w:rsidRPr="00C250FC">
        <w:rPr>
          <w:rFonts w:ascii="Calibri" w:eastAsia="Calibri" w:hAnsi="Calibri" w:cs="Calibri"/>
          <w:sz w:val="18"/>
          <w:szCs w:val="18"/>
        </w:rPr>
        <w:t>assessment</w:t>
      </w:r>
    </w:p>
    <w:p w14:paraId="08D507A6" w14:textId="77777777" w:rsidR="00296747" w:rsidRPr="00E702B5" w:rsidRDefault="00296747" w:rsidP="00296747">
      <w:pPr>
        <w:ind w:left="720"/>
        <w:rPr>
          <w:rFonts w:ascii="Calibri" w:eastAsia="Calibri" w:hAnsi="Calibri" w:cs="Calibri"/>
          <w:sz w:val="18"/>
          <w:szCs w:val="18"/>
          <w:vertAlign w:val="superscript"/>
        </w:rPr>
      </w:pPr>
      <w:r w:rsidRPr="00B87A9B">
        <w:rPr>
          <w:rFonts w:ascii="Calibri" w:eastAsia="Calibri" w:hAnsi="Calibri" w:cs="Calibri"/>
          <w:sz w:val="18"/>
          <w:szCs w:val="18"/>
          <w:vertAlign w:val="superscript"/>
        </w:rPr>
        <w:t>4</w:t>
      </w:r>
      <w:r>
        <w:rPr>
          <w:rFonts w:ascii="Calibri" w:eastAsia="Calibri" w:hAnsi="Calibri" w:cs="Calibri"/>
          <w:sz w:val="18"/>
          <w:szCs w:val="18"/>
        </w:rPr>
        <w:t>These figures are outputs from the 2025 stock assessment and are not endorsed for management advice. Please s</w:t>
      </w:r>
      <w:r w:rsidRPr="002046CE">
        <w:rPr>
          <w:rFonts w:ascii="Calibri" w:eastAsia="Calibri" w:hAnsi="Calibri" w:cs="Calibri"/>
          <w:sz w:val="18"/>
          <w:szCs w:val="18"/>
        </w:rPr>
        <w:t>ee</w:t>
      </w:r>
      <w:r>
        <w:rPr>
          <w:rFonts w:ascii="Calibri" w:eastAsia="Calibri" w:hAnsi="Calibri" w:cs="Calibri"/>
          <w:sz w:val="18"/>
          <w:szCs w:val="18"/>
        </w:rPr>
        <w:t xml:space="preserve"> the section on management advice for further explanations on these estimates. </w:t>
      </w:r>
    </w:p>
    <w:p w14:paraId="6F932034" w14:textId="77777777" w:rsidR="00296747" w:rsidRPr="00E702B5" w:rsidRDefault="00296747" w:rsidP="00296747">
      <w:pPr>
        <w:ind w:left="720"/>
        <w:rPr>
          <w:rFonts w:ascii="Calibri" w:hAnsi="Calibri" w:cs="Calibri"/>
          <w:sz w:val="18"/>
          <w:szCs w:val="18"/>
          <w:lang w:eastAsia="en-GB"/>
        </w:rPr>
      </w:pPr>
    </w:p>
    <w:p w14:paraId="7A47595F" w14:textId="77777777" w:rsidR="008C3DFA" w:rsidRPr="008C3DFA" w:rsidRDefault="008C3DFA" w:rsidP="008C3DFA">
      <w:pPr>
        <w:rPr>
          <w:rFonts w:ascii="Calibri" w:hAnsi="Calibri" w:cs="Calibri"/>
        </w:rPr>
      </w:pPr>
    </w:p>
    <w:tbl>
      <w:tblPr>
        <w:tblStyle w:val="TableGrid31521011"/>
        <w:tblW w:w="0" w:type="auto"/>
        <w:jc w:val="center"/>
        <w:shd w:val="clear" w:color="auto" w:fill="FFFFFF"/>
        <w:tblLook w:val="04A0" w:firstRow="1" w:lastRow="0" w:firstColumn="1" w:lastColumn="0" w:noHBand="0" w:noVBand="1"/>
      </w:tblPr>
      <w:tblGrid>
        <w:gridCol w:w="3685"/>
        <w:gridCol w:w="2761"/>
        <w:gridCol w:w="2904"/>
      </w:tblGrid>
      <w:tr w:rsidR="008C3DFA" w:rsidRPr="008C3DFA" w14:paraId="7F8AF4C4" w14:textId="77777777" w:rsidTr="008C3DFA">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7033A091" w14:textId="77777777" w:rsidR="008C3DFA" w:rsidRPr="008C3DFA" w:rsidRDefault="008C3DFA" w:rsidP="008C3DFA">
            <w:pPr>
              <w:keepNext/>
              <w:keepLines/>
              <w:spacing w:after="20"/>
              <w:jc w:val="center"/>
              <w:rPr>
                <w:rFonts w:ascii="Calibri" w:hAnsi="Calibri" w:cs="Calibri"/>
                <w:b/>
                <w:sz w:val="18"/>
                <w:szCs w:val="18"/>
              </w:rPr>
            </w:pPr>
            <w:r w:rsidRPr="008C3DFA">
              <w:rPr>
                <w:rFonts w:ascii="Calibri" w:hAnsi="Calibri" w:cs="Calibri"/>
                <w:b/>
                <w:sz w:val="18"/>
                <w:szCs w:val="18"/>
              </w:rPr>
              <w:t>Colour key</w:t>
            </w:r>
          </w:p>
        </w:tc>
        <w:tc>
          <w:tcPr>
            <w:tcW w:w="2761" w:type="dxa"/>
            <w:tcBorders>
              <w:top w:val="single" w:sz="4" w:space="0" w:color="auto"/>
              <w:left w:val="single" w:sz="4" w:space="0" w:color="auto"/>
              <w:bottom w:val="single" w:sz="4" w:space="0" w:color="auto"/>
              <w:right w:val="single" w:sz="4" w:space="0" w:color="auto"/>
            </w:tcBorders>
            <w:shd w:val="clear" w:color="auto" w:fill="FFFFFF"/>
            <w:vAlign w:val="center"/>
          </w:tcPr>
          <w:p w14:paraId="07A3C4B4" w14:textId="77777777" w:rsidR="008C3DFA" w:rsidRPr="008C3DFA" w:rsidRDefault="008C3DFA" w:rsidP="008C3DFA">
            <w:pPr>
              <w:keepNext/>
              <w:keepLines/>
              <w:spacing w:after="20"/>
              <w:jc w:val="center"/>
              <w:rPr>
                <w:rFonts w:ascii="Calibri" w:hAnsi="Calibri" w:cs="Calibri"/>
                <w:sz w:val="18"/>
                <w:szCs w:val="18"/>
              </w:rPr>
            </w:pPr>
            <w:r w:rsidRPr="008C3DFA">
              <w:rPr>
                <w:rFonts w:ascii="Calibri" w:hAnsi="Calibri" w:cs="Calibri"/>
                <w:sz w:val="18"/>
                <w:szCs w:val="18"/>
              </w:rPr>
              <w:t>Stock overfished (B</w:t>
            </w:r>
            <w:r w:rsidRPr="008C3DFA">
              <w:rPr>
                <w:rFonts w:ascii="Calibri" w:hAnsi="Calibri" w:cs="Calibri"/>
                <w:sz w:val="18"/>
                <w:szCs w:val="18"/>
                <w:vertAlign w:val="subscript"/>
              </w:rPr>
              <w:t>year</w:t>
            </w:r>
            <w:r w:rsidRPr="008C3DFA">
              <w:rPr>
                <w:rFonts w:ascii="Calibri" w:hAnsi="Calibri" w:cs="Calibri"/>
                <w:sz w:val="18"/>
                <w:szCs w:val="18"/>
              </w:rPr>
              <w:t>/B</w:t>
            </w:r>
            <w:r w:rsidRPr="008C3DFA">
              <w:rPr>
                <w:rFonts w:ascii="Calibri" w:hAnsi="Calibri" w:cs="Calibri"/>
                <w:sz w:val="18"/>
                <w:szCs w:val="18"/>
                <w:vertAlign w:val="subscript"/>
              </w:rPr>
              <w:t>MSY</w:t>
            </w:r>
            <w:r w:rsidRPr="008C3DFA">
              <w:rPr>
                <w:rFonts w:ascii="Calibri" w:hAnsi="Calibri" w:cs="Calibri"/>
                <w:sz w:val="18"/>
                <w:szCs w:val="18"/>
              </w:rPr>
              <w:t>&lt; 1)</w:t>
            </w:r>
          </w:p>
        </w:tc>
        <w:tc>
          <w:tcPr>
            <w:tcW w:w="2904" w:type="dxa"/>
            <w:tcBorders>
              <w:top w:val="single" w:sz="4" w:space="0" w:color="auto"/>
              <w:left w:val="single" w:sz="4" w:space="0" w:color="auto"/>
              <w:bottom w:val="single" w:sz="4" w:space="0" w:color="auto"/>
              <w:right w:val="single" w:sz="4" w:space="0" w:color="auto"/>
            </w:tcBorders>
            <w:shd w:val="clear" w:color="auto" w:fill="FFFFFF"/>
            <w:vAlign w:val="center"/>
          </w:tcPr>
          <w:p w14:paraId="30BDE1C4" w14:textId="77777777" w:rsidR="008C3DFA" w:rsidRPr="008C3DFA" w:rsidRDefault="008C3DFA" w:rsidP="008C3DFA">
            <w:pPr>
              <w:keepNext/>
              <w:keepLines/>
              <w:spacing w:after="20"/>
              <w:jc w:val="center"/>
              <w:rPr>
                <w:rFonts w:ascii="Calibri" w:hAnsi="Calibri" w:cs="Calibri"/>
                <w:sz w:val="18"/>
                <w:szCs w:val="18"/>
              </w:rPr>
            </w:pPr>
            <w:r w:rsidRPr="008C3DFA">
              <w:rPr>
                <w:rFonts w:ascii="Calibri" w:hAnsi="Calibri" w:cs="Calibri"/>
                <w:sz w:val="18"/>
                <w:szCs w:val="18"/>
              </w:rPr>
              <w:t>Stock not overfished (B</w:t>
            </w:r>
            <w:r w:rsidRPr="008C3DFA">
              <w:rPr>
                <w:rFonts w:ascii="Calibri" w:hAnsi="Calibri" w:cs="Calibri"/>
                <w:sz w:val="18"/>
                <w:szCs w:val="18"/>
                <w:vertAlign w:val="subscript"/>
              </w:rPr>
              <w:t>year</w:t>
            </w:r>
            <w:r w:rsidRPr="008C3DFA">
              <w:rPr>
                <w:rFonts w:ascii="Calibri" w:hAnsi="Calibri" w:cs="Calibri"/>
                <w:sz w:val="18"/>
                <w:szCs w:val="18"/>
              </w:rPr>
              <w:t>/B</w:t>
            </w:r>
            <w:r w:rsidRPr="008C3DFA">
              <w:rPr>
                <w:rFonts w:ascii="Calibri" w:hAnsi="Calibri" w:cs="Calibri"/>
                <w:sz w:val="18"/>
                <w:szCs w:val="18"/>
                <w:vertAlign w:val="subscript"/>
              </w:rPr>
              <w:t>MSY</w:t>
            </w:r>
            <w:r w:rsidRPr="008C3DFA">
              <w:rPr>
                <w:rFonts w:ascii="Calibri" w:hAnsi="Calibri" w:cs="Calibri"/>
                <w:sz w:val="18"/>
                <w:szCs w:val="18"/>
              </w:rPr>
              <w:t>≥ 1)</w:t>
            </w:r>
          </w:p>
        </w:tc>
      </w:tr>
      <w:tr w:rsidR="008C3DFA" w:rsidRPr="008C3DFA" w14:paraId="763DB74B" w14:textId="77777777" w:rsidTr="008C3DFA">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10DCF7DF" w14:textId="77777777" w:rsidR="008C3DFA" w:rsidRPr="008C3DFA" w:rsidRDefault="008C3DFA" w:rsidP="008C3DFA">
            <w:pPr>
              <w:keepNext/>
              <w:keepLines/>
              <w:spacing w:after="20"/>
              <w:rPr>
                <w:rFonts w:ascii="Calibri" w:hAnsi="Calibri" w:cs="Calibri"/>
                <w:sz w:val="18"/>
                <w:szCs w:val="18"/>
              </w:rPr>
            </w:pPr>
            <w:r w:rsidRPr="008C3DFA">
              <w:rPr>
                <w:rFonts w:ascii="Calibri" w:hAnsi="Calibri" w:cs="Calibri"/>
                <w:sz w:val="18"/>
                <w:szCs w:val="18"/>
              </w:rPr>
              <w:t>Stock subject to overfishing (F</w:t>
            </w:r>
            <w:r w:rsidRPr="008C3DFA">
              <w:rPr>
                <w:rFonts w:ascii="Calibri" w:hAnsi="Calibri" w:cs="Calibri"/>
                <w:sz w:val="18"/>
                <w:szCs w:val="18"/>
                <w:vertAlign w:val="subscript"/>
              </w:rPr>
              <w:t>2023</w:t>
            </w:r>
            <w:r w:rsidRPr="008C3DFA">
              <w:rPr>
                <w:rFonts w:ascii="Calibri" w:hAnsi="Calibri" w:cs="Calibri"/>
                <w:sz w:val="18"/>
                <w:szCs w:val="18"/>
              </w:rPr>
              <w:t>/F</w:t>
            </w:r>
            <w:r w:rsidRPr="008C3DFA">
              <w:rPr>
                <w:rFonts w:ascii="Calibri" w:hAnsi="Calibri" w:cs="Calibri"/>
                <w:sz w:val="18"/>
                <w:szCs w:val="18"/>
                <w:vertAlign w:val="subscript"/>
              </w:rPr>
              <w:t>MSY</w:t>
            </w:r>
            <w:r w:rsidRPr="008C3DFA">
              <w:rPr>
                <w:rFonts w:ascii="Calibri" w:hAnsi="Calibri" w:cs="Calibri"/>
                <w:sz w:val="18"/>
                <w:szCs w:val="18"/>
              </w:rPr>
              <w:t>&gt; 1)</w:t>
            </w:r>
          </w:p>
        </w:tc>
        <w:tc>
          <w:tcPr>
            <w:tcW w:w="2761" w:type="dxa"/>
            <w:tcBorders>
              <w:top w:val="single" w:sz="4" w:space="0" w:color="auto"/>
              <w:left w:val="single" w:sz="4" w:space="0" w:color="auto"/>
              <w:bottom w:val="single" w:sz="4" w:space="0" w:color="auto"/>
              <w:right w:val="single" w:sz="4" w:space="0" w:color="auto"/>
            </w:tcBorders>
            <w:shd w:val="clear" w:color="auto" w:fill="FF0000"/>
            <w:vAlign w:val="center"/>
          </w:tcPr>
          <w:p w14:paraId="081DD273" w14:textId="77777777" w:rsidR="008C3DFA" w:rsidRPr="008C3DFA" w:rsidRDefault="008C3DFA" w:rsidP="008C3DFA">
            <w:pPr>
              <w:keepNext/>
              <w:keepLines/>
              <w:jc w:val="center"/>
              <w:rPr>
                <w:rFonts w:ascii="Calibri" w:hAnsi="Calibri" w:cs="Calibri"/>
                <w:color w:val="FFFFFF"/>
                <w:sz w:val="18"/>
                <w:szCs w:val="18"/>
              </w:rPr>
            </w:pPr>
            <w:r w:rsidRPr="008C3DFA">
              <w:rPr>
                <w:rFonts w:ascii="Calibri" w:hAnsi="Calibri" w:cs="Calibri"/>
                <w:color w:val="FFFFFF"/>
                <w:sz w:val="18"/>
                <w:szCs w:val="18"/>
              </w:rPr>
              <w:t>2 %</w:t>
            </w:r>
          </w:p>
        </w:tc>
        <w:tc>
          <w:tcPr>
            <w:tcW w:w="2904" w:type="dxa"/>
            <w:tcBorders>
              <w:top w:val="single" w:sz="4" w:space="0" w:color="auto"/>
              <w:left w:val="single" w:sz="4" w:space="0" w:color="auto"/>
              <w:bottom w:val="single" w:sz="4" w:space="0" w:color="auto"/>
              <w:right w:val="single" w:sz="4" w:space="0" w:color="auto"/>
            </w:tcBorders>
            <w:shd w:val="clear" w:color="auto" w:fill="FFC000"/>
            <w:vAlign w:val="center"/>
          </w:tcPr>
          <w:p w14:paraId="7B1F2E3C" w14:textId="2F813A0A" w:rsidR="008C3DFA" w:rsidRPr="008C3DFA" w:rsidRDefault="008C3DFA" w:rsidP="008C3DFA">
            <w:pPr>
              <w:keepNext/>
              <w:keepLines/>
              <w:jc w:val="center"/>
              <w:rPr>
                <w:rFonts w:ascii="Calibri" w:hAnsi="Calibri" w:cs="Calibri"/>
                <w:sz w:val="18"/>
                <w:szCs w:val="18"/>
              </w:rPr>
            </w:pPr>
            <w:r w:rsidRPr="008C3DFA">
              <w:rPr>
                <w:rFonts w:ascii="Calibri" w:hAnsi="Calibri" w:cs="Calibri"/>
                <w:sz w:val="18"/>
                <w:szCs w:val="18"/>
              </w:rPr>
              <w:t>6 %</w:t>
            </w:r>
          </w:p>
        </w:tc>
      </w:tr>
      <w:tr w:rsidR="008C3DFA" w:rsidRPr="008C3DFA" w14:paraId="1158012E" w14:textId="77777777" w:rsidTr="008C3DFA">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38ADB00F" w14:textId="77777777" w:rsidR="008C3DFA" w:rsidRPr="008C3DFA" w:rsidRDefault="008C3DFA" w:rsidP="008C3DFA">
            <w:pPr>
              <w:keepNext/>
              <w:keepLines/>
              <w:spacing w:after="20"/>
              <w:rPr>
                <w:rFonts w:ascii="Calibri" w:hAnsi="Calibri" w:cs="Calibri"/>
                <w:sz w:val="18"/>
                <w:szCs w:val="18"/>
              </w:rPr>
            </w:pPr>
            <w:r w:rsidRPr="008C3DFA">
              <w:rPr>
                <w:rFonts w:ascii="Calibri" w:hAnsi="Calibri" w:cs="Calibri"/>
                <w:sz w:val="18"/>
                <w:szCs w:val="18"/>
              </w:rPr>
              <w:t>Stock not subject to overfishing (F</w:t>
            </w:r>
            <w:r w:rsidRPr="008C3DFA">
              <w:rPr>
                <w:rFonts w:ascii="Calibri" w:hAnsi="Calibri" w:cs="Calibri"/>
                <w:sz w:val="18"/>
                <w:szCs w:val="18"/>
                <w:vertAlign w:val="subscript"/>
              </w:rPr>
              <w:t>2023</w:t>
            </w:r>
            <w:r w:rsidRPr="008C3DFA">
              <w:rPr>
                <w:rFonts w:ascii="Calibri" w:hAnsi="Calibri" w:cs="Calibri"/>
                <w:sz w:val="18"/>
                <w:szCs w:val="18"/>
              </w:rPr>
              <w:t>/F</w:t>
            </w:r>
            <w:r w:rsidRPr="008C3DFA">
              <w:rPr>
                <w:rFonts w:ascii="Calibri" w:hAnsi="Calibri" w:cs="Calibri"/>
                <w:sz w:val="18"/>
                <w:szCs w:val="18"/>
                <w:vertAlign w:val="subscript"/>
              </w:rPr>
              <w:t>MSY</w:t>
            </w:r>
            <w:r w:rsidRPr="008C3DFA">
              <w:rPr>
                <w:rFonts w:ascii="Calibri" w:hAnsi="Calibri" w:cs="Calibri"/>
                <w:sz w:val="18"/>
                <w:szCs w:val="18"/>
              </w:rPr>
              <w:t>≤ 1)</w:t>
            </w:r>
          </w:p>
        </w:tc>
        <w:tc>
          <w:tcPr>
            <w:tcW w:w="2761" w:type="dxa"/>
            <w:tcBorders>
              <w:top w:val="single" w:sz="4" w:space="0" w:color="auto"/>
              <w:left w:val="single" w:sz="4" w:space="0" w:color="auto"/>
              <w:bottom w:val="single" w:sz="4" w:space="0" w:color="auto"/>
              <w:right w:val="single" w:sz="4" w:space="0" w:color="auto"/>
            </w:tcBorders>
            <w:shd w:val="clear" w:color="auto" w:fill="FFFF00"/>
            <w:vAlign w:val="center"/>
          </w:tcPr>
          <w:p w14:paraId="7A47F401" w14:textId="77777777" w:rsidR="008C3DFA" w:rsidRPr="008C3DFA" w:rsidRDefault="008C3DFA" w:rsidP="008C3DFA">
            <w:pPr>
              <w:keepNext/>
              <w:keepLines/>
              <w:jc w:val="center"/>
              <w:rPr>
                <w:rFonts w:ascii="Calibri" w:hAnsi="Calibri" w:cs="Calibri"/>
                <w:sz w:val="18"/>
                <w:szCs w:val="18"/>
              </w:rPr>
            </w:pPr>
            <w:r w:rsidRPr="008C3DFA">
              <w:rPr>
                <w:rFonts w:ascii="Calibri" w:hAnsi="Calibri" w:cs="Calibri"/>
                <w:sz w:val="18"/>
                <w:szCs w:val="18"/>
              </w:rPr>
              <w:t>0 %</w:t>
            </w:r>
          </w:p>
        </w:tc>
        <w:tc>
          <w:tcPr>
            <w:tcW w:w="2904" w:type="dxa"/>
            <w:tcBorders>
              <w:top w:val="single" w:sz="4" w:space="0" w:color="auto"/>
              <w:left w:val="single" w:sz="4" w:space="0" w:color="auto"/>
              <w:bottom w:val="single" w:sz="4" w:space="0" w:color="auto"/>
              <w:right w:val="single" w:sz="4" w:space="0" w:color="auto"/>
            </w:tcBorders>
            <w:shd w:val="clear" w:color="auto" w:fill="92D050"/>
            <w:vAlign w:val="center"/>
          </w:tcPr>
          <w:p w14:paraId="3568D249" w14:textId="77777777" w:rsidR="008C3DFA" w:rsidRPr="008C3DFA" w:rsidRDefault="008C3DFA" w:rsidP="008C3DFA">
            <w:pPr>
              <w:keepNext/>
              <w:keepLines/>
              <w:jc w:val="center"/>
              <w:rPr>
                <w:rFonts w:ascii="Calibri" w:hAnsi="Calibri" w:cs="Calibri"/>
                <w:sz w:val="18"/>
                <w:szCs w:val="18"/>
              </w:rPr>
            </w:pPr>
            <w:r w:rsidRPr="008C3DFA">
              <w:rPr>
                <w:rFonts w:ascii="Calibri" w:hAnsi="Calibri" w:cs="Calibri"/>
                <w:sz w:val="18"/>
                <w:szCs w:val="18"/>
              </w:rPr>
              <w:t>92 %</w:t>
            </w:r>
          </w:p>
        </w:tc>
      </w:tr>
      <w:tr w:rsidR="008C3DFA" w:rsidRPr="008C3DFA" w14:paraId="48514D90" w14:textId="77777777" w:rsidTr="008C3DFA">
        <w:trPr>
          <w:trHeight w:val="238"/>
          <w:jc w:val="center"/>
        </w:trPr>
        <w:tc>
          <w:tcPr>
            <w:tcW w:w="3685" w:type="dxa"/>
            <w:tcBorders>
              <w:top w:val="single" w:sz="4" w:space="0" w:color="auto"/>
              <w:left w:val="single" w:sz="4" w:space="0" w:color="auto"/>
              <w:bottom w:val="single" w:sz="4" w:space="0" w:color="auto"/>
              <w:right w:val="single" w:sz="4" w:space="0" w:color="auto"/>
            </w:tcBorders>
            <w:shd w:val="clear" w:color="auto" w:fill="FFFFFF"/>
            <w:vAlign w:val="center"/>
          </w:tcPr>
          <w:p w14:paraId="78320033" w14:textId="77777777" w:rsidR="008C3DFA" w:rsidRPr="008C3DFA" w:rsidRDefault="008C3DFA" w:rsidP="008C3DFA">
            <w:pPr>
              <w:keepNext/>
              <w:keepLines/>
              <w:spacing w:after="20"/>
              <w:rPr>
                <w:rFonts w:ascii="Calibri" w:hAnsi="Calibri" w:cs="Calibri"/>
                <w:sz w:val="18"/>
                <w:szCs w:val="18"/>
              </w:rPr>
            </w:pPr>
            <w:r w:rsidRPr="008C3DFA">
              <w:rPr>
                <w:rFonts w:ascii="Calibri" w:hAnsi="Calibri" w:cs="Calibri"/>
                <w:sz w:val="18"/>
                <w:szCs w:val="18"/>
              </w:rPr>
              <w:t>Not assessed/Uncertain/Unknown</w:t>
            </w:r>
          </w:p>
        </w:tc>
        <w:tc>
          <w:tcPr>
            <w:tcW w:w="5665"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313E911A" w14:textId="77777777" w:rsidR="008C3DFA" w:rsidRPr="008C3DFA" w:rsidRDefault="008C3DFA" w:rsidP="008C3DFA">
            <w:pPr>
              <w:keepNext/>
              <w:keepLines/>
              <w:jc w:val="center"/>
              <w:rPr>
                <w:rFonts w:ascii="Calibri" w:hAnsi="Calibri" w:cs="Calibri"/>
                <w:sz w:val="18"/>
                <w:szCs w:val="18"/>
              </w:rPr>
            </w:pPr>
          </w:p>
        </w:tc>
      </w:tr>
    </w:tbl>
    <w:p w14:paraId="48A11F5E" w14:textId="77777777" w:rsidR="008C3DFA" w:rsidRPr="008C3DFA" w:rsidRDefault="008C3DFA" w:rsidP="008C3DFA">
      <w:pPr>
        <w:rPr>
          <w:rFonts w:ascii="Calibri" w:hAnsi="Calibri" w:cs="Calibri"/>
          <w:sz w:val="18"/>
          <w:szCs w:val="18"/>
        </w:rPr>
      </w:pPr>
      <w:r w:rsidRPr="008C3DFA">
        <w:rPr>
          <w:rFonts w:ascii="Calibri" w:hAnsi="Calibri" w:cs="Calibri"/>
          <w:sz w:val="18"/>
          <w:szCs w:val="18"/>
        </w:rPr>
        <w:t>The percentages are calculated as the proportion of model terminal values that fall within each quadrant with model weights accounted for</w:t>
      </w:r>
    </w:p>
    <w:p w14:paraId="72E64C7A" w14:textId="77777777" w:rsidR="00153865" w:rsidRDefault="00153865" w:rsidP="00296747">
      <w:pPr>
        <w:spacing w:before="240" w:after="240"/>
        <w:rPr>
          <w:rFonts w:ascii="Calibri" w:hAnsi="Calibri" w:cs="Calibri"/>
          <w:b/>
          <w:smallCaps/>
        </w:rPr>
      </w:pPr>
    </w:p>
    <w:p w14:paraId="683D28A5" w14:textId="77777777" w:rsidR="00296747" w:rsidRPr="00AE73E7" w:rsidRDefault="00296747" w:rsidP="00296747">
      <w:pPr>
        <w:spacing w:before="240" w:after="240"/>
        <w:rPr>
          <w:rFonts w:ascii="Calibri" w:hAnsi="Calibri" w:cs="Calibri"/>
          <w:b/>
          <w:smallCaps/>
        </w:rPr>
      </w:pPr>
      <w:r w:rsidRPr="00AE73E7">
        <w:rPr>
          <w:rFonts w:ascii="Calibri" w:hAnsi="Calibri" w:cs="Calibri"/>
          <w:b/>
          <w:smallCaps/>
        </w:rPr>
        <w:t>Indian Ocean stock – Management Advice</w:t>
      </w:r>
    </w:p>
    <w:p w14:paraId="0D4D376F" w14:textId="77777777" w:rsidR="00296747" w:rsidRDefault="00296747" w:rsidP="00296747">
      <w:pPr>
        <w:jc w:val="both"/>
        <w:rPr>
          <w:rFonts w:ascii="Calibri" w:hAnsi="Calibri" w:cs="Calibri"/>
        </w:rPr>
      </w:pPr>
      <w:r w:rsidRPr="60D48B66">
        <w:rPr>
          <w:rFonts w:ascii="Calibri" w:hAnsi="Calibri" w:cs="Calibri"/>
          <w:b/>
          <w:bCs/>
          <w:i/>
          <w:iCs/>
        </w:rPr>
        <w:t xml:space="preserve">Stock status. </w:t>
      </w:r>
      <w:r w:rsidRPr="60D48B66">
        <w:rPr>
          <w:rFonts w:ascii="Calibri" w:hAnsi="Calibri" w:cs="Calibri"/>
        </w:rPr>
        <w:t>A new iteration of a</w:t>
      </w:r>
      <w:r>
        <w:rPr>
          <w:rFonts w:ascii="Calibri" w:hAnsi="Calibri" w:cs="Calibri"/>
        </w:rPr>
        <w:t xml:space="preserve"> </w:t>
      </w:r>
      <w:r w:rsidRPr="00C70C6A">
        <w:rPr>
          <w:rFonts w:ascii="Calibri" w:hAnsi="Calibri" w:cs="Calibri"/>
        </w:rPr>
        <w:t>Bayesian state-space production model (age-aggregated)</w:t>
      </w:r>
      <w:r>
        <w:rPr>
          <w:rFonts w:ascii="Calibri" w:hAnsi="Calibri" w:cs="Calibri"/>
        </w:rPr>
        <w:t xml:space="preserve"> </w:t>
      </w:r>
      <w:r w:rsidRPr="60D48B66">
        <w:rPr>
          <w:rFonts w:ascii="Calibri" w:hAnsi="Calibri" w:cs="Calibri"/>
        </w:rPr>
        <w:t>JABBA stock assessment was carried out for Indo-Pacific Sailfish in 202</w:t>
      </w:r>
      <w:r w:rsidRPr="0029109F">
        <w:rPr>
          <w:rFonts w:ascii="Calibri" w:hAnsi="Calibri" w:cs="Calibri"/>
        </w:rPr>
        <w:t>5</w:t>
      </w:r>
      <w:r w:rsidRPr="60D48B66">
        <w:rPr>
          <w:rFonts w:ascii="Calibri" w:hAnsi="Calibri" w:cs="Calibri"/>
        </w:rPr>
        <w:t>, using data up to 202</w:t>
      </w:r>
      <w:r>
        <w:rPr>
          <w:rFonts w:ascii="Calibri" w:hAnsi="Calibri" w:cs="Calibri"/>
        </w:rPr>
        <w:t>3</w:t>
      </w:r>
      <w:r w:rsidRPr="60D48B66">
        <w:rPr>
          <w:rFonts w:ascii="Calibri" w:hAnsi="Calibri" w:cs="Calibri"/>
        </w:rPr>
        <w:t xml:space="preserve">.  </w:t>
      </w:r>
      <w:r>
        <w:rPr>
          <w:rFonts w:ascii="Calibri" w:hAnsi="Calibri" w:cs="Calibri"/>
        </w:rPr>
        <w:t>Prior to this, in 2015 and 2019, d</w:t>
      </w:r>
      <w:r w:rsidRPr="60D48B66">
        <w:rPr>
          <w:rFonts w:ascii="Calibri" w:hAnsi="Calibri" w:cs="Calibri"/>
        </w:rPr>
        <w:t>ata poor methods (C</w:t>
      </w:r>
      <w:r>
        <w:rPr>
          <w:rFonts w:ascii="Calibri" w:hAnsi="Calibri" w:cs="Calibri"/>
        </w:rPr>
        <w:t>atch</w:t>
      </w:r>
      <w:r w:rsidRPr="60D48B66">
        <w:rPr>
          <w:rFonts w:ascii="Calibri" w:hAnsi="Calibri" w:cs="Calibri"/>
        </w:rPr>
        <w:t xml:space="preserve">-MSY) </w:t>
      </w:r>
      <w:r>
        <w:rPr>
          <w:rFonts w:ascii="Calibri" w:hAnsi="Calibri" w:cs="Calibri"/>
        </w:rPr>
        <w:t xml:space="preserve">were utilised </w:t>
      </w:r>
      <w:r w:rsidRPr="60D48B66">
        <w:rPr>
          <w:rFonts w:ascii="Calibri" w:hAnsi="Calibri" w:cs="Calibri"/>
        </w:rPr>
        <w:t xml:space="preserve">to </w:t>
      </w:r>
      <w:r>
        <w:rPr>
          <w:rFonts w:ascii="Calibri" w:hAnsi="Calibri" w:cs="Calibri"/>
        </w:rPr>
        <w:t xml:space="preserve">provide stock status for </w:t>
      </w:r>
      <w:r w:rsidRPr="60D48B66">
        <w:rPr>
          <w:rFonts w:ascii="Calibri" w:hAnsi="Calibri" w:cs="Calibri"/>
        </w:rPr>
        <w:t xml:space="preserve">Indo-Pacific </w:t>
      </w:r>
      <w:r>
        <w:rPr>
          <w:rFonts w:ascii="Calibri" w:hAnsi="Calibri" w:cs="Calibri"/>
        </w:rPr>
        <w:t>s</w:t>
      </w:r>
      <w:r w:rsidRPr="60D48B66">
        <w:rPr>
          <w:rFonts w:ascii="Calibri" w:hAnsi="Calibri" w:cs="Calibri"/>
        </w:rPr>
        <w:t>ailfish</w:t>
      </w:r>
      <w:r>
        <w:rPr>
          <w:rFonts w:ascii="Calibri" w:hAnsi="Calibri" w:cs="Calibri"/>
        </w:rPr>
        <w:t xml:space="preserve">. These methods rely </w:t>
      </w:r>
      <w:r w:rsidRPr="60D48B66">
        <w:rPr>
          <w:rFonts w:ascii="Calibri" w:hAnsi="Calibri" w:cs="Calibri"/>
        </w:rPr>
        <w:t xml:space="preserve">on catch data only, which is highly uncertain for this species, and resulted in </w:t>
      </w:r>
      <w:r>
        <w:rPr>
          <w:rFonts w:ascii="Calibri" w:hAnsi="Calibri" w:cs="Calibri"/>
        </w:rPr>
        <w:t>an undefined</w:t>
      </w:r>
      <w:r w:rsidRPr="60D48B66">
        <w:rPr>
          <w:rFonts w:ascii="Calibri" w:hAnsi="Calibri" w:cs="Calibri"/>
        </w:rPr>
        <w:t xml:space="preserve"> stock status</w:t>
      </w:r>
      <w:r>
        <w:rPr>
          <w:rFonts w:ascii="Calibri" w:hAnsi="Calibri" w:cs="Calibri"/>
        </w:rPr>
        <w:t>.</w:t>
      </w:r>
    </w:p>
    <w:p w14:paraId="6654499B" w14:textId="77777777" w:rsidR="00296747" w:rsidRDefault="00296747" w:rsidP="00296747">
      <w:pPr>
        <w:jc w:val="both"/>
        <w:rPr>
          <w:rFonts w:ascii="Calibri" w:hAnsi="Calibri" w:cs="Calibri"/>
        </w:rPr>
      </w:pPr>
    </w:p>
    <w:p w14:paraId="4A98A68F" w14:textId="4105D979" w:rsidR="00296747" w:rsidRDefault="00296747" w:rsidP="00296747">
      <w:pPr>
        <w:jc w:val="both"/>
        <w:rPr>
          <w:rFonts w:ascii="Calibri" w:hAnsi="Calibri" w:cs="Calibri"/>
        </w:rPr>
      </w:pPr>
      <w:r w:rsidRPr="60D48B66">
        <w:rPr>
          <w:rFonts w:ascii="Calibri" w:hAnsi="Calibri" w:cs="Calibri"/>
        </w:rPr>
        <w:t xml:space="preserve">To overcome the lack of </w:t>
      </w:r>
      <w:r>
        <w:rPr>
          <w:rFonts w:ascii="Calibri" w:hAnsi="Calibri" w:cs="Calibri"/>
        </w:rPr>
        <w:t xml:space="preserve">standardised CPUE indices or alternative </w:t>
      </w:r>
      <w:r w:rsidRPr="60D48B66">
        <w:rPr>
          <w:rFonts w:ascii="Calibri" w:hAnsi="Calibri" w:cs="Calibri"/>
        </w:rPr>
        <w:t>abundance indices for this species, this assessment</w:t>
      </w:r>
      <w:r>
        <w:rPr>
          <w:rFonts w:ascii="Calibri" w:hAnsi="Calibri" w:cs="Calibri"/>
        </w:rPr>
        <w:t xml:space="preserve"> followed the methods of the previous assessment in 2022 where</w:t>
      </w:r>
      <w:r w:rsidRPr="60D48B66">
        <w:rPr>
          <w:rFonts w:ascii="Calibri" w:hAnsi="Calibri" w:cs="Calibri"/>
        </w:rPr>
        <w:t xml:space="preserve"> length-frequency data </w:t>
      </w:r>
      <w:r>
        <w:rPr>
          <w:rFonts w:ascii="Calibri" w:hAnsi="Calibri" w:cs="Calibri"/>
        </w:rPr>
        <w:t>were used to</w:t>
      </w:r>
      <w:r w:rsidRPr="60D48B66">
        <w:rPr>
          <w:rFonts w:ascii="Calibri" w:hAnsi="Calibri" w:cs="Calibri"/>
        </w:rPr>
        <w:t xml:space="preserve"> estimate</w:t>
      </w:r>
      <w:r>
        <w:rPr>
          <w:rFonts w:ascii="Calibri" w:hAnsi="Calibri" w:cs="Calibri"/>
        </w:rPr>
        <w:t xml:space="preserve"> the</w:t>
      </w:r>
      <w:r w:rsidRPr="60D48B66">
        <w:rPr>
          <w:rFonts w:ascii="Calibri" w:hAnsi="Calibri" w:cs="Calibri"/>
        </w:rPr>
        <w:t xml:space="preserve"> annual Spawning Potential Ratio (SPR)</w:t>
      </w:r>
      <w:r>
        <w:rPr>
          <w:rFonts w:ascii="Calibri" w:hAnsi="Calibri" w:cs="Calibri"/>
        </w:rPr>
        <w:t xml:space="preserve"> using the length-based spawning potential ratio (LBSPR) method</w:t>
      </w:r>
      <w:r w:rsidRPr="60D48B66">
        <w:rPr>
          <w:rFonts w:ascii="Calibri" w:hAnsi="Calibri" w:cs="Calibri"/>
        </w:rPr>
        <w:t xml:space="preserve">. </w:t>
      </w:r>
      <w:r>
        <w:rPr>
          <w:rFonts w:ascii="Calibri" w:hAnsi="Calibri" w:cs="Calibri"/>
        </w:rPr>
        <w:t>A</w:t>
      </w:r>
      <w:r w:rsidRPr="60D48B66">
        <w:rPr>
          <w:rFonts w:ascii="Calibri" w:hAnsi="Calibri" w:cs="Calibri"/>
        </w:rPr>
        <w:t xml:space="preserve">nnual estimates of SPR were </w:t>
      </w:r>
      <w:r>
        <w:rPr>
          <w:rFonts w:ascii="Calibri" w:hAnsi="Calibri" w:cs="Calibri"/>
        </w:rPr>
        <w:t xml:space="preserve">then normalised in the JARA (Just Another Red List Assessment) model to provide an index that was </w:t>
      </w:r>
      <w:r w:rsidRPr="60D48B66">
        <w:rPr>
          <w:rFonts w:ascii="Calibri" w:hAnsi="Calibri" w:cs="Calibri"/>
        </w:rPr>
        <w:t xml:space="preserve">assumed to be proportional to </w:t>
      </w:r>
      <w:r>
        <w:rPr>
          <w:rFonts w:ascii="Calibri" w:hAnsi="Calibri" w:cs="Calibri"/>
        </w:rPr>
        <w:t xml:space="preserve">spawning </w:t>
      </w:r>
      <w:r w:rsidRPr="60D48B66">
        <w:rPr>
          <w:rFonts w:ascii="Calibri" w:hAnsi="Calibri" w:cs="Calibri"/>
        </w:rPr>
        <w:t>biomass</w:t>
      </w:r>
      <w:r>
        <w:rPr>
          <w:rFonts w:ascii="Calibri" w:hAnsi="Calibri" w:cs="Calibri"/>
        </w:rPr>
        <w:t xml:space="preserve">. This index was then incorporated </w:t>
      </w:r>
      <w:r w:rsidRPr="60D48B66">
        <w:rPr>
          <w:rFonts w:ascii="Calibri" w:hAnsi="Calibri" w:cs="Calibri"/>
        </w:rPr>
        <w:t xml:space="preserve">as an index of relative abundance in </w:t>
      </w:r>
      <w:r>
        <w:rPr>
          <w:rFonts w:ascii="Calibri" w:hAnsi="Calibri" w:cs="Calibri"/>
        </w:rPr>
        <w:t>a</w:t>
      </w:r>
      <w:r w:rsidRPr="60D48B66">
        <w:rPr>
          <w:rFonts w:ascii="Calibri" w:hAnsi="Calibri" w:cs="Calibri"/>
        </w:rPr>
        <w:t xml:space="preserve"> JABBA model</w:t>
      </w:r>
      <w:r>
        <w:rPr>
          <w:rFonts w:ascii="Calibri" w:hAnsi="Calibri" w:cs="Calibri"/>
        </w:rPr>
        <w:t>.</w:t>
      </w:r>
    </w:p>
    <w:p w14:paraId="5D3AA153" w14:textId="77777777" w:rsidR="00296747" w:rsidRDefault="00296747" w:rsidP="00296747">
      <w:pPr>
        <w:jc w:val="both"/>
        <w:rPr>
          <w:rFonts w:ascii="Calibri" w:hAnsi="Calibri" w:cs="Calibri"/>
        </w:rPr>
      </w:pPr>
    </w:p>
    <w:p w14:paraId="2D4BE424" w14:textId="28AE2689" w:rsidR="00296747" w:rsidRDefault="00296747" w:rsidP="00296747">
      <w:pPr>
        <w:jc w:val="both"/>
        <w:rPr>
          <w:rFonts w:ascii="Calibri" w:hAnsi="Calibri" w:cs="Calibri"/>
        </w:rPr>
      </w:pPr>
      <w:r w:rsidRPr="60D48B66">
        <w:rPr>
          <w:rFonts w:ascii="Calibri" w:hAnsi="Calibri" w:cs="Calibri"/>
        </w:rPr>
        <w:t xml:space="preserve">This is a novel technique applied to overcome the paucity of abundance data for </w:t>
      </w:r>
      <w:r>
        <w:rPr>
          <w:rFonts w:ascii="Calibri" w:hAnsi="Calibri" w:cs="Calibri"/>
        </w:rPr>
        <w:t>Indo-Pacific sailfish</w:t>
      </w:r>
      <w:r w:rsidR="00B5212D">
        <w:rPr>
          <w:rFonts w:ascii="Calibri" w:hAnsi="Calibri" w:cs="Calibri"/>
        </w:rPr>
        <w:t xml:space="preserve"> </w:t>
      </w:r>
      <w:r w:rsidR="00B5212D" w:rsidRPr="00B5212D">
        <w:rPr>
          <w:rFonts w:ascii="Calibri" w:hAnsi="Calibri" w:cs="Calibri"/>
        </w:rPr>
        <w:t>and it had not been thoroughly tested with rigorous simulation-evaluation</w:t>
      </w:r>
      <w:r w:rsidRPr="60D48B66">
        <w:rPr>
          <w:rFonts w:ascii="Calibri" w:hAnsi="Calibri" w:cs="Calibri"/>
        </w:rPr>
        <w:t xml:space="preserve">. </w:t>
      </w:r>
      <w:r>
        <w:rPr>
          <w:rFonts w:ascii="Calibri" w:hAnsi="Calibri" w:cs="Calibri"/>
        </w:rPr>
        <w:t xml:space="preserve">This method has key assumptions that raised concerns within members of the WPB23. These three equilibrium assumptions </w:t>
      </w:r>
      <w:r w:rsidR="00710C80" w:rsidRPr="00710C80">
        <w:rPr>
          <w:rFonts w:ascii="Calibri" w:hAnsi="Calibri" w:cs="Calibri"/>
        </w:rPr>
        <w:t>that are likely to be violated</w:t>
      </w:r>
      <w:r w:rsidR="00710C80" w:rsidRPr="00710C80">
        <w:rPr>
          <w:rFonts w:ascii="Calibri" w:hAnsi="Calibri" w:cs="Calibri"/>
        </w:rPr>
        <w:t xml:space="preserve"> </w:t>
      </w:r>
      <w:r>
        <w:rPr>
          <w:rFonts w:ascii="Calibri" w:hAnsi="Calibri" w:cs="Calibri"/>
        </w:rPr>
        <w:t>are: 1) annual recruitment is assumed to be constant over time without directional trends; 2) length-frequency data used to derive the SPR trends</w:t>
      </w:r>
      <w:r w:rsidRPr="60D48B66">
        <w:rPr>
          <w:rFonts w:ascii="Calibri" w:hAnsi="Calibri" w:cs="Calibri"/>
        </w:rPr>
        <w:t xml:space="preserve"> </w:t>
      </w:r>
      <w:r>
        <w:rPr>
          <w:rFonts w:ascii="Calibri" w:hAnsi="Calibri" w:cs="Calibri"/>
        </w:rPr>
        <w:t>is representative of the population; 3) selectivity is non-varying, and follows a logistic form.</w:t>
      </w:r>
      <w:r w:rsidRPr="60D48B66">
        <w:rPr>
          <w:rFonts w:ascii="Calibri" w:hAnsi="Calibri" w:cs="Calibri"/>
        </w:rPr>
        <w:t xml:space="preserve"> </w:t>
      </w:r>
    </w:p>
    <w:p w14:paraId="537BFDA3" w14:textId="77777777" w:rsidR="00296747" w:rsidRDefault="00296747" w:rsidP="00296747">
      <w:pPr>
        <w:jc w:val="both"/>
        <w:rPr>
          <w:rFonts w:ascii="Calibri" w:hAnsi="Calibri" w:cs="Calibri"/>
        </w:rPr>
      </w:pPr>
    </w:p>
    <w:p w14:paraId="56BE37C5" w14:textId="77777777" w:rsidR="00296747" w:rsidRPr="006D4DE2" w:rsidRDefault="00296747" w:rsidP="00296747">
      <w:pPr>
        <w:jc w:val="both"/>
        <w:rPr>
          <w:rFonts w:ascii="Calibri" w:hAnsi="Calibri" w:cs="Calibri"/>
        </w:rPr>
      </w:pPr>
      <w:r>
        <w:rPr>
          <w:rFonts w:ascii="Calibri" w:hAnsi="Calibri" w:cs="Calibri"/>
          <w:lang w:val="en-AU"/>
        </w:rPr>
        <w:t xml:space="preserve">The previous iteration of the Indo-Pacific sailfish assessment also noted the same concerns, and it was agreed by the SC in 2022 that the methodology of converting the length data into an index of relative abundance required further review. </w:t>
      </w:r>
      <w:r w:rsidRPr="009F7DF9">
        <w:rPr>
          <w:rFonts w:ascii="Calibri" w:hAnsi="Calibri" w:cs="Calibri"/>
        </w:rPr>
        <w:t xml:space="preserve"> </w:t>
      </w:r>
      <w:r>
        <w:rPr>
          <w:rFonts w:ascii="Calibri" w:hAnsi="Calibri" w:cs="Calibri"/>
        </w:rPr>
        <w:t xml:space="preserve">At the time of the assessment in 2025, there was uncertainty regarding how much the current assessment results are impacted by the violation of the assumptions listed above. It was discussed that it was possible that if assumptions are violated, the index of abundance could be showing trends that are diametrically opposed to the true population trend. </w:t>
      </w:r>
      <w:r w:rsidRPr="006D4DE2">
        <w:rPr>
          <w:rFonts w:ascii="Calibri" w:hAnsi="Calibri" w:cs="Calibri"/>
        </w:rPr>
        <w:t xml:space="preserve"> </w:t>
      </w:r>
      <w:r>
        <w:rPr>
          <w:rFonts w:ascii="Calibri" w:hAnsi="Calibri" w:cs="Calibri"/>
          <w:lang w:val="en-AU"/>
        </w:rPr>
        <w:t>It was recommended by the WPB23 that th</w:t>
      </w:r>
      <w:r w:rsidRPr="006D4DE2">
        <w:rPr>
          <w:rFonts w:ascii="Calibri" w:hAnsi="Calibri" w:cs="Calibri"/>
        </w:rPr>
        <w:t xml:space="preserve">e extent of the potential bias </w:t>
      </w:r>
      <w:r>
        <w:rPr>
          <w:rFonts w:ascii="Calibri" w:hAnsi="Calibri" w:cs="Calibri"/>
          <w:lang w:val="en-AU"/>
        </w:rPr>
        <w:t>must</w:t>
      </w:r>
      <w:r w:rsidRPr="006D4DE2">
        <w:rPr>
          <w:rFonts w:ascii="Calibri" w:hAnsi="Calibri" w:cs="Calibri"/>
        </w:rPr>
        <w:t xml:space="preserve"> be evaluated with a simulation</w:t>
      </w:r>
      <w:r>
        <w:rPr>
          <w:rFonts w:ascii="Calibri" w:hAnsi="Calibri" w:cs="Calibri"/>
          <w:lang w:val="en-AU"/>
        </w:rPr>
        <w:t xml:space="preserve"> study </w:t>
      </w:r>
      <w:r w:rsidRPr="006D4DE2">
        <w:rPr>
          <w:rFonts w:ascii="Calibri" w:hAnsi="Calibri" w:cs="Calibri"/>
        </w:rPr>
        <w:t xml:space="preserve">which will inform whether this </w:t>
      </w:r>
      <w:r>
        <w:rPr>
          <w:rFonts w:ascii="Calibri" w:hAnsi="Calibri" w:cs="Calibri"/>
        </w:rPr>
        <w:t>index</w:t>
      </w:r>
      <w:r w:rsidRPr="006D4DE2">
        <w:rPr>
          <w:rFonts w:ascii="Calibri" w:hAnsi="Calibri" w:cs="Calibri"/>
        </w:rPr>
        <w:t xml:space="preserve"> is acceptable for </w:t>
      </w:r>
      <w:r>
        <w:rPr>
          <w:rFonts w:ascii="Calibri" w:hAnsi="Calibri" w:cs="Calibri"/>
        </w:rPr>
        <w:t xml:space="preserve">use in the </w:t>
      </w:r>
      <w:r>
        <w:rPr>
          <w:rFonts w:ascii="Calibri" w:hAnsi="Calibri" w:cs="Calibri"/>
          <w:lang w:val="en-AU"/>
        </w:rPr>
        <w:t>Indo-Pacific sailfish stock assessment</w:t>
      </w:r>
      <w:r w:rsidRPr="006D4DE2">
        <w:rPr>
          <w:rFonts w:ascii="Calibri" w:hAnsi="Calibri" w:cs="Calibri"/>
        </w:rPr>
        <w:t>.</w:t>
      </w:r>
    </w:p>
    <w:p w14:paraId="5A6E6D70" w14:textId="77777777" w:rsidR="00296747" w:rsidRPr="006D4DE2" w:rsidRDefault="00296747" w:rsidP="00296747">
      <w:pPr>
        <w:jc w:val="both"/>
        <w:rPr>
          <w:rFonts w:ascii="Calibri" w:hAnsi="Calibri" w:cs="Calibri"/>
        </w:rPr>
      </w:pPr>
    </w:p>
    <w:p w14:paraId="5969389A" w14:textId="77777777" w:rsidR="00296747" w:rsidRDefault="00296747" w:rsidP="00296747">
      <w:pPr>
        <w:jc w:val="both"/>
        <w:rPr>
          <w:rFonts w:ascii="Calibri" w:hAnsi="Calibri" w:cs="Calibri"/>
        </w:rPr>
      </w:pPr>
      <w:r>
        <w:rPr>
          <w:rFonts w:ascii="Calibri" w:hAnsi="Calibri" w:cs="Calibri"/>
        </w:rPr>
        <w:t xml:space="preserve">The results of the LBSPR portion of the assessment indicate that there has been </w:t>
      </w:r>
      <w:r w:rsidRPr="00A53C0A">
        <w:rPr>
          <w:rFonts w:ascii="Calibri" w:hAnsi="Calibri" w:cs="Calibri"/>
        </w:rPr>
        <w:t xml:space="preserve">a </w:t>
      </w:r>
      <w:r w:rsidRPr="00987EDC">
        <w:rPr>
          <w:rFonts w:ascii="Calibri" w:hAnsi="Calibri" w:cs="Calibri"/>
        </w:rPr>
        <w:t xml:space="preserve">45.5 </w:t>
      </w:r>
      <w:r w:rsidRPr="00A53C0A">
        <w:rPr>
          <w:rFonts w:ascii="Calibri" w:hAnsi="Calibri" w:cs="Calibri"/>
        </w:rPr>
        <w:t>% decline in SPR since 1970. The latest (20</w:t>
      </w:r>
      <w:r w:rsidRPr="00987EDC">
        <w:rPr>
          <w:rFonts w:ascii="Calibri" w:hAnsi="Calibri" w:cs="Calibri"/>
        </w:rPr>
        <w:t>23</w:t>
      </w:r>
      <w:r w:rsidRPr="00A53C0A">
        <w:rPr>
          <w:rFonts w:ascii="Calibri" w:hAnsi="Calibri" w:cs="Calibri"/>
        </w:rPr>
        <w:t>) estimate of B/B</w:t>
      </w:r>
      <w:r w:rsidRPr="00A53C0A">
        <w:rPr>
          <w:rFonts w:ascii="Calibri" w:hAnsi="Calibri" w:cs="Calibri"/>
          <w:vertAlign w:val="subscript"/>
        </w:rPr>
        <w:t>MSY</w:t>
      </w:r>
      <w:r w:rsidRPr="00A53C0A">
        <w:rPr>
          <w:rFonts w:ascii="Calibri" w:hAnsi="Calibri" w:cs="Calibri"/>
        </w:rPr>
        <w:t xml:space="preserve"> was 1.</w:t>
      </w:r>
      <w:r w:rsidRPr="00987EDC">
        <w:rPr>
          <w:rFonts w:ascii="Calibri" w:hAnsi="Calibri" w:cs="Calibri"/>
        </w:rPr>
        <w:t>34</w:t>
      </w:r>
      <w:r w:rsidRPr="00A53C0A">
        <w:rPr>
          <w:rFonts w:ascii="Calibri" w:hAnsi="Calibri" w:cs="Calibri"/>
        </w:rPr>
        <w:t>, while the F/F</w:t>
      </w:r>
      <w:r w:rsidRPr="00A53C0A">
        <w:rPr>
          <w:rFonts w:ascii="Calibri" w:hAnsi="Calibri" w:cs="Calibri"/>
          <w:vertAlign w:val="subscript"/>
        </w:rPr>
        <w:t>MSY</w:t>
      </w:r>
      <w:r w:rsidRPr="00A53C0A">
        <w:rPr>
          <w:rFonts w:ascii="Calibri" w:hAnsi="Calibri" w:cs="Calibri"/>
        </w:rPr>
        <w:t xml:space="preserve"> estimate was 0.</w:t>
      </w:r>
      <w:r w:rsidRPr="00987EDC">
        <w:rPr>
          <w:rFonts w:ascii="Calibri" w:hAnsi="Calibri" w:cs="Calibri"/>
        </w:rPr>
        <w:t>69</w:t>
      </w:r>
      <w:r w:rsidRPr="00A53C0A">
        <w:rPr>
          <w:rFonts w:ascii="Calibri" w:hAnsi="Calibri" w:cs="Calibri"/>
        </w:rPr>
        <w:t>. Additionally, concern was raised regarding the high levels of current catches (31,898 t in 2023), that are above the previous MSY estimate of 25,905 t, and</w:t>
      </w:r>
      <w:r>
        <w:rPr>
          <w:rFonts w:ascii="Calibri" w:hAnsi="Calibri" w:cs="Calibri"/>
        </w:rPr>
        <w:t xml:space="preserve"> close to</w:t>
      </w:r>
      <w:r w:rsidRPr="00A53C0A">
        <w:rPr>
          <w:rFonts w:ascii="Calibri" w:hAnsi="Calibri" w:cs="Calibri"/>
        </w:rPr>
        <w:t xml:space="preserve"> the current, higher estimate of MSY of </w:t>
      </w:r>
      <w:r>
        <w:rPr>
          <w:rFonts w:ascii="Calibri" w:hAnsi="Calibri" w:cs="Calibri"/>
        </w:rPr>
        <w:t>34</w:t>
      </w:r>
      <w:r w:rsidRPr="00A53C0A">
        <w:rPr>
          <w:rFonts w:ascii="Calibri" w:hAnsi="Calibri" w:cs="Calibri"/>
        </w:rPr>
        <w:t>,</w:t>
      </w:r>
      <w:r>
        <w:rPr>
          <w:rFonts w:ascii="Calibri" w:hAnsi="Calibri" w:cs="Calibri"/>
        </w:rPr>
        <w:t>3</w:t>
      </w:r>
      <w:r w:rsidRPr="00A53C0A">
        <w:rPr>
          <w:rFonts w:ascii="Calibri" w:hAnsi="Calibri" w:cs="Calibri"/>
        </w:rPr>
        <w:t>00 t.</w:t>
      </w:r>
    </w:p>
    <w:p w14:paraId="34AD60C2" w14:textId="77777777" w:rsidR="00296747" w:rsidRDefault="00296747" w:rsidP="00296747">
      <w:pPr>
        <w:jc w:val="both"/>
        <w:rPr>
          <w:rFonts w:ascii="Calibri" w:hAnsi="Calibri" w:cs="Calibri"/>
        </w:rPr>
      </w:pPr>
    </w:p>
    <w:p w14:paraId="7A65D321" w14:textId="77777777" w:rsidR="00296747" w:rsidRPr="00AE73E7" w:rsidRDefault="00296747" w:rsidP="00296747">
      <w:pPr>
        <w:jc w:val="both"/>
        <w:rPr>
          <w:rFonts w:ascii="Calibri" w:hAnsi="Calibri" w:cs="Calibri"/>
          <w:bCs/>
        </w:rPr>
      </w:pPr>
      <w:r w:rsidRPr="00AE73E7">
        <w:rPr>
          <w:rFonts w:ascii="Calibri" w:hAnsi="Calibri" w:cs="Calibri"/>
        </w:rPr>
        <w:t>On the weight-of-evidence available in 202</w:t>
      </w:r>
      <w:r>
        <w:rPr>
          <w:rFonts w:ascii="Calibri" w:hAnsi="Calibri" w:cs="Calibri"/>
        </w:rPr>
        <w:t>5</w:t>
      </w:r>
      <w:r w:rsidRPr="00AE73E7">
        <w:rPr>
          <w:rFonts w:ascii="Calibri" w:hAnsi="Calibri" w:cs="Calibri"/>
        </w:rPr>
        <w:t xml:space="preserve">, the stock status of Indo-Pacific sailfish is determined to be </w:t>
      </w:r>
      <w:r w:rsidRPr="000C79C6">
        <w:rPr>
          <w:rFonts w:ascii="Calibri" w:hAnsi="Calibri" w:cs="Calibri"/>
          <w:b/>
          <w:bCs/>
          <w:i/>
          <w:iCs/>
        </w:rPr>
        <w:t xml:space="preserve">not </w:t>
      </w:r>
      <w:r w:rsidRPr="000C79C6">
        <w:rPr>
          <w:rFonts w:ascii="Calibri" w:hAnsi="Calibri" w:cs="Calibri"/>
          <w:b/>
          <w:i/>
        </w:rPr>
        <w:t>overfished</w:t>
      </w:r>
      <w:r w:rsidRPr="000C79C6">
        <w:rPr>
          <w:rFonts w:ascii="Calibri" w:hAnsi="Calibri" w:cs="Calibri"/>
          <w:b/>
          <w:bCs/>
          <w:i/>
          <w:iCs/>
        </w:rPr>
        <w:t xml:space="preserve"> nor s</w:t>
      </w:r>
      <w:r w:rsidRPr="000C79C6">
        <w:rPr>
          <w:rFonts w:ascii="Calibri" w:hAnsi="Calibri" w:cs="Calibri"/>
          <w:b/>
          <w:i/>
        </w:rPr>
        <w:t>ubject to overfishing</w:t>
      </w:r>
      <w:r w:rsidRPr="00AE73E7">
        <w:rPr>
          <w:rFonts w:ascii="Calibri" w:hAnsi="Calibri" w:cs="Calibri"/>
          <w:b/>
          <w:i/>
        </w:rPr>
        <w:t xml:space="preserve"> </w:t>
      </w:r>
      <w:r w:rsidRPr="00AE73E7">
        <w:rPr>
          <w:rFonts w:ascii="Calibri" w:hAnsi="Calibri" w:cs="Calibri"/>
          <w:bCs/>
        </w:rPr>
        <w:t>(</w:t>
      </w:r>
      <w:r w:rsidRPr="00AE73E7">
        <w:rPr>
          <w:rFonts w:ascii="Calibri" w:hAnsi="Calibri" w:cs="Calibri"/>
          <w:b/>
          <w:bCs/>
        </w:rPr>
        <w:t>Table 1</w:t>
      </w:r>
      <w:r w:rsidRPr="00AE73E7">
        <w:rPr>
          <w:rFonts w:ascii="Calibri" w:hAnsi="Calibri" w:cs="Calibri"/>
          <w:bCs/>
        </w:rPr>
        <w:t xml:space="preserve">; </w:t>
      </w:r>
      <w:r w:rsidRPr="00AE73E7">
        <w:rPr>
          <w:rFonts w:ascii="Calibri" w:hAnsi="Calibri" w:cs="Calibri"/>
          <w:b/>
          <w:bCs/>
        </w:rPr>
        <w:t>Fig. 3</w:t>
      </w:r>
      <w:r w:rsidRPr="00AE73E7">
        <w:rPr>
          <w:rFonts w:ascii="Calibri" w:hAnsi="Calibri" w:cs="Calibri"/>
          <w:bCs/>
        </w:rPr>
        <w:t>).</w:t>
      </w:r>
    </w:p>
    <w:p w14:paraId="2F61A555" w14:textId="77777777" w:rsidR="00296747" w:rsidRPr="00AE73E7" w:rsidRDefault="00296747" w:rsidP="00296747">
      <w:pPr>
        <w:jc w:val="both"/>
        <w:rPr>
          <w:rFonts w:ascii="Calibri" w:hAnsi="Calibri" w:cs="Calibri"/>
        </w:rPr>
      </w:pPr>
    </w:p>
    <w:p w14:paraId="50106999" w14:textId="77777777" w:rsidR="00296747" w:rsidRPr="00AE73E7" w:rsidRDefault="00296747" w:rsidP="00296747">
      <w:pPr>
        <w:autoSpaceDE w:val="0"/>
        <w:autoSpaceDN w:val="0"/>
        <w:adjustRightInd w:val="0"/>
        <w:jc w:val="both"/>
        <w:rPr>
          <w:rFonts w:ascii="Calibri" w:hAnsi="Calibri" w:cs="Calibri"/>
        </w:rPr>
      </w:pPr>
      <w:r w:rsidRPr="00AE73E7">
        <w:rPr>
          <w:rFonts w:ascii="Calibri" w:hAnsi="Calibri" w:cs="Calibri"/>
          <w:b/>
          <w:i/>
          <w:snapToGrid w:val="0"/>
          <w:szCs w:val="20"/>
        </w:rPr>
        <w:t xml:space="preserve">Outlook. </w:t>
      </w:r>
      <w:r w:rsidRPr="00AE73E7">
        <w:rPr>
          <w:rFonts w:ascii="Calibri" w:hAnsi="Calibri" w:cs="Calibri"/>
        </w:rPr>
        <w:t xml:space="preserve">Catches have exceeded the estimated MSY since 2013 and the current catches (average of </w:t>
      </w:r>
      <w:r>
        <w:rPr>
          <w:rFonts w:ascii="Calibri" w:hAnsi="Calibri" w:cs="Calibri"/>
        </w:rPr>
        <w:t>33,888</w:t>
      </w:r>
      <w:r w:rsidRPr="00005210">
        <w:rPr>
          <w:rFonts w:ascii="Calibri" w:hAnsi="Calibri" w:cs="Calibri"/>
        </w:rPr>
        <w:t xml:space="preserve"> t in the last 5 years, 2019-2023</w:t>
      </w:r>
      <w:r w:rsidRPr="00AE73E7">
        <w:rPr>
          <w:rFonts w:ascii="Calibri" w:hAnsi="Calibri" w:cs="Calibri"/>
        </w:rPr>
        <w:t xml:space="preserve">) are substantially higher than </w:t>
      </w:r>
      <w:r w:rsidRPr="00987EDC">
        <w:rPr>
          <w:rFonts w:ascii="Calibri" w:hAnsi="Calibri" w:cs="Calibri"/>
        </w:rPr>
        <w:t xml:space="preserve">the </w:t>
      </w:r>
      <w:r w:rsidRPr="00DC41D9">
        <w:rPr>
          <w:rFonts w:ascii="Calibri" w:hAnsi="Calibri" w:cs="Calibri"/>
        </w:rPr>
        <w:t>previous MSY estimate of 25,905 t</w:t>
      </w:r>
      <w:r>
        <w:rPr>
          <w:rFonts w:ascii="Calibri" w:hAnsi="Calibri" w:cs="Calibri"/>
        </w:rPr>
        <w:t>, and close to the current MSY estimate of 34,300 t</w:t>
      </w:r>
      <w:r w:rsidRPr="00AE73E7">
        <w:rPr>
          <w:rFonts w:ascii="Calibri" w:hAnsi="Calibri" w:cs="Calibri"/>
        </w:rPr>
        <w:t xml:space="preserve">. </w:t>
      </w:r>
      <w:r w:rsidRPr="00AE73E7">
        <w:rPr>
          <w:rFonts w:ascii="Calibri" w:hAnsi="Calibri" w:cs="Calibri"/>
          <w:snapToGrid w:val="0"/>
          <w:szCs w:val="20"/>
        </w:rPr>
        <w:t>This increase in coastal gillnet</w:t>
      </w:r>
      <w:r>
        <w:rPr>
          <w:rFonts w:ascii="Calibri" w:hAnsi="Calibri" w:cs="Calibri"/>
          <w:snapToGrid w:val="0"/>
          <w:szCs w:val="20"/>
        </w:rPr>
        <w:t xml:space="preserve"> and</w:t>
      </w:r>
      <w:r w:rsidRPr="00AE73E7">
        <w:rPr>
          <w:rFonts w:ascii="Calibri" w:hAnsi="Calibri" w:cs="Calibri"/>
          <w:snapToGrid w:val="0"/>
          <w:szCs w:val="20"/>
        </w:rPr>
        <w:t xml:space="preserve"> longline catches and fishing effort in recent years is a substantial cause for concern for the Indian Ocean stock, however there is not sufficient information to evaluate the effect this will have on the resource. </w:t>
      </w:r>
      <w:r w:rsidRPr="00AE73E7">
        <w:rPr>
          <w:rFonts w:ascii="Calibri" w:hAnsi="Calibri" w:cs="Calibri"/>
        </w:rPr>
        <w:t>It is also noted that the 2020</w:t>
      </w:r>
      <w:r>
        <w:rPr>
          <w:rFonts w:ascii="Calibri" w:hAnsi="Calibri" w:cs="Calibri"/>
        </w:rPr>
        <w:t>-2024</w:t>
      </w:r>
      <w:r w:rsidRPr="00AE73E7">
        <w:rPr>
          <w:rFonts w:ascii="Calibri" w:hAnsi="Calibri" w:cs="Calibri"/>
        </w:rPr>
        <w:t xml:space="preserve"> catches exceed the catch limit prescribed in </w:t>
      </w:r>
      <w:hyperlink r:id="rId93" w:history="1">
        <w:r w:rsidRPr="00AE73E7">
          <w:rPr>
            <w:rFonts w:ascii="Calibri" w:hAnsi="Calibri" w:cs="Calibri"/>
            <w:color w:val="0000FF"/>
            <w:u w:val="single"/>
          </w:rPr>
          <w:t>Resolution 18/05</w:t>
        </w:r>
      </w:hyperlink>
      <w:r w:rsidRPr="00AE73E7">
        <w:rPr>
          <w:rFonts w:ascii="Calibri" w:hAnsi="Calibri" w:cs="Calibri"/>
        </w:rPr>
        <w:t xml:space="preserve"> (25,000 t).  </w:t>
      </w:r>
    </w:p>
    <w:p w14:paraId="20AFE382" w14:textId="77777777" w:rsidR="00296747" w:rsidRPr="00AE73E7" w:rsidRDefault="00296747" w:rsidP="00296747">
      <w:pPr>
        <w:jc w:val="both"/>
        <w:rPr>
          <w:rFonts w:ascii="Calibri" w:hAnsi="Calibri" w:cs="Calibri"/>
          <w:b/>
          <w:bCs/>
          <w:i/>
          <w:szCs w:val="20"/>
        </w:rPr>
      </w:pPr>
    </w:p>
    <w:p w14:paraId="16B7AC4D" w14:textId="77777777" w:rsidR="00296747" w:rsidRDefault="00296747" w:rsidP="00296747">
      <w:pPr>
        <w:jc w:val="both"/>
        <w:rPr>
          <w:rFonts w:ascii="Calibri" w:hAnsi="Calibri" w:cs="Calibri"/>
        </w:rPr>
      </w:pPr>
      <w:r w:rsidRPr="00AE73E7">
        <w:rPr>
          <w:rFonts w:ascii="Calibri" w:hAnsi="Calibri" w:cs="Calibri"/>
          <w:b/>
          <w:bCs/>
          <w:i/>
          <w:szCs w:val="20"/>
        </w:rPr>
        <w:t>Management advice.</w:t>
      </w:r>
      <w:r w:rsidRPr="00AE73E7">
        <w:rPr>
          <w:rFonts w:ascii="Calibri" w:hAnsi="Calibri" w:cs="Calibri"/>
        </w:rPr>
        <w:t xml:space="preserve"> </w:t>
      </w:r>
      <w:r w:rsidRPr="00F03F70">
        <w:rPr>
          <w:rFonts w:ascii="Calibri" w:hAnsi="Calibri" w:cs="Calibri"/>
        </w:rPr>
        <w:t xml:space="preserve">Considerable uncertainty remains in the </w:t>
      </w:r>
      <w:r>
        <w:rPr>
          <w:rFonts w:ascii="Calibri" w:hAnsi="Calibri" w:cs="Calibri"/>
        </w:rPr>
        <w:t>JABBA</w:t>
      </w:r>
      <w:r w:rsidRPr="00F03F70">
        <w:rPr>
          <w:rFonts w:ascii="Calibri" w:hAnsi="Calibri" w:cs="Calibri"/>
        </w:rPr>
        <w:t xml:space="preserve"> assessment conducted in 2025, however the trends in key model outputs align relatively well with the 2022 assessment. For this year, due to the uncertainty in the model outputs, the management advice from 2022 would be carried over for one year (1 year) to allow time to </w:t>
      </w:r>
      <w:r>
        <w:rPr>
          <w:rFonts w:ascii="Calibri" w:hAnsi="Calibri" w:cs="Calibri"/>
        </w:rPr>
        <w:t>complete the simulation studies and</w:t>
      </w:r>
      <w:r w:rsidRPr="00F03F70">
        <w:rPr>
          <w:rFonts w:ascii="Calibri" w:hAnsi="Calibri" w:cs="Calibri"/>
        </w:rPr>
        <w:t xml:space="preserve"> provide updated management advice in 2026. It is anticipated that, once the </w:t>
      </w:r>
      <w:r>
        <w:rPr>
          <w:rFonts w:ascii="Calibri" w:hAnsi="Calibri" w:cs="Calibri"/>
        </w:rPr>
        <w:t xml:space="preserve">underlying uncertainty in the JABBA </w:t>
      </w:r>
      <w:r w:rsidRPr="00F03F70">
        <w:rPr>
          <w:rFonts w:ascii="Calibri" w:hAnsi="Calibri" w:cs="Calibri"/>
        </w:rPr>
        <w:t xml:space="preserve">assessment is </w:t>
      </w:r>
      <w:r>
        <w:rPr>
          <w:rFonts w:ascii="Calibri" w:hAnsi="Calibri" w:cs="Calibri"/>
        </w:rPr>
        <w:t>understood</w:t>
      </w:r>
      <w:r w:rsidRPr="00F03F70">
        <w:rPr>
          <w:rFonts w:ascii="Calibri" w:hAnsi="Calibri" w:cs="Calibri"/>
        </w:rPr>
        <w:t xml:space="preserve"> and </w:t>
      </w:r>
      <w:r>
        <w:rPr>
          <w:rFonts w:ascii="Calibri" w:hAnsi="Calibri" w:cs="Calibri"/>
        </w:rPr>
        <w:t>presented</w:t>
      </w:r>
      <w:r w:rsidRPr="00F03F70">
        <w:rPr>
          <w:rFonts w:ascii="Calibri" w:hAnsi="Calibri" w:cs="Calibri"/>
        </w:rPr>
        <w:t xml:space="preserve"> at the proposed </w:t>
      </w:r>
      <w:r>
        <w:rPr>
          <w:rFonts w:ascii="Calibri" w:hAnsi="Calibri" w:cs="Calibri"/>
        </w:rPr>
        <w:t>WPB</w:t>
      </w:r>
      <w:r w:rsidRPr="00F03F70">
        <w:rPr>
          <w:rFonts w:ascii="Calibri" w:hAnsi="Calibri" w:cs="Calibri"/>
        </w:rPr>
        <w:t xml:space="preserve"> meeting next year, management advice can be updated. </w:t>
      </w:r>
    </w:p>
    <w:p w14:paraId="1F59B0AF" w14:textId="77777777" w:rsidR="00296747" w:rsidRDefault="00296747" w:rsidP="00296747">
      <w:pPr>
        <w:jc w:val="both"/>
        <w:rPr>
          <w:rFonts w:ascii="Calibri" w:hAnsi="Calibri" w:cs="Calibri"/>
        </w:rPr>
      </w:pPr>
    </w:p>
    <w:p w14:paraId="4EDBF194" w14:textId="7B1E462D" w:rsidR="00296747" w:rsidRPr="00AE73E7" w:rsidRDefault="00296747" w:rsidP="00296747">
      <w:pPr>
        <w:jc w:val="both"/>
        <w:rPr>
          <w:rFonts w:ascii="Calibri" w:hAnsi="Calibri" w:cs="Calibri"/>
          <w:bCs/>
          <w:highlight w:val="yellow"/>
        </w:rPr>
      </w:pPr>
      <w:r w:rsidRPr="00AE73E7">
        <w:rPr>
          <w:rFonts w:ascii="Calibri" w:hAnsi="Calibri" w:cs="Calibri"/>
          <w:bCs/>
          <w:szCs w:val="20"/>
        </w:rPr>
        <w:t>The</w:t>
      </w:r>
      <w:r w:rsidRPr="00AE73E7">
        <w:rPr>
          <w:rFonts w:ascii="Calibri" w:hAnsi="Calibri" w:cs="Calibri"/>
          <w:b/>
          <w:bCs/>
          <w:i/>
          <w:szCs w:val="20"/>
        </w:rPr>
        <w:t xml:space="preserve"> </w:t>
      </w:r>
      <w:r w:rsidRPr="00AE73E7">
        <w:rPr>
          <w:rFonts w:ascii="Calibri" w:hAnsi="Calibri" w:cs="Calibri"/>
          <w:bCs/>
          <w:szCs w:val="20"/>
        </w:rPr>
        <w:t xml:space="preserve">catch limits as stipulated in </w:t>
      </w:r>
      <w:hyperlink r:id="rId94" w:history="1">
        <w:r w:rsidRPr="00AE73E7">
          <w:rPr>
            <w:rFonts w:ascii="Calibri" w:hAnsi="Calibri" w:cs="Calibri"/>
            <w:bCs/>
            <w:color w:val="0000FF"/>
            <w:szCs w:val="20"/>
            <w:u w:val="single"/>
          </w:rPr>
          <w:t>Resolution 18/05</w:t>
        </w:r>
      </w:hyperlink>
      <w:r w:rsidRPr="00AE73E7">
        <w:rPr>
          <w:rFonts w:ascii="Calibri" w:hAnsi="Calibri" w:cs="Calibri"/>
          <w:bCs/>
          <w:szCs w:val="20"/>
        </w:rPr>
        <w:t xml:space="preserve"> have been exceeded </w:t>
      </w:r>
      <w:r w:rsidRPr="00005210">
        <w:rPr>
          <w:rFonts w:ascii="Calibri" w:hAnsi="Calibri" w:cs="Calibri"/>
          <w:bCs/>
          <w:szCs w:val="20"/>
        </w:rPr>
        <w:t>since 2020,</w:t>
      </w:r>
      <w:r>
        <w:rPr>
          <w:rFonts w:ascii="Calibri" w:hAnsi="Calibri" w:cs="Calibri"/>
          <w:bCs/>
          <w:szCs w:val="20"/>
        </w:rPr>
        <w:t xml:space="preserve"> </w:t>
      </w:r>
      <w:r>
        <w:rPr>
          <w:rFonts w:ascii="Calibri" w:hAnsi="Calibri" w:cs="Calibri"/>
          <w:lang w:eastAsia="es-ES"/>
        </w:rPr>
        <w:t>which as per resolution 18/05, requires a review of the resolution. Furthermore, these limits are not based on estimates of most recent stock assessment.</w:t>
      </w:r>
      <w:r w:rsidR="00283E3E">
        <w:rPr>
          <w:rFonts w:ascii="Calibri" w:hAnsi="Calibri" w:cs="Calibri"/>
          <w:bCs/>
          <w:szCs w:val="20"/>
        </w:rPr>
        <w:t xml:space="preserve"> I</w:t>
      </w:r>
      <w:r w:rsidRPr="00AE73E7">
        <w:rPr>
          <w:rFonts w:ascii="Calibri" w:hAnsi="Calibri" w:cs="Calibri"/>
          <w:bCs/>
          <w:szCs w:val="20"/>
        </w:rPr>
        <w:t xml:space="preserve">t is recommended that the Commission review the implementation and effectiveness of the measures contained in this Resolution and consider the adoption of additional conservation and management measures. The Commission should provide mechanisms to ensure that catch limits are not exceeded by all concerned fisheries. </w:t>
      </w:r>
      <w:r w:rsidRPr="00AE73E7">
        <w:rPr>
          <w:rFonts w:ascii="Calibri" w:hAnsi="Calibri" w:cs="Calibri"/>
        </w:rPr>
        <w:t xml:space="preserve">Research emphasis on further developing possible CPUE indicators from coastal gillnet and longline fisheries, and further exploration of stock assessment approaches for data poor fisheries are warranted. Given the limited data being reported for coastal fisheries, and the importance of sports fisheries for this species, efforts must be made to rectify these information gaps. </w:t>
      </w:r>
    </w:p>
    <w:p w14:paraId="66CFA9F5" w14:textId="77777777" w:rsidR="00296747" w:rsidRPr="00AE73E7" w:rsidRDefault="00296747" w:rsidP="00296747">
      <w:pPr>
        <w:spacing w:before="120" w:after="120"/>
        <w:ind w:right="389"/>
        <w:jc w:val="both"/>
        <w:rPr>
          <w:rFonts w:ascii="Calibri" w:hAnsi="Calibri" w:cs="Calibri"/>
          <w:snapToGrid w:val="0"/>
          <w:szCs w:val="20"/>
        </w:rPr>
      </w:pPr>
      <w:r w:rsidRPr="00AE73E7">
        <w:rPr>
          <w:rFonts w:ascii="Calibri" w:hAnsi="Calibri" w:cs="Calibri"/>
          <w:snapToGrid w:val="0"/>
          <w:szCs w:val="20"/>
        </w:rPr>
        <w:t>The following key points should also be noted:</w:t>
      </w:r>
    </w:p>
    <w:p w14:paraId="47B80B1F" w14:textId="2C068E82" w:rsidR="00296747" w:rsidRPr="00AE73E7" w:rsidRDefault="00296747" w:rsidP="00296747">
      <w:pPr>
        <w:numPr>
          <w:ilvl w:val="0"/>
          <w:numId w:val="13"/>
        </w:numPr>
        <w:ind w:left="714" w:right="432"/>
        <w:jc w:val="both"/>
        <w:rPr>
          <w:rFonts w:ascii="Calibri" w:eastAsia="Calibri" w:hAnsi="Calibri" w:cs="Calibri"/>
          <w:b/>
          <w:snapToGrid w:val="0"/>
        </w:rPr>
      </w:pPr>
      <w:r w:rsidRPr="00AE73E7">
        <w:rPr>
          <w:rFonts w:ascii="Calibri" w:eastAsia="Calibri" w:hAnsi="Calibri" w:cs="Calibri"/>
          <w:b/>
          <w:snapToGrid w:val="0"/>
        </w:rPr>
        <w:t xml:space="preserve">Maximum Sustainable Yield (MSY): </w:t>
      </w:r>
      <w:r w:rsidRPr="00AE73E7">
        <w:rPr>
          <w:rFonts w:ascii="Calibri" w:eastAsia="Calibri" w:hAnsi="Calibri" w:cs="Calibri"/>
          <w:snapToGrid w:val="0"/>
        </w:rPr>
        <w:t xml:space="preserve">estimate for the Indian Ocean stock is </w:t>
      </w:r>
      <w:r w:rsidRPr="00C05408">
        <w:rPr>
          <w:rFonts w:ascii="Calibri" w:eastAsia="Calibri" w:hAnsi="Calibri" w:cs="Calibri"/>
          <w:snapToGrid w:val="0"/>
        </w:rPr>
        <w:t>34,300 t.</w:t>
      </w:r>
      <w:r>
        <w:rPr>
          <w:rFonts w:ascii="Calibri" w:eastAsia="Calibri" w:hAnsi="Calibri" w:cs="Calibri"/>
          <w:snapToGrid w:val="0"/>
        </w:rPr>
        <w:t xml:space="preserve"> As mentioned in the paragraph above and in the table at the start of the document (</w:t>
      </w:r>
      <w:r>
        <w:rPr>
          <w:rFonts w:ascii="Calibri" w:eastAsia="Calibri" w:hAnsi="Calibri" w:cs="Calibri"/>
          <w:b/>
          <w:bCs/>
          <w:snapToGrid w:val="0"/>
        </w:rPr>
        <w:t>Table 1</w:t>
      </w:r>
      <w:r>
        <w:rPr>
          <w:rFonts w:ascii="Calibri" w:eastAsia="Calibri" w:hAnsi="Calibri" w:cs="Calibri"/>
          <w:snapToGrid w:val="0"/>
        </w:rPr>
        <w:t xml:space="preserve">), MSY and associated stock assessment outputs are not to be used for management advice. This includes the </w:t>
      </w:r>
      <w:r w:rsidR="00A25562">
        <w:rPr>
          <w:rFonts w:ascii="Calibri" w:eastAsia="Calibri" w:hAnsi="Calibri" w:cs="Calibri"/>
          <w:snapToGrid w:val="0"/>
        </w:rPr>
        <w:t>Kobe</w:t>
      </w:r>
      <w:r>
        <w:rPr>
          <w:rFonts w:ascii="Calibri" w:eastAsia="Calibri" w:hAnsi="Calibri" w:cs="Calibri"/>
          <w:snapToGrid w:val="0"/>
        </w:rPr>
        <w:t xml:space="preserve"> plot, and these values (including the </w:t>
      </w:r>
      <w:r w:rsidR="00A25562">
        <w:rPr>
          <w:rFonts w:ascii="Calibri" w:eastAsia="Calibri" w:hAnsi="Calibri" w:cs="Calibri"/>
          <w:snapToGrid w:val="0"/>
        </w:rPr>
        <w:t xml:space="preserve">Kobe </w:t>
      </w:r>
      <w:r>
        <w:rPr>
          <w:rFonts w:ascii="Calibri" w:eastAsia="Calibri" w:hAnsi="Calibri" w:cs="Calibri"/>
          <w:snapToGrid w:val="0"/>
        </w:rPr>
        <w:t>plot) may be updated in 2026 after the simulation study has been completed.</w:t>
      </w:r>
    </w:p>
    <w:p w14:paraId="7A8F8C69" w14:textId="77777777" w:rsidR="00296747" w:rsidRPr="00AE73E7" w:rsidRDefault="00296747" w:rsidP="00296747">
      <w:pPr>
        <w:numPr>
          <w:ilvl w:val="0"/>
          <w:numId w:val="13"/>
        </w:numPr>
        <w:ind w:left="714" w:right="432"/>
        <w:jc w:val="both"/>
        <w:rPr>
          <w:rFonts w:ascii="Calibri" w:eastAsia="Calibri" w:hAnsi="Calibri" w:cs="Calibri"/>
          <w:b/>
          <w:snapToGrid w:val="0"/>
        </w:rPr>
      </w:pPr>
      <w:r w:rsidRPr="00AE73E7">
        <w:rPr>
          <w:rFonts w:ascii="Calibri" w:eastAsia="Calibri" w:hAnsi="Calibri" w:cs="Calibri"/>
          <w:b/>
          <w:snapToGrid w:val="0"/>
        </w:rPr>
        <w:t xml:space="preserve">Provisional reference points: </w:t>
      </w:r>
      <w:r w:rsidRPr="00AE73E7">
        <w:rPr>
          <w:rFonts w:ascii="Calibri" w:eastAsia="Calibri" w:hAnsi="Calibri" w:cs="Calibri"/>
          <w:snapToGrid w:val="0"/>
        </w:rPr>
        <w:t xml:space="preserve">although the Commission adopted reference points for swordfish in </w:t>
      </w:r>
      <w:hyperlink r:id="rId95" w:history="1">
        <w:r w:rsidRPr="00AE73E7">
          <w:rPr>
            <w:rFonts w:ascii="Calibri" w:eastAsia="Calibri" w:hAnsi="Calibri" w:cs="Calibri"/>
            <w:snapToGrid w:val="0"/>
            <w:color w:val="0000FF"/>
            <w:u w:val="single"/>
          </w:rPr>
          <w:t>Resolution 15/10</w:t>
        </w:r>
      </w:hyperlink>
      <w:r w:rsidRPr="00AE73E7">
        <w:rPr>
          <w:rFonts w:ascii="Calibri" w:eastAsia="Calibri" w:hAnsi="Calibri" w:cs="Calibri"/>
          <w:snapToGrid w:val="0"/>
        </w:rPr>
        <w:t xml:space="preserve"> on target and limit reference points and a decision framework, no such interim reference points have been established for Indo-Pacific sailfish.</w:t>
      </w:r>
    </w:p>
    <w:p w14:paraId="700A846A" w14:textId="77777777" w:rsidR="00296747" w:rsidRPr="00AE73E7" w:rsidRDefault="00296747" w:rsidP="00296747">
      <w:pPr>
        <w:numPr>
          <w:ilvl w:val="0"/>
          <w:numId w:val="13"/>
        </w:numPr>
        <w:ind w:right="432"/>
        <w:jc w:val="both"/>
        <w:rPr>
          <w:rFonts w:ascii="Calibri" w:hAnsi="Calibri" w:cs="Calibri"/>
          <w:snapToGrid w:val="0"/>
        </w:rPr>
      </w:pPr>
      <w:r w:rsidRPr="7E743225">
        <w:rPr>
          <w:rFonts w:ascii="Calibri" w:eastAsia="Calibri" w:hAnsi="Calibri" w:cs="Calibri"/>
          <w:b/>
          <w:bCs/>
          <w:snapToGrid w:val="0"/>
        </w:rPr>
        <w:t xml:space="preserve">Main fisheries (mean annual catch 2019-2023): </w:t>
      </w:r>
      <w:r>
        <w:rPr>
          <w:rFonts w:ascii="Calibri" w:eastAsia="Calibri" w:hAnsi="Calibri" w:cs="Calibri"/>
          <w:snapToGrid w:val="0"/>
        </w:rPr>
        <w:t>Indo-Pacific</w:t>
      </w:r>
      <w:r w:rsidRPr="7E743225">
        <w:rPr>
          <w:rFonts w:ascii="Calibri" w:eastAsia="Calibri" w:hAnsi="Calibri" w:cs="Calibri"/>
        </w:rPr>
        <w:t xml:space="preserve"> sailfish are caught using gillnet (69.6%), followed by line (26.4%) and longline (2.4%). The remaining catches taken with other gears contributed to 1.6% of the total catches in recent years</w:t>
      </w:r>
      <w:r w:rsidRPr="7E743225">
        <w:rPr>
          <w:rFonts w:ascii="Calibri" w:eastAsia="Calibri" w:hAnsi="Calibri" w:cs="Calibri"/>
          <w:snapToGrid w:val="0"/>
        </w:rPr>
        <w:t xml:space="preserve"> (</w:t>
      </w:r>
      <w:r w:rsidRPr="7E743225">
        <w:rPr>
          <w:rFonts w:ascii="Calibri" w:eastAsia="Calibri" w:hAnsi="Calibri" w:cs="Calibri"/>
          <w:b/>
          <w:bCs/>
          <w:snapToGrid w:val="0"/>
        </w:rPr>
        <w:t>Fig. 1</w:t>
      </w:r>
      <w:r w:rsidRPr="7E743225">
        <w:rPr>
          <w:rFonts w:ascii="Calibri" w:eastAsia="Calibri" w:hAnsi="Calibri" w:cs="Calibri"/>
          <w:snapToGrid w:val="0"/>
        </w:rPr>
        <w:t>)</w:t>
      </w:r>
      <w:r w:rsidRPr="7E743225">
        <w:rPr>
          <w:rFonts w:ascii="Calibri" w:eastAsia="Calibri" w:hAnsi="Calibri" w:cs="Calibri"/>
          <w:b/>
          <w:bCs/>
          <w:snapToGrid w:val="0"/>
        </w:rPr>
        <w:t>.</w:t>
      </w:r>
    </w:p>
    <w:p w14:paraId="5E86C27A" w14:textId="77777777" w:rsidR="00296747" w:rsidRPr="00AE73E7" w:rsidRDefault="00296747" w:rsidP="00296747">
      <w:pPr>
        <w:numPr>
          <w:ilvl w:val="0"/>
          <w:numId w:val="13"/>
        </w:numPr>
        <w:ind w:left="714" w:right="432"/>
        <w:jc w:val="both"/>
        <w:rPr>
          <w:rFonts w:ascii="Calibri" w:hAnsi="Calibri" w:cs="Calibri"/>
        </w:rPr>
      </w:pPr>
      <w:r w:rsidRPr="7E743225">
        <w:rPr>
          <w:rFonts w:ascii="Calibri" w:hAnsi="Calibri" w:cs="Calibri"/>
          <w:b/>
          <w:bCs/>
        </w:rPr>
        <w:lastRenderedPageBreak/>
        <w:t>Main fleets (mean annual catch 2019-2023)</w:t>
      </w:r>
      <w:r w:rsidRPr="7E743225">
        <w:rPr>
          <w:rFonts w:ascii="Calibri" w:hAnsi="Calibri" w:cs="Calibri"/>
        </w:rPr>
        <w:t xml:space="preserve">: most </w:t>
      </w:r>
      <w:r>
        <w:rPr>
          <w:rFonts w:ascii="Calibri" w:hAnsi="Calibri" w:cs="Calibri"/>
        </w:rPr>
        <w:t>Indo-Pacific</w:t>
      </w:r>
      <w:r w:rsidRPr="7E743225">
        <w:rPr>
          <w:rFonts w:ascii="Calibri" w:hAnsi="Calibri" w:cs="Calibri"/>
        </w:rPr>
        <w:t xml:space="preserve"> sailfish catches are attributed to vessels flagged to I. R. Iran (41.7%) followed by India (20.2%) and Indonesia (8.7%). The 33 other fleets catching </w:t>
      </w:r>
      <w:r>
        <w:rPr>
          <w:rFonts w:ascii="Calibri" w:hAnsi="Calibri" w:cs="Calibri"/>
        </w:rPr>
        <w:t>I</w:t>
      </w:r>
      <w:r w:rsidRPr="7E743225">
        <w:rPr>
          <w:rFonts w:ascii="Calibri" w:hAnsi="Calibri" w:cs="Calibri"/>
        </w:rPr>
        <w:t>ndo-</w:t>
      </w:r>
      <w:r>
        <w:rPr>
          <w:rFonts w:ascii="Calibri" w:hAnsi="Calibri" w:cs="Calibri"/>
        </w:rPr>
        <w:t>P</w:t>
      </w:r>
      <w:r w:rsidRPr="7E743225">
        <w:rPr>
          <w:rFonts w:ascii="Calibri" w:hAnsi="Calibri" w:cs="Calibri"/>
        </w:rPr>
        <w:t>acific sailfish contributed to 29.1% of the total catch in recent years (</w:t>
      </w:r>
      <w:r w:rsidRPr="7E743225">
        <w:rPr>
          <w:rFonts w:ascii="Calibri" w:hAnsi="Calibri" w:cs="Calibri"/>
          <w:b/>
          <w:bCs/>
        </w:rPr>
        <w:t>Fig. 2</w:t>
      </w:r>
      <w:r w:rsidRPr="7E743225">
        <w:rPr>
          <w:rFonts w:ascii="Calibri" w:hAnsi="Calibri" w:cs="Calibri"/>
        </w:rPr>
        <w:t>).</w:t>
      </w:r>
    </w:p>
    <w:p w14:paraId="72DFB8C7" w14:textId="5EFA14C4" w:rsidR="00296747" w:rsidRPr="00AE73E7" w:rsidRDefault="00296747" w:rsidP="00296747">
      <w:pPr>
        <w:rPr>
          <w:rFonts w:ascii="Calibri" w:hAnsi="Calibri" w:cs="Calibri"/>
          <w:szCs w:val="20"/>
          <w:highlight w:val="yellow"/>
        </w:rPr>
      </w:pPr>
    </w:p>
    <w:p w14:paraId="0BC0B12B" w14:textId="77777777" w:rsidR="00296747" w:rsidRPr="00AE73E7" w:rsidRDefault="00296747" w:rsidP="00296747">
      <w:pPr>
        <w:ind w:right="432"/>
        <w:jc w:val="both"/>
      </w:pPr>
      <w:r>
        <w:rPr>
          <w:noProof/>
        </w:rPr>
        <w:drawing>
          <wp:inline distT="0" distB="0" distL="0" distR="0" wp14:anchorId="3B75B581" wp14:editId="2DC0DC86">
            <wp:extent cx="5943600" cy="2495550"/>
            <wp:effectExtent l="0" t="0" r="0" b="0"/>
            <wp:docPr id="144080854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808549" name=""/>
                    <pic:cNvPicPr/>
                  </pic:nvPicPr>
                  <pic:blipFill>
                    <a:blip r:embed="rId96">
                      <a:extLst>
                        <a:ext uri="{28A0092B-C50C-407E-A947-70E740481C1C}">
                          <a14:useLocalDpi xmlns:a14="http://schemas.microsoft.com/office/drawing/2010/main" val="0"/>
                        </a:ext>
                      </a:extLst>
                    </a:blip>
                    <a:stretch>
                      <a:fillRect/>
                    </a:stretch>
                  </pic:blipFill>
                  <pic:spPr>
                    <a:xfrm>
                      <a:off x="0" y="0"/>
                      <a:ext cx="5943600" cy="2495550"/>
                    </a:xfrm>
                    <a:prstGeom prst="rect">
                      <a:avLst/>
                    </a:prstGeom>
                  </pic:spPr>
                </pic:pic>
              </a:graphicData>
            </a:graphic>
          </wp:inline>
        </w:drawing>
      </w:r>
    </w:p>
    <w:p w14:paraId="7A59704C" w14:textId="77777777" w:rsidR="00296747" w:rsidRPr="00AE73E7" w:rsidRDefault="00296747" w:rsidP="00296747">
      <w:pPr>
        <w:ind w:right="432"/>
        <w:jc w:val="center"/>
        <w:rPr>
          <w:rFonts w:ascii="Calibri" w:hAnsi="Calibri" w:cs="Calibri"/>
          <w:snapToGrid w:val="0"/>
          <w:szCs w:val="20"/>
        </w:rPr>
      </w:pPr>
    </w:p>
    <w:p w14:paraId="5435FDDB" w14:textId="77777777" w:rsidR="00296747" w:rsidRPr="00AE73E7" w:rsidRDefault="00296747" w:rsidP="00296747">
      <w:pPr>
        <w:spacing w:after="200"/>
        <w:jc w:val="both"/>
        <w:rPr>
          <w:rFonts w:ascii="Calibri" w:hAnsi="Calibri"/>
          <w:iCs/>
          <w:sz w:val="18"/>
          <w:szCs w:val="18"/>
          <w:lang w:eastAsia="en-US"/>
        </w:rPr>
      </w:pPr>
      <w:r w:rsidRPr="00AE73E7">
        <w:rPr>
          <w:rFonts w:ascii="Calibri" w:hAnsi="Calibri" w:cs="Calibri"/>
          <w:b/>
          <w:iCs/>
          <w:sz w:val="18"/>
          <w:szCs w:val="18"/>
          <w:lang w:eastAsia="en-US"/>
        </w:rPr>
        <w:t>Fig. 1.</w:t>
      </w:r>
      <w:r w:rsidRPr="00AE73E7">
        <w:rPr>
          <w:rFonts w:ascii="Calibri" w:hAnsi="Calibri" w:cs="Calibri"/>
          <w:iCs/>
          <w:sz w:val="18"/>
          <w:szCs w:val="18"/>
          <w:lang w:eastAsia="en-US"/>
        </w:rPr>
        <w:t xml:space="preserve"> </w:t>
      </w:r>
      <w:r w:rsidRPr="00AE73E7">
        <w:rPr>
          <w:rFonts w:ascii="Calibri" w:hAnsi="Calibri"/>
          <w:iCs/>
          <w:sz w:val="18"/>
          <w:szCs w:val="18"/>
          <w:lang w:eastAsia="en-US"/>
        </w:rPr>
        <w:t>Annual time series of (a) cumulative nominal catches (metric tons; t) by fishery and (b) individual nominal catches (metric tons; t) by fishery group for Indo-Pacific sailfish during 1950-202</w:t>
      </w:r>
      <w:r>
        <w:rPr>
          <w:rFonts w:ascii="Calibri" w:hAnsi="Calibri"/>
          <w:iCs/>
          <w:sz w:val="18"/>
          <w:szCs w:val="18"/>
          <w:lang w:eastAsia="en-US"/>
        </w:rPr>
        <w:t>3</w:t>
      </w:r>
      <w:r w:rsidRPr="00AE73E7">
        <w:rPr>
          <w:rFonts w:ascii="Calibri" w:hAnsi="Calibri"/>
          <w:iCs/>
          <w:sz w:val="18"/>
          <w:szCs w:val="18"/>
          <w:lang w:eastAsia="en-US"/>
        </w:rPr>
        <w:t xml:space="preserve">. </w:t>
      </w:r>
      <w:r w:rsidRPr="00AE73E7">
        <w:rPr>
          <w:rFonts w:ascii="Calibri" w:hAnsi="Calibri"/>
          <w:iCs/>
          <w:sz w:val="18"/>
          <w:szCs w:val="18"/>
          <w:u w:val="single"/>
          <w:lang w:eastAsia="en-US"/>
        </w:rPr>
        <w:t>Longline | Other</w:t>
      </w:r>
      <w:r w:rsidRPr="00AE73E7">
        <w:rPr>
          <w:rFonts w:ascii="Calibri" w:hAnsi="Calibri"/>
          <w:iCs/>
          <w:sz w:val="18"/>
          <w:szCs w:val="18"/>
          <w:lang w:eastAsia="en-US"/>
        </w:rPr>
        <w:t xml:space="preserve">: swordfish and sharks-targeted longlines; </w:t>
      </w:r>
      <w:r w:rsidRPr="00AE73E7">
        <w:rPr>
          <w:rFonts w:ascii="Calibri" w:hAnsi="Calibri"/>
          <w:iCs/>
          <w:sz w:val="18"/>
          <w:szCs w:val="18"/>
          <w:u w:val="single"/>
          <w:lang w:eastAsia="en-US"/>
        </w:rPr>
        <w:t>Other</w:t>
      </w:r>
      <w:r w:rsidRPr="00AE73E7">
        <w:rPr>
          <w:rFonts w:ascii="Calibri" w:hAnsi="Calibri"/>
          <w:iCs/>
          <w:sz w:val="18"/>
          <w:szCs w:val="18"/>
          <w:lang w:eastAsia="en-US"/>
        </w:rPr>
        <w:t>: all remaining fishing gears</w:t>
      </w:r>
    </w:p>
    <w:p w14:paraId="3658AA47" w14:textId="77777777" w:rsidR="00296747" w:rsidRPr="00AE73E7" w:rsidRDefault="00296747" w:rsidP="00296747">
      <w:pPr>
        <w:spacing w:after="200"/>
        <w:jc w:val="both"/>
        <w:rPr>
          <w:rFonts w:ascii="Calibri" w:hAnsi="Calibri"/>
          <w:iCs/>
          <w:sz w:val="18"/>
          <w:szCs w:val="18"/>
          <w:lang w:eastAsia="en-US"/>
        </w:rPr>
      </w:pPr>
    </w:p>
    <w:p w14:paraId="028938F8" w14:textId="77777777" w:rsidR="00296747" w:rsidRPr="00AE73E7" w:rsidRDefault="00296747" w:rsidP="00296747">
      <w:pPr>
        <w:spacing w:after="200"/>
        <w:jc w:val="both"/>
      </w:pPr>
      <w:r>
        <w:rPr>
          <w:noProof/>
        </w:rPr>
        <w:drawing>
          <wp:inline distT="0" distB="0" distL="0" distR="0" wp14:anchorId="5AD8BF2B" wp14:editId="482AC131">
            <wp:extent cx="5943600" cy="3324225"/>
            <wp:effectExtent l="0" t="0" r="0" b="0"/>
            <wp:docPr id="214117097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170970" name=""/>
                    <pic:cNvPicPr/>
                  </pic:nvPicPr>
                  <pic:blipFill>
                    <a:blip r:embed="rId97">
                      <a:extLst>
                        <a:ext uri="{28A0092B-C50C-407E-A947-70E740481C1C}">
                          <a14:useLocalDpi xmlns:a14="http://schemas.microsoft.com/office/drawing/2010/main" val="0"/>
                        </a:ext>
                      </a:extLst>
                    </a:blip>
                    <a:stretch>
                      <a:fillRect/>
                    </a:stretch>
                  </pic:blipFill>
                  <pic:spPr>
                    <a:xfrm>
                      <a:off x="0" y="0"/>
                      <a:ext cx="5943600" cy="3324225"/>
                    </a:xfrm>
                    <a:prstGeom prst="rect">
                      <a:avLst/>
                    </a:prstGeom>
                  </pic:spPr>
                </pic:pic>
              </a:graphicData>
            </a:graphic>
          </wp:inline>
        </w:drawing>
      </w:r>
    </w:p>
    <w:p w14:paraId="655B2708" w14:textId="77777777" w:rsidR="00296747" w:rsidRPr="00AE73E7" w:rsidRDefault="00296747" w:rsidP="00296747">
      <w:pPr>
        <w:spacing w:after="200"/>
        <w:jc w:val="both"/>
        <w:rPr>
          <w:rFonts w:ascii="Calibri" w:hAnsi="Calibri"/>
          <w:iCs/>
          <w:sz w:val="18"/>
          <w:szCs w:val="18"/>
          <w:lang w:eastAsia="en-US"/>
        </w:rPr>
      </w:pPr>
      <w:r w:rsidRPr="00AE73E7">
        <w:rPr>
          <w:rFonts w:ascii="Calibri" w:hAnsi="Calibri"/>
          <w:b/>
          <w:bCs/>
          <w:iCs/>
          <w:sz w:val="18"/>
          <w:szCs w:val="18"/>
          <w:lang w:eastAsia="en-US"/>
        </w:rPr>
        <w:t>Fig. 2</w:t>
      </w:r>
      <w:r w:rsidRPr="00AE73E7">
        <w:rPr>
          <w:rFonts w:ascii="Calibri" w:hAnsi="Calibri"/>
          <w:iCs/>
          <w:sz w:val="18"/>
          <w:szCs w:val="18"/>
          <w:lang w:eastAsia="en-US"/>
        </w:rPr>
        <w:t>. Mean annual catches (metric tons; t) of Indo-Pacific sailfish by fleet and fishery between 201</w:t>
      </w:r>
      <w:r>
        <w:rPr>
          <w:rFonts w:ascii="Calibri" w:hAnsi="Calibri"/>
          <w:iCs/>
          <w:sz w:val="18"/>
          <w:szCs w:val="18"/>
          <w:lang w:eastAsia="en-US"/>
        </w:rPr>
        <w:t>9</w:t>
      </w:r>
      <w:r w:rsidRPr="00AE73E7">
        <w:rPr>
          <w:rFonts w:ascii="Calibri" w:hAnsi="Calibri"/>
          <w:iCs/>
          <w:sz w:val="18"/>
          <w:szCs w:val="18"/>
          <w:lang w:eastAsia="en-US"/>
        </w:rPr>
        <w:t xml:space="preserve"> and 202</w:t>
      </w:r>
      <w:r>
        <w:rPr>
          <w:rFonts w:ascii="Calibri" w:hAnsi="Calibri"/>
          <w:iCs/>
          <w:sz w:val="18"/>
          <w:szCs w:val="18"/>
          <w:lang w:eastAsia="en-US"/>
        </w:rPr>
        <w:t>3</w:t>
      </w:r>
      <w:r w:rsidRPr="00AE73E7">
        <w:rPr>
          <w:rFonts w:ascii="Calibri" w:hAnsi="Calibri"/>
          <w:iCs/>
          <w:sz w:val="18"/>
          <w:szCs w:val="18"/>
          <w:lang w:eastAsia="en-US"/>
        </w:rPr>
        <w:t xml:space="preserve">, with indication of cumulative catches by fleet. </w:t>
      </w:r>
      <w:r w:rsidRPr="00AE73E7">
        <w:rPr>
          <w:rFonts w:ascii="Calibri" w:hAnsi="Calibri"/>
          <w:iCs/>
          <w:sz w:val="18"/>
          <w:szCs w:val="18"/>
          <w:u w:val="single"/>
          <w:lang w:eastAsia="en-US"/>
        </w:rPr>
        <w:t>Longline | Other</w:t>
      </w:r>
      <w:r w:rsidRPr="00AE73E7">
        <w:rPr>
          <w:rFonts w:ascii="Calibri" w:hAnsi="Calibri"/>
          <w:iCs/>
          <w:sz w:val="18"/>
          <w:szCs w:val="18"/>
          <w:lang w:eastAsia="en-US"/>
        </w:rPr>
        <w:t xml:space="preserve">: swordfish and sharks-targeted longlines; </w:t>
      </w:r>
      <w:r w:rsidRPr="00AE73E7">
        <w:rPr>
          <w:rFonts w:ascii="Calibri" w:hAnsi="Calibri"/>
          <w:iCs/>
          <w:sz w:val="18"/>
          <w:szCs w:val="18"/>
          <w:u w:val="single"/>
          <w:lang w:eastAsia="en-US"/>
        </w:rPr>
        <w:t>Other</w:t>
      </w:r>
      <w:r w:rsidRPr="00AE73E7">
        <w:rPr>
          <w:rFonts w:ascii="Calibri" w:hAnsi="Calibri"/>
          <w:iCs/>
          <w:sz w:val="18"/>
          <w:szCs w:val="18"/>
          <w:lang w:eastAsia="en-US"/>
        </w:rPr>
        <w:t>: all remaining fishing gears</w:t>
      </w:r>
    </w:p>
    <w:p w14:paraId="74F54CCD" w14:textId="77777777" w:rsidR="00296747" w:rsidRPr="00AE73E7" w:rsidRDefault="00296747" w:rsidP="00296747">
      <w:pPr>
        <w:ind w:right="432"/>
        <w:jc w:val="both"/>
        <w:rPr>
          <w:rFonts w:ascii="Calibri" w:hAnsi="Calibri" w:cs="Calibri"/>
          <w:snapToGrid w:val="0"/>
          <w:szCs w:val="20"/>
          <w:highlight w:val="yellow"/>
        </w:rPr>
      </w:pPr>
    </w:p>
    <w:p w14:paraId="01903EBA" w14:textId="77777777" w:rsidR="00296747" w:rsidRDefault="00296747" w:rsidP="00296747">
      <w:pPr>
        <w:jc w:val="center"/>
        <w:rPr>
          <w:rFonts w:ascii="Calibri" w:hAnsi="Calibri" w:cs="Calibri"/>
          <w:snapToGrid w:val="0"/>
          <w:szCs w:val="20"/>
          <w:highlight w:val="yellow"/>
        </w:rPr>
      </w:pPr>
    </w:p>
    <w:p w14:paraId="15C30891" w14:textId="77777777" w:rsidR="00296747" w:rsidRDefault="00296747" w:rsidP="00296747">
      <w:pPr>
        <w:jc w:val="center"/>
        <w:rPr>
          <w:rFonts w:ascii="Calibri" w:hAnsi="Calibri" w:cs="Calibri"/>
          <w:snapToGrid w:val="0"/>
          <w:szCs w:val="20"/>
          <w:highlight w:val="yellow"/>
        </w:rPr>
      </w:pPr>
    </w:p>
    <w:p w14:paraId="762C4F7B" w14:textId="77777777" w:rsidR="00296747" w:rsidRPr="00AE73E7" w:rsidRDefault="00296747" w:rsidP="00296747">
      <w:pPr>
        <w:jc w:val="center"/>
        <w:rPr>
          <w:rFonts w:ascii="Calibri" w:hAnsi="Calibri" w:cs="Calibri"/>
          <w:snapToGrid w:val="0"/>
          <w:szCs w:val="20"/>
          <w:highlight w:val="yellow"/>
        </w:rPr>
      </w:pPr>
      <w:r>
        <w:rPr>
          <w:rFonts w:eastAsia="SimSun" w:hint="eastAsia"/>
          <w:noProof/>
          <w:lang w:eastAsia="zh-CN"/>
        </w:rPr>
        <w:lastRenderedPageBreak/>
        <w:drawing>
          <wp:inline distT="0" distB="0" distL="114300" distR="114300" wp14:anchorId="2B425636" wp14:editId="2AF20E31">
            <wp:extent cx="3625215" cy="3262604"/>
            <wp:effectExtent l="0" t="0" r="0" b="0"/>
            <wp:docPr id="1560776568" name="图片 1" descr="Kobe_IO_SFA_SA_Schae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obe_IO_SFA_SA_Schaefer"/>
                    <pic:cNvPicPr>
                      <a:picLocks noChangeAspect="1"/>
                    </pic:cNvPicPr>
                  </pic:nvPicPr>
                  <pic:blipFill>
                    <a:blip r:embed="rId98"/>
                    <a:stretch>
                      <a:fillRect/>
                    </a:stretch>
                  </pic:blipFill>
                  <pic:spPr>
                    <a:xfrm>
                      <a:off x="0" y="0"/>
                      <a:ext cx="3633268" cy="3269851"/>
                    </a:xfrm>
                    <a:prstGeom prst="rect">
                      <a:avLst/>
                    </a:prstGeom>
                  </pic:spPr>
                </pic:pic>
              </a:graphicData>
            </a:graphic>
          </wp:inline>
        </w:drawing>
      </w:r>
    </w:p>
    <w:p w14:paraId="1CF21EDB" w14:textId="77777777" w:rsidR="00296747" w:rsidRPr="002A6BC9" w:rsidRDefault="00296747" w:rsidP="00296747">
      <w:pPr>
        <w:overflowPunct w:val="0"/>
        <w:spacing w:beforeLines="50" w:before="120" w:afterLines="50" w:after="120"/>
        <w:jc w:val="both"/>
        <w:rPr>
          <w:rFonts w:ascii="Calibri" w:hAnsi="Calibri" w:cs="Calibri"/>
          <w:sz w:val="20"/>
          <w:szCs w:val="20"/>
        </w:rPr>
      </w:pPr>
      <w:r w:rsidRPr="002A6BC9">
        <w:rPr>
          <w:rFonts w:ascii="Calibri" w:hAnsi="Calibri" w:cs="Calibri"/>
          <w:b/>
          <w:bCs/>
          <w:sz w:val="20"/>
          <w:szCs w:val="20"/>
        </w:rPr>
        <w:t>Fig.3</w:t>
      </w:r>
      <w:r w:rsidRPr="002A6BC9">
        <w:rPr>
          <w:rFonts w:ascii="Calibri" w:hAnsi="Calibri" w:cs="Calibri"/>
          <w:sz w:val="20"/>
          <w:szCs w:val="20"/>
        </w:rPr>
        <w:t>: Kobe plot showing estimated trajectories (1950-2023) of</w:t>
      </w:r>
      <w:r w:rsidRPr="002A6BC9">
        <w:rPr>
          <w:rFonts w:ascii="Calibri" w:hAnsi="Calibri" w:cs="Calibri"/>
          <w:i/>
          <w:iCs/>
          <w:sz w:val="20"/>
          <w:szCs w:val="20"/>
        </w:rPr>
        <w:t xml:space="preserve"> B/B</w:t>
      </w:r>
      <w:r w:rsidRPr="002A6BC9">
        <w:rPr>
          <w:rFonts w:ascii="Calibri" w:hAnsi="Calibri" w:cs="Calibri"/>
          <w:i/>
          <w:iCs/>
          <w:sz w:val="20"/>
          <w:szCs w:val="20"/>
          <w:vertAlign w:val="subscript"/>
        </w:rPr>
        <w:t>MSY</w:t>
      </w:r>
      <w:r w:rsidRPr="002A6BC9">
        <w:rPr>
          <w:rFonts w:ascii="Calibri" w:hAnsi="Calibri" w:cs="Calibri"/>
          <w:i/>
          <w:iCs/>
          <w:sz w:val="20"/>
          <w:szCs w:val="20"/>
        </w:rPr>
        <w:t xml:space="preserve"> </w:t>
      </w:r>
      <w:r w:rsidRPr="002A6BC9">
        <w:rPr>
          <w:rFonts w:ascii="Calibri" w:hAnsi="Calibri" w:cs="Calibri"/>
          <w:sz w:val="20"/>
          <w:szCs w:val="20"/>
        </w:rPr>
        <w:t xml:space="preserve">and </w:t>
      </w:r>
      <w:r w:rsidRPr="002A6BC9">
        <w:rPr>
          <w:rFonts w:ascii="Calibri" w:hAnsi="Calibri" w:cs="Calibri"/>
          <w:i/>
          <w:iCs/>
          <w:sz w:val="20"/>
          <w:szCs w:val="20"/>
        </w:rPr>
        <w:t>F/F</w:t>
      </w:r>
      <w:r w:rsidRPr="002A6BC9">
        <w:rPr>
          <w:rFonts w:ascii="Calibri" w:hAnsi="Calibri" w:cs="Calibri"/>
          <w:i/>
          <w:iCs/>
          <w:sz w:val="20"/>
          <w:szCs w:val="20"/>
          <w:vertAlign w:val="subscript"/>
        </w:rPr>
        <w:t>MSY</w:t>
      </w:r>
      <w:r w:rsidRPr="002A6BC9">
        <w:rPr>
          <w:rFonts w:ascii="Calibri" w:hAnsi="Calibri" w:cs="Calibri"/>
          <w:sz w:val="20"/>
          <w:szCs w:val="20"/>
          <w:vertAlign w:val="subscript"/>
        </w:rPr>
        <w:t xml:space="preserve"> </w:t>
      </w:r>
      <w:r w:rsidRPr="002A6BC9">
        <w:rPr>
          <w:rFonts w:ascii="Calibri" w:hAnsi="Calibri" w:cs="Calibri"/>
          <w:sz w:val="20"/>
          <w:szCs w:val="20"/>
        </w:rPr>
        <w:t>for</w:t>
      </w:r>
      <w:r w:rsidRPr="002A6BC9">
        <w:rPr>
          <w:rFonts w:ascii="Calibri" w:hAnsi="Calibri" w:cs="Calibri"/>
          <w:sz w:val="20"/>
          <w:szCs w:val="20"/>
          <w:lang w:val="en-US" w:eastAsia="zh-CN"/>
        </w:rPr>
        <w:t xml:space="preserve"> </w:t>
      </w:r>
      <w:r w:rsidRPr="002A6BC9">
        <w:rPr>
          <w:rFonts w:ascii="Calibri" w:hAnsi="Calibri" w:cs="Calibri"/>
          <w:sz w:val="20"/>
          <w:szCs w:val="20"/>
        </w:rPr>
        <w:t>JABBA model of Indian Ocean IP sailfish. Different grey shaded areas denote the 50%, 80%, and 95% credibility interval for the terminal assessment year. The probability of terminal year points falling within each quadrant is indicated in the figure legend.</w:t>
      </w:r>
    </w:p>
    <w:p w14:paraId="0F96687D" w14:textId="77777777" w:rsidR="00296747" w:rsidRDefault="00296747" w:rsidP="00296747">
      <w:pPr>
        <w:overflowPunct w:val="0"/>
        <w:spacing w:beforeLines="50" w:before="120" w:afterLines="50" w:after="120"/>
        <w:jc w:val="center"/>
        <w:rPr>
          <w:szCs w:val="21"/>
        </w:rPr>
      </w:pPr>
    </w:p>
    <w:p w14:paraId="18334E57" w14:textId="77777777" w:rsidR="00296747" w:rsidRDefault="00296747" w:rsidP="00296747">
      <w:pPr>
        <w:overflowPunct w:val="0"/>
        <w:spacing w:beforeLines="50" w:before="120" w:afterLines="50" w:after="120"/>
        <w:jc w:val="center"/>
        <w:rPr>
          <w:szCs w:val="21"/>
        </w:rPr>
      </w:pPr>
    </w:p>
    <w:bookmarkEnd w:id="186"/>
    <w:p w14:paraId="03512BA9" w14:textId="77777777" w:rsidR="00296747" w:rsidRDefault="00296747" w:rsidP="00296747">
      <w:pPr>
        <w:ind w:right="-1"/>
        <w:jc w:val="both"/>
        <w:rPr>
          <w:rFonts w:ascii="Calibri" w:hAnsi="Calibri" w:cs="Calibri"/>
          <w:sz w:val="20"/>
          <w:szCs w:val="20"/>
        </w:rPr>
      </w:pPr>
    </w:p>
    <w:p w14:paraId="5FBEE0B9" w14:textId="77777777" w:rsidR="00AD7F6C" w:rsidRDefault="00AD7F6C" w:rsidP="00296747">
      <w:pPr>
        <w:ind w:right="-1"/>
        <w:jc w:val="both"/>
        <w:rPr>
          <w:rFonts w:ascii="Calibri" w:hAnsi="Calibri" w:cs="Calibri"/>
          <w:sz w:val="20"/>
          <w:szCs w:val="20"/>
        </w:rPr>
      </w:pPr>
    </w:p>
    <w:p w14:paraId="3979A6E6" w14:textId="77777777" w:rsidR="00AD7F6C" w:rsidRDefault="00AD7F6C" w:rsidP="00296747">
      <w:pPr>
        <w:ind w:right="-1"/>
        <w:jc w:val="both"/>
        <w:rPr>
          <w:rFonts w:ascii="Calibri" w:hAnsi="Calibri" w:cs="Calibri"/>
          <w:sz w:val="20"/>
          <w:szCs w:val="20"/>
        </w:rPr>
      </w:pPr>
    </w:p>
    <w:p w14:paraId="4B275A14" w14:textId="77777777" w:rsidR="00AD7F6C" w:rsidRDefault="00AD7F6C" w:rsidP="00296747">
      <w:pPr>
        <w:ind w:right="-1"/>
        <w:jc w:val="both"/>
        <w:rPr>
          <w:rFonts w:ascii="Calibri" w:hAnsi="Calibri" w:cs="Calibri"/>
          <w:sz w:val="20"/>
          <w:szCs w:val="20"/>
        </w:rPr>
      </w:pPr>
    </w:p>
    <w:p w14:paraId="00C7AC52" w14:textId="77777777" w:rsidR="00AD7F6C" w:rsidRDefault="00AD7F6C" w:rsidP="00296747">
      <w:pPr>
        <w:ind w:right="-1"/>
        <w:jc w:val="both"/>
        <w:rPr>
          <w:rFonts w:ascii="Calibri" w:hAnsi="Calibri" w:cs="Calibri"/>
          <w:sz w:val="20"/>
          <w:szCs w:val="20"/>
        </w:rPr>
      </w:pPr>
    </w:p>
    <w:p w14:paraId="00F4347B" w14:textId="77777777" w:rsidR="00AD7F6C" w:rsidRDefault="00AD7F6C" w:rsidP="00296747">
      <w:pPr>
        <w:ind w:right="-1"/>
        <w:jc w:val="both"/>
        <w:rPr>
          <w:rFonts w:ascii="Calibri" w:hAnsi="Calibri" w:cs="Calibri"/>
          <w:sz w:val="20"/>
          <w:szCs w:val="20"/>
        </w:rPr>
      </w:pPr>
    </w:p>
    <w:p w14:paraId="67717874" w14:textId="77777777" w:rsidR="00AD7F6C" w:rsidRDefault="00AD7F6C" w:rsidP="00296747">
      <w:pPr>
        <w:ind w:right="-1"/>
        <w:jc w:val="both"/>
        <w:rPr>
          <w:rFonts w:ascii="Calibri" w:hAnsi="Calibri" w:cs="Calibri"/>
          <w:sz w:val="20"/>
          <w:szCs w:val="20"/>
        </w:rPr>
      </w:pPr>
    </w:p>
    <w:p w14:paraId="7B0EAE47" w14:textId="77777777" w:rsidR="00AD7F6C" w:rsidRDefault="00AD7F6C" w:rsidP="00296747">
      <w:pPr>
        <w:ind w:right="-1"/>
        <w:jc w:val="both"/>
        <w:rPr>
          <w:rFonts w:ascii="Calibri" w:hAnsi="Calibri" w:cs="Calibri"/>
          <w:sz w:val="20"/>
          <w:szCs w:val="20"/>
        </w:rPr>
      </w:pPr>
    </w:p>
    <w:p w14:paraId="3CA455A0" w14:textId="77777777" w:rsidR="00AD7F6C" w:rsidRDefault="00AD7F6C" w:rsidP="00296747">
      <w:pPr>
        <w:ind w:right="-1"/>
        <w:jc w:val="both"/>
        <w:rPr>
          <w:rFonts w:ascii="Calibri" w:hAnsi="Calibri" w:cs="Calibri"/>
          <w:sz w:val="20"/>
          <w:szCs w:val="20"/>
        </w:rPr>
      </w:pPr>
    </w:p>
    <w:p w14:paraId="4819CB82" w14:textId="77777777" w:rsidR="00AD7F6C" w:rsidRDefault="00AD7F6C" w:rsidP="00296747">
      <w:pPr>
        <w:ind w:right="-1"/>
        <w:jc w:val="both"/>
        <w:rPr>
          <w:rFonts w:ascii="Calibri" w:hAnsi="Calibri" w:cs="Calibri"/>
          <w:sz w:val="20"/>
          <w:szCs w:val="20"/>
        </w:rPr>
      </w:pPr>
    </w:p>
    <w:p w14:paraId="5EB3E009" w14:textId="77777777" w:rsidR="00AD7F6C" w:rsidRDefault="00AD7F6C" w:rsidP="00296747">
      <w:pPr>
        <w:ind w:right="-1"/>
        <w:jc w:val="both"/>
        <w:rPr>
          <w:rFonts w:ascii="Calibri" w:hAnsi="Calibri" w:cs="Calibri"/>
          <w:sz w:val="20"/>
          <w:szCs w:val="20"/>
        </w:rPr>
      </w:pPr>
    </w:p>
    <w:p w14:paraId="552F4AC5" w14:textId="77777777" w:rsidR="00AD7F6C" w:rsidRDefault="00AD7F6C" w:rsidP="00296747">
      <w:pPr>
        <w:ind w:right="-1"/>
        <w:jc w:val="both"/>
        <w:rPr>
          <w:rFonts w:ascii="Calibri" w:hAnsi="Calibri" w:cs="Calibri"/>
          <w:sz w:val="20"/>
          <w:szCs w:val="20"/>
        </w:rPr>
      </w:pPr>
    </w:p>
    <w:p w14:paraId="475DAD6F" w14:textId="77777777" w:rsidR="00AD7F6C" w:rsidRDefault="00AD7F6C" w:rsidP="00296747">
      <w:pPr>
        <w:ind w:right="-1"/>
        <w:jc w:val="both"/>
        <w:rPr>
          <w:rFonts w:ascii="Calibri" w:hAnsi="Calibri" w:cs="Calibri"/>
          <w:sz w:val="20"/>
          <w:szCs w:val="20"/>
        </w:rPr>
      </w:pPr>
    </w:p>
    <w:p w14:paraId="18B386BA" w14:textId="77777777" w:rsidR="00AD7F6C" w:rsidRDefault="00AD7F6C" w:rsidP="00296747">
      <w:pPr>
        <w:ind w:right="-1"/>
        <w:jc w:val="both"/>
        <w:rPr>
          <w:rFonts w:ascii="Calibri" w:hAnsi="Calibri" w:cs="Calibri"/>
          <w:sz w:val="20"/>
          <w:szCs w:val="20"/>
        </w:rPr>
      </w:pPr>
    </w:p>
    <w:p w14:paraId="6935275F" w14:textId="77777777" w:rsidR="00AD7F6C" w:rsidRDefault="00AD7F6C" w:rsidP="00296747">
      <w:pPr>
        <w:ind w:right="-1"/>
        <w:jc w:val="both"/>
        <w:rPr>
          <w:rFonts w:ascii="Calibri" w:hAnsi="Calibri" w:cs="Calibri"/>
          <w:sz w:val="20"/>
          <w:szCs w:val="20"/>
        </w:rPr>
      </w:pPr>
    </w:p>
    <w:p w14:paraId="6E877FA7" w14:textId="77777777" w:rsidR="00AD7F6C" w:rsidRDefault="00AD7F6C" w:rsidP="00296747">
      <w:pPr>
        <w:ind w:right="-1"/>
        <w:jc w:val="both"/>
        <w:rPr>
          <w:rFonts w:ascii="Calibri" w:hAnsi="Calibri" w:cs="Calibri"/>
          <w:sz w:val="20"/>
          <w:szCs w:val="20"/>
        </w:rPr>
      </w:pPr>
    </w:p>
    <w:p w14:paraId="2D30B6F8" w14:textId="77777777" w:rsidR="00AD7F6C" w:rsidRDefault="00AD7F6C" w:rsidP="00296747">
      <w:pPr>
        <w:ind w:right="-1"/>
        <w:jc w:val="both"/>
        <w:rPr>
          <w:rFonts w:ascii="Calibri" w:hAnsi="Calibri" w:cs="Calibri"/>
          <w:sz w:val="20"/>
          <w:szCs w:val="20"/>
        </w:rPr>
      </w:pPr>
    </w:p>
    <w:p w14:paraId="23314D98" w14:textId="77777777" w:rsidR="00AD7F6C" w:rsidRDefault="00AD7F6C" w:rsidP="00296747">
      <w:pPr>
        <w:ind w:right="-1"/>
        <w:jc w:val="both"/>
        <w:rPr>
          <w:rFonts w:ascii="Calibri" w:hAnsi="Calibri" w:cs="Calibri"/>
          <w:sz w:val="20"/>
          <w:szCs w:val="20"/>
        </w:rPr>
      </w:pPr>
    </w:p>
    <w:p w14:paraId="39B7772B" w14:textId="77777777" w:rsidR="00AD7F6C" w:rsidRDefault="00AD7F6C" w:rsidP="00296747">
      <w:pPr>
        <w:ind w:right="-1"/>
        <w:jc w:val="both"/>
        <w:rPr>
          <w:rFonts w:ascii="Calibri" w:hAnsi="Calibri" w:cs="Calibri"/>
          <w:sz w:val="20"/>
          <w:szCs w:val="20"/>
        </w:rPr>
      </w:pPr>
    </w:p>
    <w:p w14:paraId="59166677" w14:textId="77777777" w:rsidR="00AD7F6C" w:rsidRDefault="00AD7F6C" w:rsidP="00296747">
      <w:pPr>
        <w:ind w:right="-1"/>
        <w:jc w:val="both"/>
        <w:rPr>
          <w:rFonts w:ascii="Calibri" w:hAnsi="Calibri" w:cs="Calibri"/>
          <w:sz w:val="20"/>
          <w:szCs w:val="20"/>
        </w:rPr>
      </w:pPr>
    </w:p>
    <w:p w14:paraId="18471665" w14:textId="77777777" w:rsidR="00AD7F6C" w:rsidRDefault="00AD7F6C" w:rsidP="00296747">
      <w:pPr>
        <w:ind w:right="-1"/>
        <w:jc w:val="both"/>
        <w:rPr>
          <w:rFonts w:ascii="Calibri" w:hAnsi="Calibri" w:cs="Calibri"/>
          <w:sz w:val="20"/>
          <w:szCs w:val="20"/>
        </w:rPr>
      </w:pPr>
    </w:p>
    <w:p w14:paraId="0E8BBE8F" w14:textId="77777777" w:rsidR="00AD7F6C" w:rsidRDefault="00AD7F6C" w:rsidP="00296747">
      <w:pPr>
        <w:ind w:right="-1"/>
        <w:jc w:val="both"/>
        <w:rPr>
          <w:rFonts w:ascii="Calibri" w:hAnsi="Calibri" w:cs="Calibri"/>
          <w:sz w:val="20"/>
          <w:szCs w:val="20"/>
        </w:rPr>
      </w:pPr>
    </w:p>
    <w:p w14:paraId="6147882E" w14:textId="77777777" w:rsidR="00AD7F6C" w:rsidRDefault="00AD7F6C" w:rsidP="00296747">
      <w:pPr>
        <w:ind w:right="-1"/>
        <w:jc w:val="both"/>
        <w:rPr>
          <w:rFonts w:ascii="Calibri" w:hAnsi="Calibri" w:cs="Calibri"/>
          <w:sz w:val="20"/>
          <w:szCs w:val="20"/>
        </w:rPr>
      </w:pPr>
    </w:p>
    <w:p w14:paraId="0B94988C" w14:textId="77777777" w:rsidR="00AD7F6C" w:rsidRDefault="00AD7F6C" w:rsidP="00296747">
      <w:pPr>
        <w:ind w:right="-1"/>
        <w:jc w:val="both"/>
        <w:rPr>
          <w:rFonts w:ascii="Calibri" w:hAnsi="Calibri" w:cs="Calibri"/>
          <w:sz w:val="20"/>
          <w:szCs w:val="20"/>
        </w:rPr>
      </w:pPr>
    </w:p>
    <w:p w14:paraId="2CC4E39E" w14:textId="77777777" w:rsidR="00AD7F6C" w:rsidRDefault="00AD7F6C" w:rsidP="00296747">
      <w:pPr>
        <w:ind w:right="-1"/>
        <w:jc w:val="both"/>
        <w:rPr>
          <w:rFonts w:ascii="Calibri" w:hAnsi="Calibri" w:cs="Calibri"/>
          <w:sz w:val="20"/>
          <w:szCs w:val="20"/>
        </w:rPr>
      </w:pPr>
    </w:p>
    <w:p w14:paraId="4286BC59" w14:textId="77777777" w:rsidR="00AD7F6C" w:rsidRDefault="00AD7F6C" w:rsidP="00296747">
      <w:pPr>
        <w:ind w:right="-1"/>
        <w:jc w:val="both"/>
        <w:rPr>
          <w:rFonts w:ascii="Calibri" w:hAnsi="Calibri" w:cs="Calibri"/>
          <w:sz w:val="20"/>
          <w:szCs w:val="20"/>
        </w:rPr>
      </w:pPr>
    </w:p>
    <w:p w14:paraId="51B399FB" w14:textId="77777777" w:rsidR="00AD7F6C" w:rsidRDefault="00AD7F6C" w:rsidP="00296747">
      <w:pPr>
        <w:ind w:right="-1"/>
        <w:jc w:val="both"/>
        <w:rPr>
          <w:rFonts w:ascii="Calibri" w:hAnsi="Calibri" w:cs="Calibri"/>
          <w:sz w:val="20"/>
          <w:szCs w:val="20"/>
        </w:rPr>
      </w:pPr>
    </w:p>
    <w:p w14:paraId="5F0513DA" w14:textId="77777777" w:rsidR="00AD7F6C" w:rsidRPr="00E257A8" w:rsidRDefault="00AD7F6C" w:rsidP="00296747">
      <w:pPr>
        <w:ind w:right="-1"/>
        <w:jc w:val="both"/>
        <w:rPr>
          <w:rFonts w:ascii="Calibri" w:hAnsi="Calibri" w:cs="Calibri"/>
          <w:sz w:val="20"/>
          <w:szCs w:val="20"/>
          <w:lang w:val="en-US"/>
        </w:rPr>
      </w:pPr>
    </w:p>
    <w:p w14:paraId="5C04B3E1" w14:textId="77777777" w:rsidR="00296747" w:rsidRPr="00325C39" w:rsidRDefault="00296747" w:rsidP="00296747"/>
    <w:p w14:paraId="2D01407F" w14:textId="72AF248A" w:rsidR="00A66DDC" w:rsidRPr="00664C48" w:rsidRDefault="00E17147" w:rsidP="00664C48">
      <w:pPr>
        <w:pStyle w:val="AnnexTitle"/>
        <w:rPr>
          <w:rFonts w:ascii="Calibri" w:hAnsi="Calibri" w:cs="Calibri"/>
          <w:color w:val="000000"/>
          <w:kern w:val="32"/>
          <w:szCs w:val="22"/>
          <w:lang w:val="en-GB"/>
        </w:rPr>
      </w:pPr>
      <w:bookmarkStart w:id="188" w:name="_Toc210218023"/>
      <w:r w:rsidRPr="007E7F1C">
        <w:rPr>
          <w:rFonts w:ascii="Calibri" w:hAnsi="Calibri" w:cs="Calibri"/>
          <w:color w:val="000000"/>
          <w:kern w:val="32"/>
          <w:szCs w:val="22"/>
          <w:lang w:val="en-GB"/>
        </w:rPr>
        <w:lastRenderedPageBreak/>
        <w:t>Appendix IX</w:t>
      </w:r>
      <w:r>
        <w:rPr>
          <w:rFonts w:ascii="Calibri" w:hAnsi="Calibri" w:cs="Calibri"/>
          <w:color w:val="000000"/>
          <w:kern w:val="32"/>
          <w:szCs w:val="22"/>
          <w:lang w:val="en-GB"/>
        </w:rPr>
        <w:t xml:space="preserve"> </w:t>
      </w:r>
      <w:r w:rsidR="00520E39" w:rsidRPr="0083343B">
        <w:rPr>
          <w:rFonts w:ascii="Calibri" w:hAnsi="Calibri" w:cs="Calibri"/>
          <w:color w:val="000000"/>
          <w:kern w:val="32"/>
          <w:szCs w:val="22"/>
          <w:lang w:val="en-GB"/>
        </w:rPr>
        <w:t>drafted Guidelines for Longline CPUE Standardization</w:t>
      </w:r>
      <w:bookmarkEnd w:id="188"/>
    </w:p>
    <w:p w14:paraId="241402CF"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1. Data Selection</w:t>
      </w:r>
    </w:p>
    <w:p w14:paraId="2EBC7B4B" w14:textId="77777777" w:rsidR="00A66DDC" w:rsidRPr="00664C48" w:rsidRDefault="00A66DDC" w:rsidP="00C63C9B">
      <w:pPr>
        <w:widowControl w:val="0"/>
        <w:numPr>
          <w:ilvl w:val="0"/>
          <w:numId w:val="29"/>
        </w:numPr>
        <w:adjustRightInd w:val="0"/>
        <w:snapToGrid w:val="0"/>
        <w:rPr>
          <w:rFonts w:ascii="Calibri" w:hAnsi="Calibri" w:cs="Calibri"/>
        </w:rPr>
      </w:pPr>
      <w:r w:rsidRPr="00664C48">
        <w:rPr>
          <w:rFonts w:ascii="Calibri" w:hAnsi="Calibri" w:cs="Calibri"/>
        </w:rPr>
        <w:t>Choose appropriate data sources (e.g., logbook data, observer data, or other relevant datasets).</w:t>
      </w:r>
    </w:p>
    <w:p w14:paraId="0FD2B9A6" w14:textId="77777777" w:rsidR="00A66DDC" w:rsidRPr="00664C48" w:rsidRDefault="00AC53BB" w:rsidP="00A66DDC">
      <w:pPr>
        <w:adjustRightInd w:val="0"/>
        <w:snapToGrid w:val="0"/>
        <w:rPr>
          <w:rFonts w:ascii="Calibri" w:hAnsi="Calibri" w:cs="Calibri"/>
        </w:rPr>
      </w:pPr>
      <w:r>
        <w:rPr>
          <w:rFonts w:ascii="Calibri" w:hAnsi="Calibri" w:cs="Calibri"/>
        </w:rPr>
        <w:pict w14:anchorId="074259F2">
          <v:rect id="_x0000_i1025" style="width:8in;height:0" o:hrpct="0" o:hralign="center" o:hrstd="t" o:hr="t" fillcolor="#a0a0a0" stroked="f">
            <v:textbox inset="5.85pt,.7pt,5.85pt,.7pt"/>
          </v:rect>
        </w:pict>
      </w:r>
    </w:p>
    <w:p w14:paraId="2228E122"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2. Exploratory Data Analysis</w:t>
      </w:r>
    </w:p>
    <w:p w14:paraId="1551A84D" w14:textId="77777777" w:rsidR="00A66DDC" w:rsidRPr="00664C48" w:rsidRDefault="00A66DDC" w:rsidP="00A66DDC">
      <w:pPr>
        <w:adjustRightInd w:val="0"/>
        <w:snapToGrid w:val="0"/>
        <w:rPr>
          <w:rFonts w:ascii="Calibri" w:hAnsi="Calibri" w:cs="Calibri"/>
        </w:rPr>
      </w:pPr>
      <w:r w:rsidRPr="00664C48">
        <w:rPr>
          <w:rFonts w:ascii="Calibri" w:hAnsi="Calibri" w:cs="Calibri"/>
        </w:rPr>
        <w:t>Analyze and visualize:</w:t>
      </w:r>
    </w:p>
    <w:p w14:paraId="78B2485E" w14:textId="77777777" w:rsidR="00A66DDC" w:rsidRPr="00664C48" w:rsidRDefault="00A66DDC" w:rsidP="00C63C9B">
      <w:pPr>
        <w:widowControl w:val="0"/>
        <w:numPr>
          <w:ilvl w:val="0"/>
          <w:numId w:val="30"/>
        </w:numPr>
        <w:adjustRightInd w:val="0"/>
        <w:snapToGrid w:val="0"/>
        <w:rPr>
          <w:rFonts w:ascii="Calibri" w:hAnsi="Calibri" w:cs="Calibri"/>
        </w:rPr>
      </w:pPr>
      <w:r w:rsidRPr="00664C48">
        <w:rPr>
          <w:rFonts w:ascii="Calibri" w:hAnsi="Calibri" w:cs="Calibri"/>
        </w:rPr>
        <w:t>Catch data (weight and number)</w:t>
      </w:r>
    </w:p>
    <w:p w14:paraId="6A8F3967" w14:textId="77777777" w:rsidR="00A66DDC" w:rsidRPr="00664C48" w:rsidRDefault="00A66DDC" w:rsidP="00C63C9B">
      <w:pPr>
        <w:widowControl w:val="0"/>
        <w:numPr>
          <w:ilvl w:val="0"/>
          <w:numId w:val="30"/>
        </w:numPr>
        <w:adjustRightInd w:val="0"/>
        <w:snapToGrid w:val="0"/>
        <w:rPr>
          <w:rFonts w:ascii="Calibri" w:hAnsi="Calibri" w:cs="Calibri"/>
        </w:rPr>
      </w:pPr>
      <w:r w:rsidRPr="00664C48">
        <w:rPr>
          <w:rFonts w:ascii="Calibri" w:hAnsi="Calibri" w:cs="Calibri"/>
        </w:rPr>
        <w:t>Effort data (number of hooks, number of operations, number of sets, etc.)</w:t>
      </w:r>
    </w:p>
    <w:p w14:paraId="139A1CFB" w14:textId="77777777" w:rsidR="00A66DDC" w:rsidRPr="00664C48" w:rsidRDefault="00A66DDC" w:rsidP="00C63C9B">
      <w:pPr>
        <w:widowControl w:val="0"/>
        <w:numPr>
          <w:ilvl w:val="0"/>
          <w:numId w:val="30"/>
        </w:numPr>
        <w:adjustRightInd w:val="0"/>
        <w:snapToGrid w:val="0"/>
        <w:rPr>
          <w:rFonts w:ascii="Calibri" w:hAnsi="Calibri" w:cs="Calibri"/>
        </w:rPr>
      </w:pPr>
      <w:r w:rsidRPr="00664C48">
        <w:rPr>
          <w:rFonts w:ascii="Calibri" w:hAnsi="Calibri" w:cs="Calibri"/>
        </w:rPr>
        <w:t>Nominal CPUE</w:t>
      </w:r>
    </w:p>
    <w:p w14:paraId="1A5686A1" w14:textId="77777777" w:rsidR="00A66DDC" w:rsidRPr="00664C48" w:rsidRDefault="00A66DDC" w:rsidP="00C63C9B">
      <w:pPr>
        <w:widowControl w:val="0"/>
        <w:numPr>
          <w:ilvl w:val="0"/>
          <w:numId w:val="30"/>
        </w:numPr>
        <w:adjustRightInd w:val="0"/>
        <w:snapToGrid w:val="0"/>
        <w:rPr>
          <w:rFonts w:ascii="Calibri" w:hAnsi="Calibri" w:cs="Calibri"/>
        </w:rPr>
      </w:pPr>
      <w:r w:rsidRPr="00664C48">
        <w:rPr>
          <w:rFonts w:ascii="Calibri" w:hAnsi="Calibri" w:cs="Calibri"/>
        </w:rPr>
        <w:t>Proportion of zero-catch records</w:t>
      </w:r>
    </w:p>
    <w:p w14:paraId="04777FDF"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2.1 Temporal Variation</w:t>
      </w:r>
    </w:p>
    <w:p w14:paraId="77713605" w14:textId="77777777" w:rsidR="00A66DDC" w:rsidRPr="00664C48" w:rsidRDefault="00A66DDC" w:rsidP="00C63C9B">
      <w:pPr>
        <w:widowControl w:val="0"/>
        <w:numPr>
          <w:ilvl w:val="0"/>
          <w:numId w:val="31"/>
        </w:numPr>
        <w:adjustRightInd w:val="0"/>
        <w:snapToGrid w:val="0"/>
        <w:rPr>
          <w:rFonts w:ascii="Calibri" w:hAnsi="Calibri" w:cs="Calibri"/>
        </w:rPr>
      </w:pPr>
      <w:r w:rsidRPr="00664C48">
        <w:rPr>
          <w:rFonts w:ascii="Calibri" w:hAnsi="Calibri" w:cs="Calibri"/>
        </w:rPr>
        <w:t>Year, month, season</w:t>
      </w:r>
    </w:p>
    <w:p w14:paraId="4D325DDE"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2.2 Spatio-temporal Variation</w:t>
      </w:r>
    </w:p>
    <w:p w14:paraId="2047F7D3" w14:textId="77777777" w:rsidR="00A66DDC" w:rsidRPr="00664C48" w:rsidRDefault="00A66DDC" w:rsidP="00C63C9B">
      <w:pPr>
        <w:widowControl w:val="0"/>
        <w:numPr>
          <w:ilvl w:val="0"/>
          <w:numId w:val="32"/>
        </w:numPr>
        <w:adjustRightInd w:val="0"/>
        <w:snapToGrid w:val="0"/>
        <w:rPr>
          <w:rFonts w:ascii="Calibri" w:hAnsi="Calibri" w:cs="Calibri"/>
        </w:rPr>
      </w:pPr>
      <w:r w:rsidRPr="00664C48">
        <w:rPr>
          <w:rFonts w:ascii="Calibri" w:hAnsi="Calibri" w:cs="Calibri"/>
        </w:rPr>
        <w:t>Area, latitude, longitude, spatial resolution (e.g., 1°×1°, 2°×2°, etc.)</w:t>
      </w:r>
    </w:p>
    <w:p w14:paraId="03FB1BE5"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2.3 Gear Effects</w:t>
      </w:r>
    </w:p>
    <w:p w14:paraId="5369C32F" w14:textId="77777777" w:rsidR="00A66DDC" w:rsidRPr="00664C48" w:rsidRDefault="00A66DDC" w:rsidP="00C63C9B">
      <w:pPr>
        <w:widowControl w:val="0"/>
        <w:numPr>
          <w:ilvl w:val="0"/>
          <w:numId w:val="33"/>
        </w:numPr>
        <w:adjustRightInd w:val="0"/>
        <w:snapToGrid w:val="0"/>
        <w:rPr>
          <w:rFonts w:ascii="Calibri" w:hAnsi="Calibri" w:cs="Calibri"/>
        </w:rPr>
      </w:pPr>
      <w:r w:rsidRPr="00664C48">
        <w:rPr>
          <w:rFonts w:ascii="Calibri" w:hAnsi="Calibri" w:cs="Calibri"/>
        </w:rPr>
        <w:t>Number of hooks between floats (HBF), hook types, leader materials, branch line length, bait type, etc.</w:t>
      </w:r>
    </w:p>
    <w:p w14:paraId="1B71B53F"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2.4 Vessel Effects</w:t>
      </w:r>
    </w:p>
    <w:p w14:paraId="7442FD30" w14:textId="77777777" w:rsidR="00A66DDC" w:rsidRPr="00664C48" w:rsidRDefault="00A66DDC" w:rsidP="00C63C9B">
      <w:pPr>
        <w:widowControl w:val="0"/>
        <w:numPr>
          <w:ilvl w:val="0"/>
          <w:numId w:val="34"/>
        </w:numPr>
        <w:adjustRightInd w:val="0"/>
        <w:snapToGrid w:val="0"/>
        <w:rPr>
          <w:rFonts w:ascii="Calibri" w:hAnsi="Calibri" w:cs="Calibri"/>
        </w:rPr>
      </w:pPr>
      <w:r w:rsidRPr="00664C48">
        <w:rPr>
          <w:rFonts w:ascii="Calibri" w:hAnsi="Calibri" w:cs="Calibri"/>
        </w:rPr>
        <w:t>Vessel size, vessel type, etc.</w:t>
      </w:r>
    </w:p>
    <w:p w14:paraId="48F80955"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2.5 Environmental Effects</w:t>
      </w:r>
    </w:p>
    <w:p w14:paraId="6E8AD51F" w14:textId="77777777" w:rsidR="00A66DDC" w:rsidRPr="00664C48" w:rsidRDefault="00A66DDC" w:rsidP="00C63C9B">
      <w:pPr>
        <w:widowControl w:val="0"/>
        <w:numPr>
          <w:ilvl w:val="0"/>
          <w:numId w:val="35"/>
        </w:numPr>
        <w:adjustRightInd w:val="0"/>
        <w:snapToGrid w:val="0"/>
        <w:rPr>
          <w:rFonts w:ascii="Calibri" w:hAnsi="Calibri" w:cs="Calibri"/>
        </w:rPr>
      </w:pPr>
      <w:r w:rsidRPr="00664C48">
        <w:rPr>
          <w:rFonts w:ascii="Calibri" w:hAnsi="Calibri" w:cs="Calibri"/>
        </w:rPr>
        <w:t>Sea surface temperature, chlorophyll concentration, depth, El Niño, etc.</w:t>
      </w:r>
    </w:p>
    <w:p w14:paraId="5F1EFEE5"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2.6 Interaction Effects</w:t>
      </w:r>
    </w:p>
    <w:p w14:paraId="4325821D" w14:textId="77777777" w:rsidR="00A66DDC" w:rsidRPr="00664C48" w:rsidRDefault="00A66DDC" w:rsidP="00C63C9B">
      <w:pPr>
        <w:widowControl w:val="0"/>
        <w:numPr>
          <w:ilvl w:val="0"/>
          <w:numId w:val="36"/>
        </w:numPr>
        <w:adjustRightInd w:val="0"/>
        <w:snapToGrid w:val="0"/>
        <w:rPr>
          <w:rFonts w:ascii="Calibri" w:hAnsi="Calibri" w:cs="Calibri"/>
        </w:rPr>
      </w:pPr>
      <w:r w:rsidRPr="00664C48">
        <w:rPr>
          <w:rFonts w:ascii="Calibri" w:hAnsi="Calibri" w:cs="Calibri"/>
        </w:rPr>
        <w:t>Year × area, year × gear, etc.</w:t>
      </w:r>
    </w:p>
    <w:p w14:paraId="10FD7418"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2.7 Other Factors</w:t>
      </w:r>
    </w:p>
    <w:p w14:paraId="665B8339" w14:textId="77777777" w:rsidR="00A66DDC" w:rsidRPr="00664C48" w:rsidRDefault="00A66DDC" w:rsidP="00C63C9B">
      <w:pPr>
        <w:widowControl w:val="0"/>
        <w:numPr>
          <w:ilvl w:val="0"/>
          <w:numId w:val="37"/>
        </w:numPr>
        <w:adjustRightInd w:val="0"/>
        <w:snapToGrid w:val="0"/>
        <w:rPr>
          <w:rFonts w:ascii="Calibri" w:hAnsi="Calibri" w:cs="Calibri"/>
        </w:rPr>
      </w:pPr>
      <w:r w:rsidRPr="00664C48">
        <w:rPr>
          <w:rFonts w:ascii="Calibri" w:hAnsi="Calibri" w:cs="Calibri"/>
        </w:rPr>
        <w:t>Lunar phase, changes in target species, etc.</w:t>
      </w:r>
    </w:p>
    <w:p w14:paraId="5FC61EFC"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2.8 Multicollinearity Assessment</w:t>
      </w:r>
    </w:p>
    <w:p w14:paraId="4E9F9E5C" w14:textId="77777777" w:rsidR="00A66DDC" w:rsidRPr="00664C48" w:rsidRDefault="00A66DDC" w:rsidP="00C63C9B">
      <w:pPr>
        <w:widowControl w:val="0"/>
        <w:numPr>
          <w:ilvl w:val="0"/>
          <w:numId w:val="38"/>
        </w:numPr>
        <w:adjustRightInd w:val="0"/>
        <w:snapToGrid w:val="0"/>
        <w:rPr>
          <w:rFonts w:ascii="Calibri" w:hAnsi="Calibri" w:cs="Calibri"/>
        </w:rPr>
      </w:pPr>
      <w:r w:rsidRPr="00664C48">
        <w:rPr>
          <w:rFonts w:ascii="Calibri" w:hAnsi="Calibri" w:cs="Calibri"/>
        </w:rPr>
        <w:t>Variance Inflation Factor (VIF &lt; 5), correlation coefficients, etc.</w:t>
      </w:r>
    </w:p>
    <w:p w14:paraId="5C8B1014"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2.9 Data Filtering</w:t>
      </w:r>
    </w:p>
    <w:p w14:paraId="5DF4B53E" w14:textId="77777777" w:rsidR="00A66DDC" w:rsidRPr="00664C48" w:rsidRDefault="00A66DDC" w:rsidP="00A66DDC">
      <w:pPr>
        <w:adjustRightInd w:val="0"/>
        <w:snapToGrid w:val="0"/>
        <w:rPr>
          <w:rFonts w:ascii="Calibri" w:hAnsi="Calibri" w:cs="Calibri"/>
        </w:rPr>
      </w:pPr>
      <w:r w:rsidRPr="00664C48">
        <w:rPr>
          <w:rFonts w:ascii="Calibri" w:hAnsi="Calibri" w:cs="Calibri"/>
        </w:rPr>
        <w:t>Remove data that are not relevant to the target species, such as:</w:t>
      </w:r>
    </w:p>
    <w:p w14:paraId="0FD9ED88" w14:textId="77777777" w:rsidR="00A66DDC" w:rsidRPr="00664C48" w:rsidRDefault="00A66DDC" w:rsidP="00C63C9B">
      <w:pPr>
        <w:widowControl w:val="0"/>
        <w:numPr>
          <w:ilvl w:val="0"/>
          <w:numId w:val="39"/>
        </w:numPr>
        <w:adjustRightInd w:val="0"/>
        <w:snapToGrid w:val="0"/>
        <w:rPr>
          <w:rFonts w:ascii="Calibri" w:hAnsi="Calibri" w:cs="Calibri"/>
        </w:rPr>
      </w:pPr>
      <w:r w:rsidRPr="00664C48">
        <w:rPr>
          <w:rFonts w:ascii="Calibri" w:hAnsi="Calibri" w:cs="Calibri"/>
        </w:rPr>
        <w:t>Records from unsuitable sea surface temperature ranges</w:t>
      </w:r>
    </w:p>
    <w:p w14:paraId="367A445D" w14:textId="77777777" w:rsidR="00A66DDC" w:rsidRPr="00664C48" w:rsidRDefault="00A66DDC" w:rsidP="00C63C9B">
      <w:pPr>
        <w:widowControl w:val="0"/>
        <w:numPr>
          <w:ilvl w:val="0"/>
          <w:numId w:val="39"/>
        </w:numPr>
        <w:adjustRightInd w:val="0"/>
        <w:snapToGrid w:val="0"/>
        <w:rPr>
          <w:rFonts w:ascii="Calibri" w:hAnsi="Calibri" w:cs="Calibri"/>
        </w:rPr>
      </w:pPr>
      <w:r w:rsidRPr="00664C48">
        <w:rPr>
          <w:rFonts w:ascii="Calibri" w:hAnsi="Calibri" w:cs="Calibri"/>
        </w:rPr>
        <w:t>Records where the catch of the target species is missing (NA)</w:t>
      </w:r>
    </w:p>
    <w:p w14:paraId="0B9D61FB" w14:textId="77777777" w:rsidR="00A66DDC" w:rsidRPr="00664C48" w:rsidRDefault="00A66DDC" w:rsidP="00C63C9B">
      <w:pPr>
        <w:widowControl w:val="0"/>
        <w:numPr>
          <w:ilvl w:val="0"/>
          <w:numId w:val="39"/>
        </w:numPr>
        <w:adjustRightInd w:val="0"/>
        <w:snapToGrid w:val="0"/>
        <w:rPr>
          <w:rFonts w:ascii="Calibri" w:hAnsi="Calibri" w:cs="Calibri"/>
        </w:rPr>
      </w:pPr>
      <w:r w:rsidRPr="00664C48">
        <w:rPr>
          <w:rFonts w:ascii="Calibri" w:hAnsi="Calibri" w:cs="Calibri"/>
        </w:rPr>
        <w:t>Vessels that did not catch the target species at all during a trip</w:t>
      </w:r>
    </w:p>
    <w:p w14:paraId="2FC48485" w14:textId="77777777" w:rsidR="00A66DDC" w:rsidRPr="00664C48" w:rsidRDefault="00A66DDC" w:rsidP="00C63C9B">
      <w:pPr>
        <w:widowControl w:val="0"/>
        <w:numPr>
          <w:ilvl w:val="0"/>
          <w:numId w:val="39"/>
        </w:numPr>
        <w:adjustRightInd w:val="0"/>
        <w:snapToGrid w:val="0"/>
        <w:rPr>
          <w:rFonts w:ascii="Calibri" w:hAnsi="Calibri" w:cs="Calibri"/>
        </w:rPr>
      </w:pPr>
      <w:r w:rsidRPr="00664C48">
        <w:rPr>
          <w:rFonts w:ascii="Calibri" w:hAnsi="Calibri" w:cs="Calibri"/>
        </w:rPr>
        <w:t>When using HBF, include only data within an appropriate range (e.g., 3–25)</w:t>
      </w:r>
    </w:p>
    <w:p w14:paraId="211CADD9"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2.10 Time-blocking</w:t>
      </w:r>
    </w:p>
    <w:p w14:paraId="644614E7" w14:textId="77777777" w:rsidR="00A66DDC" w:rsidRPr="00664C48" w:rsidRDefault="00A66DDC" w:rsidP="00C63C9B">
      <w:pPr>
        <w:widowControl w:val="0"/>
        <w:numPr>
          <w:ilvl w:val="0"/>
          <w:numId w:val="40"/>
        </w:numPr>
        <w:adjustRightInd w:val="0"/>
        <w:snapToGrid w:val="0"/>
        <w:rPr>
          <w:rFonts w:ascii="Calibri" w:hAnsi="Calibri" w:cs="Calibri"/>
        </w:rPr>
      </w:pPr>
      <w:r w:rsidRPr="00664C48">
        <w:rPr>
          <w:rFonts w:ascii="Calibri" w:hAnsi="Calibri" w:cs="Calibri"/>
        </w:rPr>
        <w:t>Define time blocks to account for changes in data quality or major shifts in fishing patterns.</w:t>
      </w:r>
    </w:p>
    <w:p w14:paraId="6F9CCF29" w14:textId="77777777" w:rsidR="00A66DDC" w:rsidRPr="00664C48" w:rsidRDefault="00AC53BB" w:rsidP="00A66DDC">
      <w:pPr>
        <w:adjustRightInd w:val="0"/>
        <w:snapToGrid w:val="0"/>
        <w:rPr>
          <w:rFonts w:ascii="Calibri" w:hAnsi="Calibri" w:cs="Calibri"/>
        </w:rPr>
      </w:pPr>
      <w:r>
        <w:rPr>
          <w:rFonts w:ascii="Calibri" w:hAnsi="Calibri" w:cs="Calibri"/>
        </w:rPr>
        <w:pict w14:anchorId="1781450D">
          <v:rect id="_x0000_i1026" style="width:8in;height:0" o:hrpct="0" o:hralign="center" o:hrstd="t" o:hr="t" fillcolor="#a0a0a0" stroked="f">
            <v:textbox inset="5.85pt,.7pt,5.85pt,.7pt"/>
          </v:rect>
        </w:pict>
      </w:r>
    </w:p>
    <w:p w14:paraId="6DC451A7"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3. Model Selection Based on Data Quality and Quantity</w:t>
      </w:r>
    </w:p>
    <w:p w14:paraId="1F7D53F4"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3.1 When Zero-catch Proportion is High</w:t>
      </w:r>
    </w:p>
    <w:p w14:paraId="260A7ADA" w14:textId="77777777" w:rsidR="00A66DDC" w:rsidRPr="00664C48" w:rsidRDefault="00A66DDC" w:rsidP="00C63C9B">
      <w:pPr>
        <w:widowControl w:val="0"/>
        <w:numPr>
          <w:ilvl w:val="0"/>
          <w:numId w:val="41"/>
        </w:numPr>
        <w:adjustRightInd w:val="0"/>
        <w:snapToGrid w:val="0"/>
        <w:rPr>
          <w:rFonts w:ascii="Calibri" w:hAnsi="Calibri" w:cs="Calibri"/>
        </w:rPr>
      </w:pPr>
      <w:r w:rsidRPr="00664C48">
        <w:rPr>
          <w:rFonts w:ascii="Calibri" w:hAnsi="Calibri" w:cs="Calibri"/>
        </w:rPr>
        <w:t>Use zero-inflated models, hurdle models, or delta two-step models (e.g., binomial model + continuous model)</w:t>
      </w:r>
    </w:p>
    <w:p w14:paraId="7B17D469"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3.2 For Catch Weight</w:t>
      </w:r>
    </w:p>
    <w:p w14:paraId="5C3CAA77" w14:textId="77777777" w:rsidR="00A66DDC" w:rsidRPr="00664C48" w:rsidRDefault="00A66DDC" w:rsidP="00C63C9B">
      <w:pPr>
        <w:widowControl w:val="0"/>
        <w:numPr>
          <w:ilvl w:val="0"/>
          <w:numId w:val="42"/>
        </w:numPr>
        <w:adjustRightInd w:val="0"/>
        <w:snapToGrid w:val="0"/>
        <w:rPr>
          <w:rFonts w:ascii="Calibri" w:hAnsi="Calibri" w:cs="Calibri"/>
        </w:rPr>
      </w:pPr>
      <w:r w:rsidRPr="00664C48">
        <w:rPr>
          <w:rFonts w:ascii="Calibri" w:hAnsi="Calibri" w:cs="Calibri"/>
        </w:rPr>
        <w:t>Use continuous distributions (e.g., lognormal, gamma, Tweedie)</w:t>
      </w:r>
    </w:p>
    <w:p w14:paraId="1E648DD8"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3.3 For Catch Count</w:t>
      </w:r>
    </w:p>
    <w:p w14:paraId="12A25F8E" w14:textId="77777777" w:rsidR="00A66DDC" w:rsidRPr="00664C48" w:rsidRDefault="00A66DDC" w:rsidP="00C63C9B">
      <w:pPr>
        <w:widowControl w:val="0"/>
        <w:numPr>
          <w:ilvl w:val="0"/>
          <w:numId w:val="43"/>
        </w:numPr>
        <w:adjustRightInd w:val="0"/>
        <w:snapToGrid w:val="0"/>
        <w:rPr>
          <w:rFonts w:ascii="Calibri" w:hAnsi="Calibri" w:cs="Calibri"/>
        </w:rPr>
      </w:pPr>
      <w:r w:rsidRPr="00664C48">
        <w:rPr>
          <w:rFonts w:ascii="Calibri" w:hAnsi="Calibri" w:cs="Calibri"/>
        </w:rPr>
        <w:t>Use discrete distributions (e.g., Poisson, negative binomial)</w:t>
      </w:r>
    </w:p>
    <w:p w14:paraId="7A387405"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3.4 Estimation Approach</w:t>
      </w:r>
    </w:p>
    <w:p w14:paraId="62C7CED0" w14:textId="77777777" w:rsidR="00A66DDC" w:rsidRPr="00664C48" w:rsidRDefault="00A66DDC" w:rsidP="00C63C9B">
      <w:pPr>
        <w:widowControl w:val="0"/>
        <w:numPr>
          <w:ilvl w:val="0"/>
          <w:numId w:val="44"/>
        </w:numPr>
        <w:adjustRightInd w:val="0"/>
        <w:snapToGrid w:val="0"/>
        <w:rPr>
          <w:rFonts w:ascii="Calibri" w:hAnsi="Calibri" w:cs="Calibri"/>
        </w:rPr>
      </w:pPr>
      <w:r w:rsidRPr="00664C48">
        <w:rPr>
          <w:rFonts w:ascii="Calibri" w:hAnsi="Calibri" w:cs="Calibri"/>
        </w:rPr>
        <w:t>Choose between frequentist or Bayesian approach</w:t>
      </w:r>
    </w:p>
    <w:p w14:paraId="2655EA17"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3.5 Model Selection Criteria</w:t>
      </w:r>
    </w:p>
    <w:p w14:paraId="490236BE" w14:textId="77777777" w:rsidR="00A66DDC" w:rsidRPr="00664C48" w:rsidRDefault="00A66DDC" w:rsidP="00C63C9B">
      <w:pPr>
        <w:widowControl w:val="0"/>
        <w:numPr>
          <w:ilvl w:val="0"/>
          <w:numId w:val="45"/>
        </w:numPr>
        <w:adjustRightInd w:val="0"/>
        <w:snapToGrid w:val="0"/>
        <w:rPr>
          <w:rFonts w:ascii="Calibri" w:hAnsi="Calibri" w:cs="Calibri"/>
        </w:rPr>
      </w:pPr>
      <w:r w:rsidRPr="00664C48">
        <w:rPr>
          <w:rFonts w:ascii="Calibri" w:hAnsi="Calibri" w:cs="Calibri"/>
        </w:rPr>
        <w:t>Use information criteria (AIC, BIC, DIC, WAIC) or cross-validation (K-fold, leave-one-out)</w:t>
      </w:r>
    </w:p>
    <w:p w14:paraId="74FAEE50" w14:textId="77777777" w:rsidR="00A66DDC" w:rsidRPr="00664C48" w:rsidRDefault="00AC53BB" w:rsidP="00A66DDC">
      <w:pPr>
        <w:adjustRightInd w:val="0"/>
        <w:snapToGrid w:val="0"/>
        <w:rPr>
          <w:rFonts w:ascii="Calibri" w:hAnsi="Calibri" w:cs="Calibri"/>
        </w:rPr>
      </w:pPr>
      <w:r>
        <w:rPr>
          <w:rFonts w:ascii="Calibri" w:hAnsi="Calibri" w:cs="Calibri"/>
        </w:rPr>
        <w:pict w14:anchorId="5542B6AC">
          <v:rect id="_x0000_i1027" style="width:8in;height:0" o:hrpct="0" o:hralign="center" o:hrstd="t" o:hr="t" fillcolor="#a0a0a0" stroked="f">
            <v:textbox inset="5.85pt,.7pt,5.85pt,.7pt"/>
          </v:rect>
        </w:pict>
      </w:r>
    </w:p>
    <w:p w14:paraId="5995645A"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4. Model Diagnostics</w:t>
      </w:r>
    </w:p>
    <w:p w14:paraId="5337C31C"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4.1 Convergence Check</w:t>
      </w:r>
    </w:p>
    <w:p w14:paraId="1D44F106" w14:textId="77777777" w:rsidR="00A66DDC" w:rsidRPr="00664C48" w:rsidRDefault="00A66DDC" w:rsidP="00C63C9B">
      <w:pPr>
        <w:widowControl w:val="0"/>
        <w:numPr>
          <w:ilvl w:val="0"/>
          <w:numId w:val="46"/>
        </w:numPr>
        <w:adjustRightInd w:val="0"/>
        <w:snapToGrid w:val="0"/>
        <w:rPr>
          <w:rFonts w:ascii="Calibri" w:hAnsi="Calibri" w:cs="Calibri"/>
        </w:rPr>
      </w:pPr>
      <w:r w:rsidRPr="00664C48">
        <w:rPr>
          <w:rFonts w:ascii="Calibri" w:hAnsi="Calibri" w:cs="Calibri"/>
        </w:rPr>
        <w:t>Frequentist: max gradient, positive definiteness of Hessian matrix</w:t>
      </w:r>
    </w:p>
    <w:p w14:paraId="78DF4393" w14:textId="77777777" w:rsidR="00A66DDC" w:rsidRPr="00664C48" w:rsidRDefault="00A66DDC" w:rsidP="00C63C9B">
      <w:pPr>
        <w:widowControl w:val="0"/>
        <w:numPr>
          <w:ilvl w:val="0"/>
          <w:numId w:val="46"/>
        </w:numPr>
        <w:adjustRightInd w:val="0"/>
        <w:snapToGrid w:val="0"/>
        <w:rPr>
          <w:rFonts w:ascii="Calibri" w:hAnsi="Calibri" w:cs="Calibri"/>
        </w:rPr>
      </w:pPr>
      <w:r w:rsidRPr="00664C48">
        <w:rPr>
          <w:rFonts w:ascii="Calibri" w:hAnsi="Calibri" w:cs="Calibri"/>
        </w:rPr>
        <w:lastRenderedPageBreak/>
        <w:t>Bayesian: trace plots, R-hat (Gelman-Rubin statistic)</w:t>
      </w:r>
    </w:p>
    <w:p w14:paraId="28305AC9"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4.2 Residual Diagnostics</w:t>
      </w:r>
    </w:p>
    <w:p w14:paraId="62179893" w14:textId="77777777" w:rsidR="00A66DDC" w:rsidRPr="00664C48" w:rsidRDefault="00A66DDC" w:rsidP="00C63C9B">
      <w:pPr>
        <w:widowControl w:val="0"/>
        <w:numPr>
          <w:ilvl w:val="0"/>
          <w:numId w:val="47"/>
        </w:numPr>
        <w:adjustRightInd w:val="0"/>
        <w:snapToGrid w:val="0"/>
        <w:rPr>
          <w:rFonts w:ascii="Calibri" w:hAnsi="Calibri" w:cs="Calibri"/>
        </w:rPr>
      </w:pPr>
      <w:r w:rsidRPr="00664C48">
        <w:rPr>
          <w:rFonts w:ascii="Calibri" w:hAnsi="Calibri" w:cs="Calibri"/>
        </w:rPr>
        <w:t>Residual plots, autocorrelation, normality checks</w:t>
      </w:r>
    </w:p>
    <w:p w14:paraId="3E452B26"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4.3 Goodness-of-fit</w:t>
      </w:r>
    </w:p>
    <w:p w14:paraId="7E953248" w14:textId="77777777" w:rsidR="00A66DDC" w:rsidRPr="00664C48" w:rsidRDefault="00A66DDC" w:rsidP="00C63C9B">
      <w:pPr>
        <w:widowControl w:val="0"/>
        <w:numPr>
          <w:ilvl w:val="0"/>
          <w:numId w:val="48"/>
        </w:numPr>
        <w:adjustRightInd w:val="0"/>
        <w:snapToGrid w:val="0"/>
        <w:rPr>
          <w:rFonts w:ascii="Calibri" w:hAnsi="Calibri" w:cs="Calibri"/>
        </w:rPr>
      </w:pPr>
      <w:r w:rsidRPr="00664C48">
        <w:rPr>
          <w:rFonts w:ascii="Calibri" w:hAnsi="Calibri" w:cs="Calibri"/>
        </w:rPr>
        <w:t>AIC, BIC, DIC, WAIC, R² or pseudo-R², log-likelihood</w:t>
      </w:r>
    </w:p>
    <w:p w14:paraId="3CB7006C"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4.4 Predictive Performance</w:t>
      </w:r>
    </w:p>
    <w:p w14:paraId="53980A45" w14:textId="77777777" w:rsidR="00A66DDC" w:rsidRPr="00664C48" w:rsidRDefault="00A66DDC" w:rsidP="00C63C9B">
      <w:pPr>
        <w:widowControl w:val="0"/>
        <w:numPr>
          <w:ilvl w:val="0"/>
          <w:numId w:val="49"/>
        </w:numPr>
        <w:adjustRightInd w:val="0"/>
        <w:snapToGrid w:val="0"/>
        <w:rPr>
          <w:rFonts w:ascii="Calibri" w:hAnsi="Calibri" w:cs="Calibri"/>
        </w:rPr>
      </w:pPr>
      <w:r w:rsidRPr="00664C48">
        <w:rPr>
          <w:rFonts w:ascii="Calibri" w:hAnsi="Calibri" w:cs="Calibri"/>
        </w:rPr>
        <w:t>Cross-validation</w:t>
      </w:r>
    </w:p>
    <w:p w14:paraId="0ACEED82"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4.5 Prediction Error</w:t>
      </w:r>
    </w:p>
    <w:p w14:paraId="3F7A520B" w14:textId="77777777" w:rsidR="00A66DDC" w:rsidRPr="00664C48" w:rsidRDefault="00A66DDC" w:rsidP="00C63C9B">
      <w:pPr>
        <w:widowControl w:val="0"/>
        <w:numPr>
          <w:ilvl w:val="0"/>
          <w:numId w:val="50"/>
        </w:numPr>
        <w:adjustRightInd w:val="0"/>
        <w:snapToGrid w:val="0"/>
        <w:rPr>
          <w:rFonts w:ascii="Calibri" w:hAnsi="Calibri" w:cs="Calibri"/>
        </w:rPr>
      </w:pPr>
      <w:r w:rsidRPr="00664C48">
        <w:rPr>
          <w:rFonts w:ascii="Calibri" w:hAnsi="Calibri" w:cs="Calibri"/>
        </w:rPr>
        <w:t>RMSE (Root Mean Square Error), MAE (Mean Absolute Error)</w:t>
      </w:r>
    </w:p>
    <w:p w14:paraId="52AA4437"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4.6 Model Robustness and Sensitivity Analysis</w:t>
      </w:r>
    </w:p>
    <w:p w14:paraId="6907D21C" w14:textId="77777777" w:rsidR="00A66DDC" w:rsidRPr="00664C48" w:rsidRDefault="00A66DDC" w:rsidP="00C63C9B">
      <w:pPr>
        <w:widowControl w:val="0"/>
        <w:numPr>
          <w:ilvl w:val="0"/>
          <w:numId w:val="51"/>
        </w:numPr>
        <w:adjustRightInd w:val="0"/>
        <w:snapToGrid w:val="0"/>
        <w:rPr>
          <w:rFonts w:ascii="Calibri" w:hAnsi="Calibri" w:cs="Calibri"/>
        </w:rPr>
      </w:pPr>
      <w:r w:rsidRPr="00664C48">
        <w:rPr>
          <w:rFonts w:ascii="Calibri" w:hAnsi="Calibri" w:cs="Calibri"/>
        </w:rPr>
        <w:t>Parameter sensitivity (effect of explanatory variables)</w:t>
      </w:r>
    </w:p>
    <w:p w14:paraId="6C147E18" w14:textId="77777777" w:rsidR="00A66DDC" w:rsidRPr="00664C48" w:rsidRDefault="00A66DDC" w:rsidP="00C63C9B">
      <w:pPr>
        <w:widowControl w:val="0"/>
        <w:numPr>
          <w:ilvl w:val="0"/>
          <w:numId w:val="51"/>
        </w:numPr>
        <w:adjustRightInd w:val="0"/>
        <w:snapToGrid w:val="0"/>
        <w:rPr>
          <w:rFonts w:ascii="Calibri" w:hAnsi="Calibri" w:cs="Calibri"/>
        </w:rPr>
      </w:pPr>
      <w:r w:rsidRPr="00664C48">
        <w:rPr>
          <w:rFonts w:ascii="Calibri" w:hAnsi="Calibri" w:cs="Calibri"/>
        </w:rPr>
        <w:t>Subset analysis (e.g., by region)</w:t>
      </w:r>
    </w:p>
    <w:p w14:paraId="69365D92"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4.7 Diagnostics for Spatio-temporal Models</w:t>
      </w:r>
    </w:p>
    <w:p w14:paraId="65B097CF" w14:textId="77777777" w:rsidR="00A66DDC" w:rsidRPr="00664C48" w:rsidRDefault="00A66DDC" w:rsidP="00C63C9B">
      <w:pPr>
        <w:widowControl w:val="0"/>
        <w:numPr>
          <w:ilvl w:val="0"/>
          <w:numId w:val="52"/>
        </w:numPr>
        <w:adjustRightInd w:val="0"/>
        <w:snapToGrid w:val="0"/>
        <w:rPr>
          <w:rFonts w:ascii="Calibri" w:hAnsi="Calibri" w:cs="Calibri"/>
        </w:rPr>
      </w:pPr>
      <w:r w:rsidRPr="00664C48">
        <w:rPr>
          <w:rFonts w:ascii="Calibri" w:hAnsi="Calibri" w:cs="Calibri"/>
        </w:rPr>
        <w:t>Spatial autocorrelation (e.g., Moran’s I)</w:t>
      </w:r>
    </w:p>
    <w:p w14:paraId="42BCBE02" w14:textId="77777777" w:rsidR="00A66DDC" w:rsidRPr="00664C48" w:rsidRDefault="00A66DDC" w:rsidP="00C63C9B">
      <w:pPr>
        <w:widowControl w:val="0"/>
        <w:numPr>
          <w:ilvl w:val="0"/>
          <w:numId w:val="52"/>
        </w:numPr>
        <w:adjustRightInd w:val="0"/>
        <w:snapToGrid w:val="0"/>
        <w:rPr>
          <w:rFonts w:ascii="Calibri" w:hAnsi="Calibri" w:cs="Calibri"/>
        </w:rPr>
      </w:pPr>
      <w:r w:rsidRPr="00664C48">
        <w:rPr>
          <w:rFonts w:ascii="Calibri" w:hAnsi="Calibri" w:cs="Calibri"/>
        </w:rPr>
        <w:t>Spatial residual plots</w:t>
      </w:r>
    </w:p>
    <w:p w14:paraId="5DD23C73" w14:textId="77777777" w:rsidR="00A66DDC" w:rsidRPr="00664C48" w:rsidRDefault="00A66DDC" w:rsidP="00C63C9B">
      <w:pPr>
        <w:widowControl w:val="0"/>
        <w:numPr>
          <w:ilvl w:val="0"/>
          <w:numId w:val="52"/>
        </w:numPr>
        <w:adjustRightInd w:val="0"/>
        <w:snapToGrid w:val="0"/>
        <w:rPr>
          <w:rFonts w:ascii="Calibri" w:hAnsi="Calibri" w:cs="Calibri"/>
        </w:rPr>
      </w:pPr>
      <w:r w:rsidRPr="00664C48">
        <w:rPr>
          <w:rFonts w:ascii="Calibri" w:hAnsi="Calibri" w:cs="Calibri"/>
        </w:rPr>
        <w:t>Visualization of spatial random effects</w:t>
      </w:r>
    </w:p>
    <w:p w14:paraId="6565ECEE" w14:textId="77777777" w:rsidR="00A66DDC" w:rsidRPr="00664C48" w:rsidRDefault="00A66DDC" w:rsidP="00C63C9B">
      <w:pPr>
        <w:widowControl w:val="0"/>
        <w:numPr>
          <w:ilvl w:val="0"/>
          <w:numId w:val="52"/>
        </w:numPr>
        <w:adjustRightInd w:val="0"/>
        <w:snapToGrid w:val="0"/>
        <w:rPr>
          <w:rFonts w:ascii="Calibri" w:hAnsi="Calibri" w:cs="Calibri"/>
        </w:rPr>
      </w:pPr>
      <w:r w:rsidRPr="00664C48">
        <w:rPr>
          <w:rFonts w:ascii="Calibri" w:hAnsi="Calibri" w:cs="Calibri"/>
        </w:rPr>
        <w:t>Temporal trend analysis</w:t>
      </w:r>
    </w:p>
    <w:p w14:paraId="123F488C" w14:textId="77777777" w:rsidR="00A66DDC" w:rsidRPr="00664C48" w:rsidRDefault="00AC53BB" w:rsidP="00A66DDC">
      <w:pPr>
        <w:adjustRightInd w:val="0"/>
        <w:snapToGrid w:val="0"/>
        <w:rPr>
          <w:rFonts w:ascii="Calibri" w:hAnsi="Calibri" w:cs="Calibri"/>
        </w:rPr>
      </w:pPr>
      <w:r>
        <w:rPr>
          <w:rFonts w:ascii="Calibri" w:hAnsi="Calibri" w:cs="Calibri"/>
        </w:rPr>
        <w:pict w14:anchorId="7B66D21A">
          <v:rect id="_x0000_i1028" style="width:8in;height:0" o:hrpct="0" o:hralign="center" o:hrstd="t" o:hr="t" fillcolor="#a0a0a0" stroked="f">
            <v:textbox inset="5.85pt,.7pt,5.85pt,.7pt"/>
          </v:rect>
        </w:pict>
      </w:r>
    </w:p>
    <w:p w14:paraId="20CECD6C"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5. Confidence Intervals and Uncertainty Estimation</w:t>
      </w:r>
    </w:p>
    <w:p w14:paraId="38AB624E"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5.1 Confidence Intervals for Parameter Estimates</w:t>
      </w:r>
    </w:p>
    <w:p w14:paraId="21E71B69" w14:textId="77777777" w:rsidR="00A66DDC" w:rsidRPr="00664C48" w:rsidRDefault="00A66DDC" w:rsidP="00C63C9B">
      <w:pPr>
        <w:widowControl w:val="0"/>
        <w:numPr>
          <w:ilvl w:val="0"/>
          <w:numId w:val="53"/>
        </w:numPr>
        <w:adjustRightInd w:val="0"/>
        <w:snapToGrid w:val="0"/>
        <w:rPr>
          <w:rFonts w:ascii="Calibri" w:hAnsi="Calibri" w:cs="Calibri"/>
        </w:rPr>
      </w:pPr>
      <w:r w:rsidRPr="00664C48">
        <w:rPr>
          <w:rFonts w:ascii="Calibri" w:hAnsi="Calibri" w:cs="Calibri"/>
        </w:rPr>
        <w:t>Based on standard errors</w:t>
      </w:r>
    </w:p>
    <w:p w14:paraId="3A135327"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5.2 Prediction Intervals</w:t>
      </w:r>
    </w:p>
    <w:p w14:paraId="1269C800" w14:textId="77777777" w:rsidR="00A66DDC" w:rsidRPr="00664C48" w:rsidRDefault="00A66DDC" w:rsidP="00C63C9B">
      <w:pPr>
        <w:widowControl w:val="0"/>
        <w:numPr>
          <w:ilvl w:val="0"/>
          <w:numId w:val="54"/>
        </w:numPr>
        <w:adjustRightInd w:val="0"/>
        <w:snapToGrid w:val="0"/>
        <w:rPr>
          <w:rFonts w:ascii="Calibri" w:hAnsi="Calibri" w:cs="Calibri"/>
        </w:rPr>
      </w:pPr>
      <w:r w:rsidRPr="00664C48">
        <w:rPr>
          <w:rFonts w:ascii="Calibri" w:hAnsi="Calibri" w:cs="Calibri"/>
        </w:rPr>
        <w:t>Use predict() function with standard errors; calculate 95% intervals as ±1.96 × SE</w:t>
      </w:r>
    </w:p>
    <w:p w14:paraId="7F2A70C0"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5.3 Bootstrap</w:t>
      </w:r>
    </w:p>
    <w:p w14:paraId="1A348444" w14:textId="77777777" w:rsidR="00A66DDC" w:rsidRPr="00664C48" w:rsidRDefault="00A66DDC" w:rsidP="00C63C9B">
      <w:pPr>
        <w:widowControl w:val="0"/>
        <w:numPr>
          <w:ilvl w:val="0"/>
          <w:numId w:val="55"/>
        </w:numPr>
        <w:adjustRightInd w:val="0"/>
        <w:snapToGrid w:val="0"/>
        <w:rPr>
          <w:rFonts w:ascii="Calibri" w:hAnsi="Calibri" w:cs="Calibri"/>
        </w:rPr>
      </w:pPr>
      <w:r w:rsidRPr="00664C48">
        <w:rPr>
          <w:rFonts w:ascii="Calibri" w:hAnsi="Calibri" w:cs="Calibri"/>
        </w:rPr>
        <w:t>Resample data and re-estimate the model multiple times</w:t>
      </w:r>
    </w:p>
    <w:p w14:paraId="6BC2EAC2"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5.4 Bayesian Inference</w:t>
      </w:r>
    </w:p>
    <w:p w14:paraId="2FB50E50" w14:textId="77777777" w:rsidR="00A66DDC" w:rsidRPr="00664C48" w:rsidRDefault="00A66DDC" w:rsidP="00C63C9B">
      <w:pPr>
        <w:widowControl w:val="0"/>
        <w:numPr>
          <w:ilvl w:val="0"/>
          <w:numId w:val="56"/>
        </w:numPr>
        <w:adjustRightInd w:val="0"/>
        <w:snapToGrid w:val="0"/>
        <w:rPr>
          <w:rFonts w:ascii="Calibri" w:hAnsi="Calibri" w:cs="Calibri"/>
        </w:rPr>
      </w:pPr>
      <w:r w:rsidRPr="00664C48">
        <w:rPr>
          <w:rFonts w:ascii="Calibri" w:hAnsi="Calibri" w:cs="Calibri"/>
        </w:rPr>
        <w:t>Use posterior distributions to derive credible intervals</w:t>
      </w:r>
    </w:p>
    <w:p w14:paraId="4FF2D406" w14:textId="77777777" w:rsidR="00A66DDC" w:rsidRPr="00664C48" w:rsidRDefault="00AC53BB" w:rsidP="00A66DDC">
      <w:pPr>
        <w:adjustRightInd w:val="0"/>
        <w:snapToGrid w:val="0"/>
        <w:rPr>
          <w:rFonts w:ascii="Calibri" w:hAnsi="Calibri" w:cs="Calibri"/>
        </w:rPr>
      </w:pPr>
      <w:r>
        <w:rPr>
          <w:rFonts w:ascii="Calibri" w:hAnsi="Calibri" w:cs="Calibri"/>
        </w:rPr>
        <w:pict w14:anchorId="329725AF">
          <v:rect id="_x0000_i1029" style="width:8in;height:0" o:hrpct="0" o:hralign="center" o:hrstd="t" o:hr="t" fillcolor="#a0a0a0" stroked="f">
            <v:textbox inset="5.85pt,.7pt,5.85pt,.7pt"/>
          </v:rect>
        </w:pict>
      </w:r>
    </w:p>
    <w:p w14:paraId="31BCD687" w14:textId="77777777" w:rsidR="00A66DDC" w:rsidRPr="00664C48" w:rsidRDefault="00A66DDC" w:rsidP="00A66DDC">
      <w:pPr>
        <w:adjustRightInd w:val="0"/>
        <w:snapToGrid w:val="0"/>
        <w:rPr>
          <w:rFonts w:ascii="Calibri" w:hAnsi="Calibri" w:cs="Calibri"/>
          <w:b/>
          <w:bCs/>
        </w:rPr>
      </w:pPr>
      <w:r w:rsidRPr="00664C48">
        <w:rPr>
          <w:rFonts w:ascii="Calibri" w:hAnsi="Calibri" w:cs="Calibri"/>
          <w:b/>
          <w:bCs/>
        </w:rPr>
        <w:t>Future Work</w:t>
      </w:r>
    </w:p>
    <w:p w14:paraId="347EC58C" w14:textId="77777777" w:rsidR="00A66DDC" w:rsidRPr="00664C48" w:rsidRDefault="00A66DDC" w:rsidP="00C63C9B">
      <w:pPr>
        <w:widowControl w:val="0"/>
        <w:numPr>
          <w:ilvl w:val="0"/>
          <w:numId w:val="57"/>
        </w:numPr>
        <w:adjustRightInd w:val="0"/>
        <w:snapToGrid w:val="0"/>
        <w:rPr>
          <w:rFonts w:ascii="Calibri" w:hAnsi="Calibri" w:cs="Calibri"/>
        </w:rPr>
      </w:pPr>
      <w:r w:rsidRPr="00664C48">
        <w:rPr>
          <w:rFonts w:ascii="Calibri" w:hAnsi="Calibri" w:cs="Calibri"/>
        </w:rPr>
        <w:t>Provide multiple examples using actual data with corresponding R code.</w:t>
      </w:r>
    </w:p>
    <w:p w14:paraId="21322D22" w14:textId="1F3BA5EE" w:rsidR="00F6387D" w:rsidRPr="00F6387D" w:rsidRDefault="00F6387D" w:rsidP="00F6387D">
      <w:pPr>
        <w:rPr>
          <w:rFonts w:eastAsia="MS Mincho"/>
          <w:lang w:eastAsia="en-US"/>
        </w:rPr>
        <w:sectPr w:rsidR="00F6387D" w:rsidRPr="00F6387D" w:rsidSect="007273E2">
          <w:headerReference w:type="default" r:id="rId99"/>
          <w:footerReference w:type="default" r:id="rId100"/>
          <w:type w:val="continuous"/>
          <w:pgSz w:w="11906" w:h="16838" w:code="9"/>
          <w:pgMar w:top="720" w:right="720" w:bottom="720" w:left="720" w:header="432" w:footer="288" w:gutter="0"/>
          <w:cols w:space="708"/>
          <w:docGrid w:linePitch="360"/>
        </w:sectPr>
      </w:pPr>
    </w:p>
    <w:p w14:paraId="6F5AEE5F" w14:textId="61E91007" w:rsidR="00640C7E" w:rsidRPr="00667569" w:rsidRDefault="0058551D" w:rsidP="00667569">
      <w:pPr>
        <w:pStyle w:val="AnnexTitle"/>
        <w:rPr>
          <w:rFonts w:ascii="Calibri" w:hAnsi="Calibri" w:cs="Calibri"/>
          <w:lang w:val="en-GB"/>
        </w:rPr>
      </w:pPr>
      <w:bookmarkStart w:id="189" w:name="APP10"/>
      <w:bookmarkStart w:id="190" w:name="_Toc210218024"/>
      <w:bookmarkEnd w:id="187"/>
      <w:r w:rsidRPr="007E7F1C">
        <w:rPr>
          <w:rFonts w:ascii="Calibri" w:hAnsi="Calibri" w:cs="Calibri"/>
          <w:color w:val="000000"/>
          <w:kern w:val="32"/>
          <w:szCs w:val="22"/>
          <w:lang w:val="en-GB"/>
        </w:rPr>
        <w:lastRenderedPageBreak/>
        <w:t xml:space="preserve">Appendix </w:t>
      </w:r>
      <w:r w:rsidR="00E603E0" w:rsidRPr="007E7F1C">
        <w:rPr>
          <w:rFonts w:ascii="Calibri" w:hAnsi="Calibri" w:cs="Calibri"/>
          <w:color w:val="000000"/>
          <w:kern w:val="32"/>
          <w:szCs w:val="22"/>
          <w:lang w:val="en-GB"/>
        </w:rPr>
        <w:t>X</w:t>
      </w:r>
      <w:r w:rsidR="0039738F">
        <w:rPr>
          <w:rFonts w:ascii="Calibri" w:hAnsi="Calibri" w:cs="Calibri"/>
          <w:color w:val="000000"/>
          <w:kern w:val="32"/>
          <w:szCs w:val="22"/>
          <w:lang w:val="en-GB"/>
        </w:rPr>
        <w:t xml:space="preserve"> </w:t>
      </w:r>
      <w:r w:rsidRPr="002859FE">
        <w:rPr>
          <w:rFonts w:ascii="Calibri" w:hAnsi="Calibri" w:cs="Calibri"/>
          <w:lang w:val="en-GB"/>
        </w:rPr>
        <w:t>Working Party on Billfish Program of Work (20</w:t>
      </w:r>
      <w:r w:rsidR="00BD4D70" w:rsidRPr="002859FE">
        <w:rPr>
          <w:rFonts w:ascii="Calibri" w:hAnsi="Calibri" w:cs="Calibri"/>
          <w:lang w:val="en-GB"/>
        </w:rPr>
        <w:t>2</w:t>
      </w:r>
      <w:r w:rsidR="009F124D">
        <w:rPr>
          <w:rFonts w:ascii="Calibri" w:hAnsi="Calibri" w:cs="Calibri"/>
          <w:lang w:val="en-GB"/>
        </w:rPr>
        <w:t>6</w:t>
      </w:r>
      <w:r w:rsidRPr="002859FE">
        <w:rPr>
          <w:rFonts w:ascii="Calibri" w:hAnsi="Calibri" w:cs="Calibri"/>
          <w:lang w:val="en-GB"/>
        </w:rPr>
        <w:t>–20</w:t>
      </w:r>
      <w:r w:rsidR="009F124D">
        <w:rPr>
          <w:rFonts w:ascii="Calibri" w:hAnsi="Calibri" w:cs="Calibri"/>
          <w:lang w:val="en-GB"/>
        </w:rPr>
        <w:t>30</w:t>
      </w:r>
      <w:r w:rsidRPr="002859FE">
        <w:rPr>
          <w:rFonts w:ascii="Calibri" w:hAnsi="Calibri" w:cs="Calibri"/>
          <w:lang w:val="en-GB"/>
        </w:rPr>
        <w:t>)</w:t>
      </w:r>
      <w:bookmarkEnd w:id="189"/>
      <w:bookmarkEnd w:id="190"/>
    </w:p>
    <w:p w14:paraId="5DB582CD" w14:textId="77777777" w:rsidR="0058551D" w:rsidRPr="002859FE" w:rsidRDefault="0058551D" w:rsidP="0058551D">
      <w:pPr>
        <w:keepNext/>
        <w:jc w:val="both"/>
        <w:rPr>
          <w:rFonts w:ascii="Calibri" w:hAnsi="Calibri" w:cs="Calibri"/>
          <w:bCs/>
          <w:lang w:val="en-AU"/>
        </w:rPr>
      </w:pPr>
      <w:r w:rsidRPr="002859FE">
        <w:rPr>
          <w:rFonts w:ascii="Calibri" w:hAnsi="Calibri" w:cs="Calibri"/>
          <w:bCs/>
          <w:lang w:val="en-AU"/>
        </w:rPr>
        <w:t xml:space="preserve">The Program of Work consists of the following, noting that a timeline for implementation would be developed by the SC once it has agreed to the priority projects across all of its Working Parties: </w:t>
      </w:r>
    </w:p>
    <w:p w14:paraId="1767D0CF" w14:textId="77777777" w:rsidR="0058551D" w:rsidRPr="002859FE" w:rsidRDefault="0058551D" w:rsidP="0099225C">
      <w:pPr>
        <w:keepNext/>
        <w:numPr>
          <w:ilvl w:val="0"/>
          <w:numId w:val="19"/>
        </w:numPr>
        <w:spacing w:before="120"/>
        <w:ind w:left="1077" w:hanging="357"/>
        <w:jc w:val="both"/>
        <w:rPr>
          <w:rFonts w:ascii="Calibri" w:hAnsi="Calibri" w:cs="Calibri"/>
          <w:bCs/>
          <w:lang w:val="en-AU"/>
        </w:rPr>
      </w:pPr>
      <w:r w:rsidRPr="002859FE">
        <w:rPr>
          <w:rFonts w:ascii="Calibri" w:hAnsi="Calibri" w:cs="Calibri"/>
          <w:b/>
          <w:bCs/>
          <w:lang w:val="en-AU"/>
        </w:rPr>
        <w:t>Table 1</w:t>
      </w:r>
      <w:r w:rsidRPr="002859FE">
        <w:rPr>
          <w:rFonts w:ascii="Calibri" w:hAnsi="Calibri" w:cs="Calibri"/>
          <w:bCs/>
          <w:lang w:val="en-AU"/>
        </w:rPr>
        <w:t>: High priority topics</w:t>
      </w:r>
      <w:r w:rsidRPr="002859FE">
        <w:rPr>
          <w:rFonts w:ascii="Calibri" w:hAnsi="Calibri" w:cs="Calibri"/>
        </w:rPr>
        <w:t xml:space="preserve"> </w:t>
      </w:r>
      <w:r w:rsidRPr="002859FE">
        <w:rPr>
          <w:rFonts w:ascii="Calibri" w:hAnsi="Calibri" w:cs="Calibri"/>
          <w:bCs/>
          <w:lang w:val="en-AU"/>
        </w:rPr>
        <w:t xml:space="preserve">for obtaining the information necessary to develop stock status indicators for billfish in the Indian Ocean; and </w:t>
      </w:r>
    </w:p>
    <w:p w14:paraId="04C262FB" w14:textId="77777777" w:rsidR="0058551D" w:rsidRPr="002859FE" w:rsidRDefault="0058551D" w:rsidP="0099225C">
      <w:pPr>
        <w:keepNext/>
        <w:numPr>
          <w:ilvl w:val="0"/>
          <w:numId w:val="19"/>
        </w:numPr>
        <w:ind w:left="1080"/>
        <w:contextualSpacing/>
        <w:jc w:val="both"/>
        <w:rPr>
          <w:rFonts w:ascii="Calibri" w:hAnsi="Calibri" w:cs="Calibri"/>
          <w:bCs/>
          <w:lang w:val="en-AU"/>
        </w:rPr>
      </w:pPr>
      <w:r w:rsidRPr="002859FE">
        <w:rPr>
          <w:rFonts w:ascii="Calibri" w:hAnsi="Calibri" w:cs="Calibri"/>
          <w:b/>
          <w:bCs/>
          <w:lang w:val="en-AU"/>
        </w:rPr>
        <w:t>Table 2</w:t>
      </w:r>
      <w:r w:rsidRPr="002859FE">
        <w:rPr>
          <w:rFonts w:ascii="Calibri" w:hAnsi="Calibri" w:cs="Calibri"/>
          <w:bCs/>
          <w:lang w:val="en-AU"/>
        </w:rPr>
        <w:t>: Stock assessment schedule.</w:t>
      </w:r>
    </w:p>
    <w:p w14:paraId="11FB29AC" w14:textId="77777777" w:rsidR="00667569" w:rsidRPr="00667569" w:rsidRDefault="00667569" w:rsidP="00667569">
      <w:pPr>
        <w:spacing w:before="240" w:after="120"/>
        <w:jc w:val="both"/>
        <w:rPr>
          <w:rFonts w:ascii="Calibri" w:eastAsia="MS Mincho" w:hAnsi="Calibri" w:cs="Calibri"/>
          <w:snapToGrid w:val="0"/>
          <w:color w:val="000000"/>
          <w:szCs w:val="20"/>
          <w:lang w:eastAsia="en-US"/>
        </w:rPr>
      </w:pPr>
      <w:r w:rsidRPr="00667569">
        <w:rPr>
          <w:rFonts w:ascii="Calibri" w:eastAsia="MS Mincho" w:hAnsi="Calibri" w:cs="Calibri"/>
          <w:b/>
          <w:snapToGrid w:val="0"/>
          <w:color w:val="000000"/>
          <w:szCs w:val="20"/>
          <w:lang w:eastAsia="en-US"/>
        </w:rPr>
        <w:t>Table 1</w:t>
      </w:r>
      <w:r w:rsidRPr="00667569">
        <w:rPr>
          <w:rFonts w:ascii="Calibri" w:eastAsia="MS Mincho" w:hAnsi="Calibri" w:cs="Calibri"/>
          <w:snapToGrid w:val="0"/>
          <w:color w:val="000000"/>
          <w:szCs w:val="20"/>
          <w:lang w:eastAsia="en-US"/>
        </w:rPr>
        <w:t>. Priority topics for obtaining the information necessary to develop stock status indicators for billfish in the Indian Ocean</w:t>
      </w:r>
    </w:p>
    <w:tbl>
      <w:tblPr>
        <w:tblStyle w:val="TableGrid518"/>
        <w:tblpPr w:leftFromText="180" w:rightFromText="180" w:vertAnchor="text" w:tblpY="1"/>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3"/>
        <w:gridCol w:w="8206"/>
        <w:gridCol w:w="775"/>
        <w:gridCol w:w="775"/>
        <w:gridCol w:w="775"/>
        <w:gridCol w:w="775"/>
        <w:gridCol w:w="1105"/>
      </w:tblGrid>
      <w:tr w:rsidR="00667569" w:rsidRPr="00667569" w14:paraId="0A07D9D6" w14:textId="77777777" w:rsidTr="000D6E29">
        <w:tc>
          <w:tcPr>
            <w:tcW w:w="966" w:type="pct"/>
            <w:vMerge w:val="restart"/>
            <w:tcBorders>
              <w:top w:val="single" w:sz="4" w:space="0" w:color="auto"/>
              <w:left w:val="single" w:sz="4" w:space="0" w:color="auto"/>
            </w:tcBorders>
            <w:vAlign w:val="center"/>
          </w:tcPr>
          <w:p w14:paraId="6B7A5A50" w14:textId="77777777" w:rsidR="00667569" w:rsidRPr="00667569" w:rsidRDefault="00667569" w:rsidP="00667569">
            <w:pPr>
              <w:keepNext/>
              <w:keepLines/>
              <w:spacing w:before="60" w:after="60"/>
              <w:jc w:val="center"/>
              <w:rPr>
                <w:rFonts w:ascii="Calibri" w:eastAsia="MS Mincho" w:hAnsi="Calibri" w:cs="Calibri"/>
                <w:b/>
                <w:snapToGrid w:val="0"/>
                <w:color w:val="000000"/>
                <w:szCs w:val="20"/>
                <w:lang w:eastAsia="en-US"/>
              </w:rPr>
            </w:pPr>
            <w:r w:rsidRPr="00667569">
              <w:rPr>
                <w:rFonts w:ascii="Calibri" w:eastAsia="MS Mincho" w:hAnsi="Calibri" w:cs="Calibri"/>
                <w:b/>
                <w:snapToGrid w:val="0"/>
                <w:color w:val="000000"/>
                <w:szCs w:val="20"/>
                <w:lang w:eastAsia="en-US"/>
              </w:rPr>
              <w:t>Topic in order of priority</w:t>
            </w:r>
          </w:p>
        </w:tc>
        <w:tc>
          <w:tcPr>
            <w:tcW w:w="2667" w:type="pct"/>
            <w:vMerge w:val="restart"/>
            <w:tcBorders>
              <w:top w:val="single" w:sz="4" w:space="0" w:color="auto"/>
              <w:bottom w:val="single" w:sz="4" w:space="0" w:color="auto"/>
            </w:tcBorders>
            <w:vAlign w:val="center"/>
          </w:tcPr>
          <w:p w14:paraId="4FE79D0E" w14:textId="77777777" w:rsidR="00667569" w:rsidRPr="00667569" w:rsidRDefault="00667569" w:rsidP="00667569">
            <w:pPr>
              <w:keepNext/>
              <w:keepLines/>
              <w:spacing w:before="60" w:after="60"/>
              <w:jc w:val="center"/>
              <w:rPr>
                <w:rFonts w:ascii="Calibri" w:eastAsia="MS Mincho" w:hAnsi="Calibri" w:cs="Calibri"/>
                <w:b/>
                <w:snapToGrid w:val="0"/>
                <w:color w:val="000000"/>
                <w:szCs w:val="20"/>
                <w:lang w:eastAsia="en-US"/>
              </w:rPr>
            </w:pPr>
            <w:r w:rsidRPr="00667569">
              <w:rPr>
                <w:rFonts w:ascii="Calibri" w:eastAsia="MS Mincho" w:hAnsi="Calibri" w:cs="Calibri"/>
                <w:b/>
                <w:snapToGrid w:val="0"/>
                <w:color w:val="000000"/>
                <w:szCs w:val="20"/>
                <w:lang w:eastAsia="en-US"/>
              </w:rPr>
              <w:t>Sub-topic and project</w:t>
            </w:r>
          </w:p>
        </w:tc>
        <w:tc>
          <w:tcPr>
            <w:tcW w:w="1367" w:type="pct"/>
            <w:gridSpan w:val="5"/>
            <w:tcBorders>
              <w:top w:val="single" w:sz="4" w:space="0" w:color="auto"/>
              <w:left w:val="single" w:sz="4" w:space="0" w:color="auto"/>
              <w:bottom w:val="single" w:sz="4" w:space="0" w:color="auto"/>
              <w:right w:val="single" w:sz="4" w:space="0" w:color="auto"/>
            </w:tcBorders>
            <w:vAlign w:val="center"/>
          </w:tcPr>
          <w:p w14:paraId="038114CE" w14:textId="77777777" w:rsidR="00667569" w:rsidRPr="00667569" w:rsidRDefault="00667569" w:rsidP="00667569">
            <w:pPr>
              <w:keepNext/>
              <w:keepLines/>
              <w:spacing w:before="60" w:after="60"/>
              <w:jc w:val="center"/>
              <w:rPr>
                <w:rFonts w:ascii="Calibri" w:eastAsia="MS Mincho" w:hAnsi="Calibri" w:cs="Calibri"/>
                <w:b/>
                <w:snapToGrid w:val="0"/>
                <w:color w:val="000000"/>
                <w:szCs w:val="20"/>
                <w:lang w:eastAsia="en-US"/>
              </w:rPr>
            </w:pPr>
            <w:r w:rsidRPr="00667569">
              <w:rPr>
                <w:rFonts w:ascii="Calibri" w:eastAsia="MS Mincho" w:hAnsi="Calibri" w:cs="Calibri"/>
                <w:b/>
                <w:snapToGrid w:val="0"/>
                <w:color w:val="000000"/>
                <w:szCs w:val="20"/>
                <w:lang w:eastAsia="en-US"/>
              </w:rPr>
              <w:t>Timing</w:t>
            </w:r>
          </w:p>
        </w:tc>
      </w:tr>
      <w:tr w:rsidR="00667569" w:rsidRPr="00667569" w14:paraId="04AA3D3D" w14:textId="77777777" w:rsidTr="000D7E8F">
        <w:tc>
          <w:tcPr>
            <w:tcW w:w="966" w:type="pct"/>
            <w:vMerge/>
            <w:tcBorders>
              <w:left w:val="single" w:sz="4" w:space="0" w:color="auto"/>
              <w:bottom w:val="single" w:sz="4" w:space="0" w:color="auto"/>
            </w:tcBorders>
            <w:vAlign w:val="center"/>
          </w:tcPr>
          <w:p w14:paraId="6A3CA6A7" w14:textId="77777777" w:rsidR="00667569" w:rsidRPr="00667569" w:rsidRDefault="00667569" w:rsidP="00667569">
            <w:pPr>
              <w:jc w:val="center"/>
              <w:rPr>
                <w:rFonts w:ascii="Calibri" w:eastAsia="MS Mincho" w:hAnsi="Calibri" w:cs="Calibri"/>
                <w:b/>
                <w:snapToGrid w:val="0"/>
                <w:color w:val="000000"/>
                <w:szCs w:val="20"/>
                <w:lang w:eastAsia="en-US"/>
              </w:rPr>
            </w:pPr>
          </w:p>
        </w:tc>
        <w:tc>
          <w:tcPr>
            <w:tcW w:w="2667" w:type="pct"/>
            <w:vMerge/>
            <w:tcBorders>
              <w:bottom w:val="single" w:sz="4" w:space="0" w:color="auto"/>
            </w:tcBorders>
            <w:vAlign w:val="center"/>
          </w:tcPr>
          <w:p w14:paraId="33D2528C" w14:textId="77777777" w:rsidR="00667569" w:rsidRPr="00667569" w:rsidRDefault="00667569" w:rsidP="00667569">
            <w:pPr>
              <w:jc w:val="center"/>
              <w:rPr>
                <w:rFonts w:ascii="Calibri" w:eastAsia="MS Mincho" w:hAnsi="Calibri" w:cs="Calibri"/>
                <w:b/>
                <w:snapToGrid w:val="0"/>
                <w:color w:val="000000"/>
                <w:szCs w:val="20"/>
                <w:lang w:eastAsia="en-US"/>
              </w:rPr>
            </w:pPr>
          </w:p>
        </w:tc>
        <w:tc>
          <w:tcPr>
            <w:tcW w:w="252" w:type="pct"/>
            <w:tcBorders>
              <w:top w:val="single" w:sz="4" w:space="0" w:color="auto"/>
              <w:left w:val="single" w:sz="4" w:space="0" w:color="auto"/>
              <w:bottom w:val="single" w:sz="4" w:space="0" w:color="auto"/>
              <w:right w:val="single" w:sz="4" w:space="0" w:color="auto"/>
            </w:tcBorders>
            <w:vAlign w:val="center"/>
          </w:tcPr>
          <w:p w14:paraId="26B5A4B2" w14:textId="77777777" w:rsidR="00667569" w:rsidRPr="00667569" w:rsidRDefault="00667569" w:rsidP="00667569">
            <w:pPr>
              <w:jc w:val="center"/>
              <w:rPr>
                <w:rFonts w:ascii="Calibri" w:eastAsia="MS Mincho" w:hAnsi="Calibri" w:cs="Calibri"/>
                <w:b/>
                <w:snapToGrid w:val="0"/>
                <w:color w:val="000000"/>
                <w:szCs w:val="20"/>
                <w:lang w:eastAsia="en-US"/>
              </w:rPr>
            </w:pPr>
            <w:r w:rsidRPr="00667569">
              <w:rPr>
                <w:rFonts w:ascii="Calibri" w:eastAsia="MS Mincho" w:hAnsi="Calibri" w:cs="Calibri"/>
                <w:b/>
                <w:snapToGrid w:val="0"/>
                <w:color w:val="000000"/>
                <w:szCs w:val="20"/>
                <w:lang w:eastAsia="en-US"/>
              </w:rPr>
              <w:t>2026</w:t>
            </w:r>
          </w:p>
        </w:tc>
        <w:tc>
          <w:tcPr>
            <w:tcW w:w="252" w:type="pct"/>
            <w:tcBorders>
              <w:top w:val="single" w:sz="4" w:space="0" w:color="auto"/>
              <w:left w:val="single" w:sz="4" w:space="0" w:color="auto"/>
              <w:bottom w:val="single" w:sz="4" w:space="0" w:color="auto"/>
              <w:right w:val="single" w:sz="4" w:space="0" w:color="auto"/>
            </w:tcBorders>
            <w:vAlign w:val="center"/>
          </w:tcPr>
          <w:p w14:paraId="217C005B" w14:textId="77777777" w:rsidR="00667569" w:rsidRPr="00667569" w:rsidRDefault="00667569" w:rsidP="00667569">
            <w:pPr>
              <w:jc w:val="center"/>
              <w:rPr>
                <w:rFonts w:ascii="Calibri" w:eastAsia="MS Mincho" w:hAnsi="Calibri" w:cs="Calibri"/>
                <w:b/>
                <w:snapToGrid w:val="0"/>
                <w:color w:val="000000"/>
                <w:szCs w:val="20"/>
                <w:lang w:eastAsia="en-US"/>
              </w:rPr>
            </w:pPr>
            <w:r w:rsidRPr="00667569">
              <w:rPr>
                <w:rFonts w:ascii="Calibri" w:eastAsia="MS Mincho" w:hAnsi="Calibri" w:cs="Calibri"/>
                <w:b/>
                <w:snapToGrid w:val="0"/>
                <w:color w:val="000000"/>
                <w:szCs w:val="20"/>
                <w:lang w:eastAsia="en-US"/>
              </w:rPr>
              <w:t>2027</w:t>
            </w:r>
          </w:p>
        </w:tc>
        <w:tc>
          <w:tcPr>
            <w:tcW w:w="252" w:type="pct"/>
            <w:tcBorders>
              <w:top w:val="single" w:sz="4" w:space="0" w:color="auto"/>
              <w:left w:val="single" w:sz="4" w:space="0" w:color="auto"/>
              <w:bottom w:val="single" w:sz="4" w:space="0" w:color="auto"/>
              <w:right w:val="single" w:sz="4" w:space="0" w:color="auto"/>
            </w:tcBorders>
            <w:vAlign w:val="center"/>
          </w:tcPr>
          <w:p w14:paraId="2D2665AC" w14:textId="77777777" w:rsidR="00667569" w:rsidRPr="00667569" w:rsidRDefault="00667569" w:rsidP="00667569">
            <w:pPr>
              <w:jc w:val="center"/>
              <w:rPr>
                <w:rFonts w:ascii="Calibri" w:eastAsia="MS Mincho" w:hAnsi="Calibri" w:cs="Calibri"/>
                <w:b/>
                <w:snapToGrid w:val="0"/>
                <w:color w:val="000000"/>
                <w:szCs w:val="20"/>
                <w:lang w:eastAsia="en-US"/>
              </w:rPr>
            </w:pPr>
            <w:r w:rsidRPr="00667569">
              <w:rPr>
                <w:rFonts w:ascii="Calibri" w:eastAsia="MS Mincho" w:hAnsi="Calibri" w:cs="Calibri"/>
                <w:b/>
                <w:snapToGrid w:val="0"/>
                <w:color w:val="000000"/>
                <w:szCs w:val="20"/>
                <w:lang w:eastAsia="en-US"/>
              </w:rPr>
              <w:t>2028</w:t>
            </w:r>
          </w:p>
        </w:tc>
        <w:tc>
          <w:tcPr>
            <w:tcW w:w="252" w:type="pct"/>
            <w:tcBorders>
              <w:top w:val="single" w:sz="4" w:space="0" w:color="auto"/>
              <w:left w:val="single" w:sz="4" w:space="0" w:color="auto"/>
              <w:bottom w:val="single" w:sz="4" w:space="0" w:color="auto"/>
              <w:right w:val="single" w:sz="4" w:space="0" w:color="auto"/>
            </w:tcBorders>
            <w:vAlign w:val="center"/>
          </w:tcPr>
          <w:p w14:paraId="35173D52" w14:textId="77777777" w:rsidR="00667569" w:rsidRPr="00667569" w:rsidRDefault="00667569" w:rsidP="00667569">
            <w:pPr>
              <w:jc w:val="center"/>
              <w:rPr>
                <w:rFonts w:ascii="Calibri" w:eastAsia="MS Mincho" w:hAnsi="Calibri" w:cs="Calibri"/>
                <w:b/>
                <w:snapToGrid w:val="0"/>
                <w:color w:val="000000"/>
                <w:szCs w:val="20"/>
                <w:lang w:eastAsia="en-US"/>
              </w:rPr>
            </w:pPr>
            <w:r w:rsidRPr="00667569">
              <w:rPr>
                <w:rFonts w:ascii="Calibri" w:eastAsia="MS Mincho" w:hAnsi="Calibri" w:cs="Calibri"/>
                <w:b/>
                <w:snapToGrid w:val="0"/>
                <w:color w:val="000000"/>
                <w:szCs w:val="20"/>
                <w:lang w:eastAsia="en-US"/>
              </w:rPr>
              <w:t>2029</w:t>
            </w:r>
          </w:p>
        </w:tc>
        <w:tc>
          <w:tcPr>
            <w:tcW w:w="359" w:type="pct"/>
            <w:tcBorders>
              <w:top w:val="single" w:sz="4" w:space="0" w:color="auto"/>
              <w:left w:val="single" w:sz="4" w:space="0" w:color="auto"/>
              <w:bottom w:val="single" w:sz="4" w:space="0" w:color="auto"/>
              <w:right w:val="single" w:sz="4" w:space="0" w:color="auto"/>
            </w:tcBorders>
            <w:vAlign w:val="center"/>
          </w:tcPr>
          <w:p w14:paraId="5798315A" w14:textId="77777777" w:rsidR="00667569" w:rsidRPr="00667569" w:rsidRDefault="00667569" w:rsidP="00667569">
            <w:pPr>
              <w:jc w:val="center"/>
              <w:rPr>
                <w:rFonts w:ascii="Calibri" w:eastAsia="MS Mincho" w:hAnsi="Calibri" w:cs="Calibri"/>
                <w:b/>
                <w:snapToGrid w:val="0"/>
                <w:color w:val="000000"/>
                <w:szCs w:val="20"/>
                <w:lang w:eastAsia="en-US"/>
              </w:rPr>
            </w:pPr>
            <w:r w:rsidRPr="00667569">
              <w:rPr>
                <w:rFonts w:ascii="Calibri" w:eastAsia="MS Mincho" w:hAnsi="Calibri" w:cs="Calibri"/>
                <w:b/>
                <w:snapToGrid w:val="0"/>
                <w:color w:val="000000"/>
                <w:szCs w:val="20"/>
                <w:lang w:eastAsia="en-US"/>
              </w:rPr>
              <w:t>2030</w:t>
            </w:r>
          </w:p>
        </w:tc>
      </w:tr>
      <w:tr w:rsidR="00667569" w:rsidRPr="00667569" w14:paraId="07B83AA6" w14:textId="77777777" w:rsidTr="000D7E8F">
        <w:trPr>
          <w:trHeight w:val="72"/>
        </w:trPr>
        <w:tc>
          <w:tcPr>
            <w:tcW w:w="966" w:type="pct"/>
            <w:vMerge w:val="restart"/>
            <w:tcBorders>
              <w:top w:val="single" w:sz="4" w:space="0" w:color="auto"/>
              <w:left w:val="single" w:sz="4" w:space="0" w:color="auto"/>
            </w:tcBorders>
          </w:tcPr>
          <w:p w14:paraId="11FC0416" w14:textId="77777777" w:rsidR="00667569" w:rsidRPr="00667569" w:rsidRDefault="00667569" w:rsidP="00667569">
            <w:pPr>
              <w:spacing w:before="60" w:after="60"/>
              <w:ind w:left="72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CPUE standardization</w:t>
            </w:r>
          </w:p>
        </w:tc>
        <w:tc>
          <w:tcPr>
            <w:tcW w:w="2667" w:type="pct"/>
            <w:tcBorders>
              <w:top w:val="single" w:sz="4" w:space="0" w:color="auto"/>
            </w:tcBorders>
          </w:tcPr>
          <w:p w14:paraId="0C3578F1" w14:textId="77777777" w:rsidR="00667569" w:rsidRPr="00667569" w:rsidRDefault="00667569" w:rsidP="00667569">
            <w:pPr>
              <w:spacing w:before="60" w:after="6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 xml:space="preserve">Develop and/or revise standardized CPUE series for each billfish species and major fisheries/fleets in the Indian Ocean and develop Joint CPUE series where feasible </w:t>
            </w:r>
          </w:p>
        </w:tc>
        <w:tc>
          <w:tcPr>
            <w:tcW w:w="252" w:type="pct"/>
            <w:vMerge w:val="restart"/>
            <w:tcBorders>
              <w:top w:val="single" w:sz="4" w:space="0" w:color="auto"/>
              <w:left w:val="nil"/>
              <w:right w:val="single" w:sz="4" w:space="0" w:color="auto"/>
            </w:tcBorders>
            <w:shd w:val="clear" w:color="auto" w:fill="BFBFBF"/>
          </w:tcPr>
          <w:p w14:paraId="7A6D6AD2"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val="restart"/>
            <w:tcBorders>
              <w:top w:val="single" w:sz="4" w:space="0" w:color="auto"/>
              <w:left w:val="single" w:sz="4" w:space="0" w:color="auto"/>
              <w:right w:val="single" w:sz="4" w:space="0" w:color="auto"/>
            </w:tcBorders>
            <w:shd w:val="clear" w:color="auto" w:fill="BFBFBF"/>
          </w:tcPr>
          <w:p w14:paraId="52A8001C"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val="restart"/>
            <w:tcBorders>
              <w:top w:val="single" w:sz="4" w:space="0" w:color="auto"/>
              <w:left w:val="single" w:sz="4" w:space="0" w:color="auto"/>
              <w:right w:val="single" w:sz="4" w:space="0" w:color="auto"/>
            </w:tcBorders>
            <w:shd w:val="clear" w:color="auto" w:fill="BFBFBF"/>
          </w:tcPr>
          <w:p w14:paraId="12191BE6"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val="restart"/>
            <w:tcBorders>
              <w:top w:val="single" w:sz="4" w:space="0" w:color="auto"/>
              <w:left w:val="single" w:sz="4" w:space="0" w:color="auto"/>
              <w:right w:val="single" w:sz="4" w:space="0" w:color="auto"/>
            </w:tcBorders>
            <w:shd w:val="clear" w:color="auto" w:fill="BFBFBF"/>
          </w:tcPr>
          <w:p w14:paraId="68500558"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vMerge w:val="restart"/>
            <w:tcBorders>
              <w:top w:val="single" w:sz="4" w:space="0" w:color="auto"/>
              <w:left w:val="single" w:sz="4" w:space="0" w:color="auto"/>
              <w:right w:val="single" w:sz="4" w:space="0" w:color="auto"/>
            </w:tcBorders>
            <w:shd w:val="clear" w:color="auto" w:fill="BFBFBF"/>
          </w:tcPr>
          <w:p w14:paraId="60E9E30C"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5BCFF00B" w14:textId="77777777" w:rsidTr="000D7E8F">
        <w:trPr>
          <w:trHeight w:val="70"/>
        </w:trPr>
        <w:tc>
          <w:tcPr>
            <w:tcW w:w="966" w:type="pct"/>
            <w:vMerge/>
            <w:tcBorders>
              <w:left w:val="single" w:sz="4" w:space="0" w:color="auto"/>
            </w:tcBorders>
          </w:tcPr>
          <w:p w14:paraId="41AEAC60" w14:textId="77777777" w:rsidR="00667569" w:rsidRPr="00667569" w:rsidRDefault="00667569" w:rsidP="00667569">
            <w:pPr>
              <w:spacing w:before="60" w:after="60"/>
              <w:ind w:left="316"/>
              <w:rPr>
                <w:rFonts w:ascii="Calibri" w:eastAsia="MS Mincho" w:hAnsi="Calibri" w:cs="Calibri"/>
                <w:snapToGrid w:val="0"/>
                <w:szCs w:val="20"/>
                <w:lang w:eastAsia="en-US"/>
              </w:rPr>
            </w:pPr>
          </w:p>
        </w:tc>
        <w:tc>
          <w:tcPr>
            <w:tcW w:w="2667" w:type="pct"/>
          </w:tcPr>
          <w:p w14:paraId="6517AFF2" w14:textId="77777777" w:rsidR="00667569" w:rsidRPr="00667569" w:rsidRDefault="00667569" w:rsidP="00C63C9B">
            <w:pPr>
              <w:numPr>
                <w:ilvl w:val="0"/>
                <w:numId w:val="60"/>
              </w:numPr>
              <w:spacing w:before="60" w:after="60" w:line="276" w:lineRule="auto"/>
              <w:contextualSpacing/>
              <w:rPr>
                <w:rFonts w:ascii="Calibri" w:eastAsia="MS Mincho" w:hAnsi="Calibri" w:cs="Calibri"/>
                <w:snapToGrid w:val="0"/>
                <w:lang w:eastAsia="en-US"/>
              </w:rPr>
            </w:pPr>
            <w:r w:rsidRPr="00667569">
              <w:rPr>
                <w:rFonts w:ascii="Calibri" w:eastAsia="MS Mincho" w:hAnsi="Calibri" w:cs="Calibri"/>
                <w:snapToGrid w:val="0"/>
                <w:lang w:eastAsia="en-US"/>
              </w:rPr>
              <w:t>Swordfish: Priority LL fleets: Taiwan,China, EU(Spain, Portugal, France), Japan, Indonesia, South African</w:t>
            </w:r>
          </w:p>
        </w:tc>
        <w:tc>
          <w:tcPr>
            <w:tcW w:w="252" w:type="pct"/>
            <w:vMerge/>
            <w:tcBorders>
              <w:left w:val="nil"/>
              <w:right w:val="single" w:sz="4" w:space="0" w:color="auto"/>
            </w:tcBorders>
            <w:shd w:val="clear" w:color="auto" w:fill="BFBFBF"/>
          </w:tcPr>
          <w:p w14:paraId="58C5C548"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362E4A5A"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28E72774"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46E14EED"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vMerge/>
            <w:tcBorders>
              <w:left w:val="single" w:sz="4" w:space="0" w:color="auto"/>
              <w:right w:val="single" w:sz="4" w:space="0" w:color="auto"/>
            </w:tcBorders>
            <w:shd w:val="clear" w:color="auto" w:fill="BFBFBF"/>
          </w:tcPr>
          <w:p w14:paraId="4C9DC65E"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3CC297B5" w14:textId="77777777" w:rsidTr="000D7E8F">
        <w:trPr>
          <w:trHeight w:val="70"/>
        </w:trPr>
        <w:tc>
          <w:tcPr>
            <w:tcW w:w="966" w:type="pct"/>
            <w:vMerge/>
            <w:tcBorders>
              <w:left w:val="single" w:sz="4" w:space="0" w:color="auto"/>
            </w:tcBorders>
          </w:tcPr>
          <w:p w14:paraId="5338C56A" w14:textId="77777777" w:rsidR="00667569" w:rsidRPr="00667569" w:rsidRDefault="00667569" w:rsidP="00667569">
            <w:pPr>
              <w:spacing w:before="60" w:after="60"/>
              <w:ind w:left="316"/>
              <w:rPr>
                <w:rFonts w:ascii="Calibri" w:eastAsia="MS Mincho" w:hAnsi="Calibri" w:cs="Calibri"/>
                <w:snapToGrid w:val="0"/>
                <w:szCs w:val="20"/>
                <w:lang w:eastAsia="en-US"/>
              </w:rPr>
            </w:pPr>
          </w:p>
        </w:tc>
        <w:tc>
          <w:tcPr>
            <w:tcW w:w="2667" w:type="pct"/>
          </w:tcPr>
          <w:p w14:paraId="43FA512B" w14:textId="77777777" w:rsidR="00667569" w:rsidRPr="00667569" w:rsidRDefault="00667569" w:rsidP="00C63C9B">
            <w:pPr>
              <w:numPr>
                <w:ilvl w:val="0"/>
                <w:numId w:val="60"/>
              </w:numPr>
              <w:spacing w:before="60" w:after="60" w:line="276" w:lineRule="auto"/>
              <w:contextualSpacing/>
              <w:rPr>
                <w:rFonts w:ascii="Calibri" w:eastAsia="MS Mincho" w:hAnsi="Calibri" w:cs="Calibri"/>
                <w:snapToGrid w:val="0"/>
                <w:lang w:eastAsia="en-US"/>
              </w:rPr>
            </w:pPr>
            <w:r w:rsidRPr="00667569">
              <w:rPr>
                <w:rFonts w:ascii="Calibri" w:eastAsia="MS Mincho" w:hAnsi="Calibri" w:cs="Calibri"/>
                <w:snapToGrid w:val="0"/>
                <w:lang w:eastAsia="en-US"/>
              </w:rPr>
              <w:t>Striped marlin: Priority fleets: Japan, Taiwan,China</w:t>
            </w:r>
          </w:p>
        </w:tc>
        <w:tc>
          <w:tcPr>
            <w:tcW w:w="252" w:type="pct"/>
            <w:vMerge/>
            <w:tcBorders>
              <w:left w:val="nil"/>
              <w:right w:val="single" w:sz="4" w:space="0" w:color="auto"/>
            </w:tcBorders>
            <w:shd w:val="clear" w:color="auto" w:fill="BFBFBF"/>
          </w:tcPr>
          <w:p w14:paraId="7508BA68"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6AE4152D"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4B0D40AE"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56772B40"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vMerge/>
            <w:tcBorders>
              <w:left w:val="single" w:sz="4" w:space="0" w:color="auto"/>
              <w:right w:val="single" w:sz="4" w:space="0" w:color="auto"/>
            </w:tcBorders>
            <w:shd w:val="clear" w:color="auto" w:fill="BFBFBF"/>
          </w:tcPr>
          <w:p w14:paraId="34C32080"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5E7172C2" w14:textId="77777777" w:rsidTr="000D7E8F">
        <w:trPr>
          <w:trHeight w:val="70"/>
        </w:trPr>
        <w:tc>
          <w:tcPr>
            <w:tcW w:w="966" w:type="pct"/>
            <w:vMerge/>
            <w:tcBorders>
              <w:left w:val="single" w:sz="4" w:space="0" w:color="auto"/>
            </w:tcBorders>
          </w:tcPr>
          <w:p w14:paraId="1042BFFE" w14:textId="77777777" w:rsidR="00667569" w:rsidRPr="00667569" w:rsidRDefault="00667569" w:rsidP="00667569">
            <w:pPr>
              <w:spacing w:before="60" w:after="60"/>
              <w:ind w:left="316"/>
              <w:rPr>
                <w:rFonts w:ascii="Calibri" w:eastAsia="MS Mincho" w:hAnsi="Calibri" w:cs="Calibri"/>
                <w:snapToGrid w:val="0"/>
                <w:szCs w:val="20"/>
                <w:lang w:eastAsia="en-US"/>
              </w:rPr>
            </w:pPr>
          </w:p>
        </w:tc>
        <w:tc>
          <w:tcPr>
            <w:tcW w:w="2667" w:type="pct"/>
          </w:tcPr>
          <w:p w14:paraId="6BCC2074" w14:textId="77777777" w:rsidR="00667569" w:rsidRPr="00667569" w:rsidRDefault="00667569" w:rsidP="00C63C9B">
            <w:pPr>
              <w:numPr>
                <w:ilvl w:val="0"/>
                <w:numId w:val="60"/>
              </w:numPr>
              <w:spacing w:before="60" w:after="60" w:line="276" w:lineRule="auto"/>
              <w:contextualSpacing/>
              <w:rPr>
                <w:rFonts w:ascii="Calibri" w:eastAsia="MS Mincho" w:hAnsi="Calibri" w:cs="Calibri"/>
                <w:snapToGrid w:val="0"/>
                <w:lang w:eastAsia="en-US"/>
              </w:rPr>
            </w:pPr>
            <w:r w:rsidRPr="00667569">
              <w:rPr>
                <w:rFonts w:ascii="Calibri" w:eastAsia="MS Mincho" w:hAnsi="Calibri" w:cs="Calibri"/>
                <w:snapToGrid w:val="0"/>
                <w:lang w:eastAsia="en-US"/>
              </w:rPr>
              <w:t xml:space="preserve">Black marlin: Priority fleets: Longline: Taiwan,China; Potential fleets (Gillnet: I.R. Iran, Sri Lanka, Indonesia) </w:t>
            </w:r>
          </w:p>
        </w:tc>
        <w:tc>
          <w:tcPr>
            <w:tcW w:w="252" w:type="pct"/>
            <w:vMerge/>
            <w:tcBorders>
              <w:left w:val="nil"/>
              <w:right w:val="single" w:sz="4" w:space="0" w:color="auto"/>
            </w:tcBorders>
            <w:shd w:val="clear" w:color="auto" w:fill="BFBFBF"/>
          </w:tcPr>
          <w:p w14:paraId="1105F04A"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2BDFFAF6"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4AAB6C0F"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2D5D5A3C"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vMerge/>
            <w:tcBorders>
              <w:left w:val="single" w:sz="4" w:space="0" w:color="auto"/>
              <w:right w:val="single" w:sz="4" w:space="0" w:color="auto"/>
            </w:tcBorders>
            <w:shd w:val="clear" w:color="auto" w:fill="BFBFBF"/>
          </w:tcPr>
          <w:p w14:paraId="715B8104"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6E638D68" w14:textId="77777777" w:rsidTr="000D7E8F">
        <w:trPr>
          <w:trHeight w:val="70"/>
        </w:trPr>
        <w:tc>
          <w:tcPr>
            <w:tcW w:w="966" w:type="pct"/>
            <w:vMerge/>
            <w:tcBorders>
              <w:left w:val="single" w:sz="4" w:space="0" w:color="auto"/>
            </w:tcBorders>
          </w:tcPr>
          <w:p w14:paraId="414C6381" w14:textId="77777777" w:rsidR="00667569" w:rsidRPr="00667569" w:rsidRDefault="00667569" w:rsidP="00667569">
            <w:pPr>
              <w:spacing w:before="60" w:after="60"/>
              <w:ind w:left="316"/>
              <w:rPr>
                <w:rFonts w:ascii="Calibri" w:eastAsia="MS Mincho" w:hAnsi="Calibri" w:cs="Calibri"/>
                <w:snapToGrid w:val="0"/>
                <w:szCs w:val="20"/>
                <w:lang w:eastAsia="en-US"/>
              </w:rPr>
            </w:pPr>
          </w:p>
        </w:tc>
        <w:tc>
          <w:tcPr>
            <w:tcW w:w="2667" w:type="pct"/>
          </w:tcPr>
          <w:p w14:paraId="2A921C57" w14:textId="77777777" w:rsidR="00667569" w:rsidRPr="00667569" w:rsidRDefault="00667569" w:rsidP="00C63C9B">
            <w:pPr>
              <w:numPr>
                <w:ilvl w:val="0"/>
                <w:numId w:val="60"/>
              </w:numPr>
              <w:spacing w:before="60" w:after="60" w:line="276" w:lineRule="auto"/>
              <w:contextualSpacing/>
              <w:rPr>
                <w:rFonts w:ascii="Calibri" w:eastAsia="MS Mincho" w:hAnsi="Calibri" w:cs="Calibri"/>
                <w:snapToGrid w:val="0"/>
                <w:lang w:eastAsia="en-US"/>
              </w:rPr>
            </w:pPr>
            <w:r w:rsidRPr="00667569">
              <w:rPr>
                <w:rFonts w:ascii="Calibri" w:eastAsia="MS Mincho" w:hAnsi="Calibri" w:cs="Calibri"/>
                <w:snapToGrid w:val="0"/>
                <w:lang w:eastAsia="en-US"/>
              </w:rPr>
              <w:t>Blue marlin: Priority fleets: Japan, Taiwan,China, Indonesia</w:t>
            </w:r>
          </w:p>
        </w:tc>
        <w:tc>
          <w:tcPr>
            <w:tcW w:w="252" w:type="pct"/>
            <w:vMerge/>
            <w:tcBorders>
              <w:left w:val="nil"/>
              <w:right w:val="single" w:sz="4" w:space="0" w:color="auto"/>
            </w:tcBorders>
            <w:shd w:val="clear" w:color="auto" w:fill="BFBFBF"/>
          </w:tcPr>
          <w:p w14:paraId="4255EC3A"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755456DE"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3F956EC5"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62C7599A"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vMerge/>
            <w:tcBorders>
              <w:left w:val="single" w:sz="4" w:space="0" w:color="auto"/>
              <w:right w:val="single" w:sz="4" w:space="0" w:color="auto"/>
            </w:tcBorders>
            <w:shd w:val="clear" w:color="auto" w:fill="BFBFBF"/>
          </w:tcPr>
          <w:p w14:paraId="14C54137"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74B7D009" w14:textId="77777777" w:rsidTr="000D7E8F">
        <w:trPr>
          <w:trHeight w:val="211"/>
        </w:trPr>
        <w:tc>
          <w:tcPr>
            <w:tcW w:w="966" w:type="pct"/>
            <w:vMerge/>
            <w:tcBorders>
              <w:left w:val="single" w:sz="4" w:space="0" w:color="auto"/>
            </w:tcBorders>
          </w:tcPr>
          <w:p w14:paraId="7C34B1FC" w14:textId="77777777" w:rsidR="00667569" w:rsidRPr="00667569" w:rsidRDefault="00667569" w:rsidP="00667569">
            <w:pPr>
              <w:spacing w:before="60" w:after="60"/>
              <w:ind w:left="316"/>
              <w:rPr>
                <w:rFonts w:ascii="Calibri" w:eastAsia="MS Mincho" w:hAnsi="Calibri" w:cs="Calibri"/>
                <w:snapToGrid w:val="0"/>
                <w:szCs w:val="20"/>
                <w:lang w:eastAsia="en-US"/>
              </w:rPr>
            </w:pPr>
          </w:p>
        </w:tc>
        <w:tc>
          <w:tcPr>
            <w:tcW w:w="2667" w:type="pct"/>
            <w:tcBorders>
              <w:bottom w:val="single" w:sz="4" w:space="0" w:color="auto"/>
            </w:tcBorders>
          </w:tcPr>
          <w:p w14:paraId="0C9CFD45" w14:textId="77777777" w:rsidR="00667569" w:rsidRPr="00667569" w:rsidRDefault="00667569" w:rsidP="00C63C9B">
            <w:pPr>
              <w:numPr>
                <w:ilvl w:val="0"/>
                <w:numId w:val="60"/>
              </w:numPr>
              <w:spacing w:before="60" w:after="60" w:line="276" w:lineRule="auto"/>
              <w:contextualSpacing/>
              <w:rPr>
                <w:rFonts w:ascii="Calibri" w:eastAsia="MS Mincho" w:hAnsi="Calibri" w:cs="Calibri"/>
                <w:snapToGrid w:val="0"/>
                <w:lang w:eastAsia="en-US"/>
              </w:rPr>
            </w:pPr>
            <w:r w:rsidRPr="00667569">
              <w:rPr>
                <w:rFonts w:ascii="Calibri" w:eastAsia="MS Mincho" w:hAnsi="Calibri" w:cs="Calibri"/>
                <w:snapToGrid w:val="0"/>
                <w:lang w:eastAsia="en-US"/>
              </w:rPr>
              <w:t>I.P. Sailfish: Potential longline fleets: EU(Spain, Portugal, France), Japan, Indonesia;  gillnet fleets: I.R. Iran and Sri Lanka;</w:t>
            </w:r>
          </w:p>
        </w:tc>
        <w:tc>
          <w:tcPr>
            <w:tcW w:w="252" w:type="pct"/>
            <w:vMerge/>
            <w:tcBorders>
              <w:left w:val="nil"/>
              <w:right w:val="single" w:sz="4" w:space="0" w:color="auto"/>
            </w:tcBorders>
            <w:shd w:val="clear" w:color="auto" w:fill="BFBFBF"/>
          </w:tcPr>
          <w:p w14:paraId="7DAD091E"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7243C7EB"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2D5984AC"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5E438F87"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vMerge/>
            <w:tcBorders>
              <w:left w:val="single" w:sz="4" w:space="0" w:color="auto"/>
              <w:right w:val="single" w:sz="4" w:space="0" w:color="auto"/>
            </w:tcBorders>
            <w:shd w:val="clear" w:color="auto" w:fill="BFBFBF"/>
          </w:tcPr>
          <w:p w14:paraId="60E60E19"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4597A97D" w14:textId="77777777" w:rsidTr="000D7E8F">
        <w:trPr>
          <w:trHeight w:val="338"/>
        </w:trPr>
        <w:tc>
          <w:tcPr>
            <w:tcW w:w="966" w:type="pct"/>
            <w:vMerge w:val="restart"/>
            <w:tcBorders>
              <w:top w:val="single" w:sz="4" w:space="0" w:color="auto"/>
              <w:left w:val="single" w:sz="4" w:space="0" w:color="auto"/>
            </w:tcBorders>
          </w:tcPr>
          <w:p w14:paraId="4AB4EC3E" w14:textId="77777777" w:rsidR="00667569" w:rsidRPr="00667569" w:rsidRDefault="00667569" w:rsidP="00C63C9B">
            <w:pPr>
              <w:numPr>
                <w:ilvl w:val="0"/>
                <w:numId w:val="27"/>
              </w:numPr>
              <w:spacing w:before="60" w:after="6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 xml:space="preserve">Population biology </w:t>
            </w:r>
          </w:p>
        </w:tc>
        <w:tc>
          <w:tcPr>
            <w:tcW w:w="2667" w:type="pct"/>
            <w:tcBorders>
              <w:top w:val="single" w:sz="4" w:space="0" w:color="auto"/>
            </w:tcBorders>
          </w:tcPr>
          <w:p w14:paraId="19D7F3D9" w14:textId="77777777" w:rsidR="00667569" w:rsidRPr="00667569" w:rsidRDefault="00667569" w:rsidP="00667569">
            <w:pPr>
              <w:spacing w:before="60" w:after="6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1.1 Age and growth research</w:t>
            </w:r>
          </w:p>
        </w:tc>
        <w:tc>
          <w:tcPr>
            <w:tcW w:w="252" w:type="pct"/>
            <w:vMerge w:val="restart"/>
            <w:tcBorders>
              <w:top w:val="single" w:sz="4" w:space="0" w:color="auto"/>
              <w:left w:val="single" w:sz="4" w:space="0" w:color="auto"/>
              <w:right w:val="single" w:sz="4" w:space="0" w:color="auto"/>
            </w:tcBorders>
            <w:shd w:val="clear" w:color="auto" w:fill="BFBFBF"/>
          </w:tcPr>
          <w:p w14:paraId="0CB27FD6"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val="restart"/>
            <w:tcBorders>
              <w:top w:val="single" w:sz="4" w:space="0" w:color="auto"/>
              <w:left w:val="single" w:sz="4" w:space="0" w:color="auto"/>
              <w:right w:val="single" w:sz="4" w:space="0" w:color="auto"/>
            </w:tcBorders>
            <w:shd w:val="clear" w:color="auto" w:fill="BFBFBF"/>
          </w:tcPr>
          <w:p w14:paraId="36DEEA77"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val="restart"/>
            <w:tcBorders>
              <w:top w:val="single" w:sz="4" w:space="0" w:color="auto"/>
              <w:left w:val="single" w:sz="4" w:space="0" w:color="auto"/>
              <w:right w:val="single" w:sz="4" w:space="0" w:color="auto"/>
            </w:tcBorders>
            <w:shd w:val="clear" w:color="auto" w:fill="BFBFBF"/>
          </w:tcPr>
          <w:p w14:paraId="20D5BA23"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val="restart"/>
            <w:tcBorders>
              <w:top w:val="single" w:sz="4" w:space="0" w:color="auto"/>
              <w:left w:val="single" w:sz="4" w:space="0" w:color="auto"/>
              <w:right w:val="single" w:sz="4" w:space="0" w:color="auto"/>
            </w:tcBorders>
            <w:shd w:val="clear" w:color="auto" w:fill="BFBFBF"/>
          </w:tcPr>
          <w:p w14:paraId="4252A190"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vMerge w:val="restart"/>
            <w:tcBorders>
              <w:top w:val="single" w:sz="4" w:space="0" w:color="auto"/>
              <w:left w:val="single" w:sz="4" w:space="0" w:color="auto"/>
              <w:right w:val="single" w:sz="4" w:space="0" w:color="auto"/>
            </w:tcBorders>
            <w:shd w:val="clear" w:color="auto" w:fill="BFBFBF"/>
          </w:tcPr>
          <w:p w14:paraId="770CEAC6"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40569DAC" w14:textId="77777777" w:rsidTr="000D7E8F">
        <w:trPr>
          <w:trHeight w:val="338"/>
        </w:trPr>
        <w:tc>
          <w:tcPr>
            <w:tcW w:w="966" w:type="pct"/>
            <w:vMerge/>
            <w:tcBorders>
              <w:left w:val="single" w:sz="4" w:space="0" w:color="auto"/>
            </w:tcBorders>
          </w:tcPr>
          <w:p w14:paraId="664DE81D" w14:textId="77777777" w:rsidR="00667569" w:rsidRPr="00667569" w:rsidRDefault="00667569" w:rsidP="00C63C9B">
            <w:pPr>
              <w:numPr>
                <w:ilvl w:val="0"/>
                <w:numId w:val="27"/>
              </w:numPr>
              <w:spacing w:before="60" w:after="60"/>
              <w:rPr>
                <w:rFonts w:ascii="Calibri" w:eastAsia="MS Mincho" w:hAnsi="Calibri" w:cs="Calibri"/>
                <w:snapToGrid w:val="0"/>
                <w:szCs w:val="20"/>
                <w:lang w:eastAsia="en-US"/>
              </w:rPr>
            </w:pPr>
          </w:p>
        </w:tc>
        <w:tc>
          <w:tcPr>
            <w:tcW w:w="2667" w:type="pct"/>
          </w:tcPr>
          <w:p w14:paraId="55CE9A38" w14:textId="77777777" w:rsidR="00667569" w:rsidRPr="00667569" w:rsidRDefault="00667569" w:rsidP="00667569">
            <w:pPr>
              <w:spacing w:before="60" w:after="60"/>
              <w:ind w:left="353"/>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1.1.1 CPCs to provide further research on billfish biology, namely age and growth studies including  the use of fish otolith or other hard parts, as well as through genetic methods, either from data collected through observer programs, port sampling or other research programs. (Priority: all billfishes: swordfish, marlins and sailfish)</w:t>
            </w:r>
          </w:p>
        </w:tc>
        <w:tc>
          <w:tcPr>
            <w:tcW w:w="252" w:type="pct"/>
            <w:vMerge/>
            <w:tcBorders>
              <w:left w:val="single" w:sz="4" w:space="0" w:color="auto"/>
              <w:bottom w:val="single" w:sz="4" w:space="0" w:color="auto"/>
              <w:right w:val="single" w:sz="4" w:space="0" w:color="auto"/>
            </w:tcBorders>
            <w:shd w:val="clear" w:color="auto" w:fill="BFBFBF"/>
          </w:tcPr>
          <w:p w14:paraId="71FF2F95"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bottom w:val="single" w:sz="4" w:space="0" w:color="auto"/>
              <w:right w:val="single" w:sz="4" w:space="0" w:color="auto"/>
            </w:tcBorders>
            <w:shd w:val="clear" w:color="auto" w:fill="BFBFBF"/>
          </w:tcPr>
          <w:p w14:paraId="65D14DC7"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bottom w:val="single" w:sz="4" w:space="0" w:color="auto"/>
              <w:right w:val="single" w:sz="4" w:space="0" w:color="auto"/>
            </w:tcBorders>
            <w:shd w:val="clear" w:color="auto" w:fill="BFBFBF"/>
          </w:tcPr>
          <w:p w14:paraId="29A1C5CD"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bottom w:val="single" w:sz="4" w:space="0" w:color="auto"/>
              <w:right w:val="single" w:sz="4" w:space="0" w:color="auto"/>
            </w:tcBorders>
            <w:shd w:val="clear" w:color="auto" w:fill="BFBFBF"/>
          </w:tcPr>
          <w:p w14:paraId="3E2E22A3"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vMerge/>
            <w:tcBorders>
              <w:left w:val="single" w:sz="4" w:space="0" w:color="auto"/>
              <w:bottom w:val="single" w:sz="4" w:space="0" w:color="auto"/>
              <w:right w:val="single" w:sz="4" w:space="0" w:color="auto"/>
            </w:tcBorders>
            <w:shd w:val="clear" w:color="auto" w:fill="BFBFBF"/>
          </w:tcPr>
          <w:p w14:paraId="0AF3A6E7"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5E0CFF7C" w14:textId="77777777" w:rsidTr="000D7E8F">
        <w:trPr>
          <w:trHeight w:val="338"/>
        </w:trPr>
        <w:tc>
          <w:tcPr>
            <w:tcW w:w="966" w:type="pct"/>
            <w:tcBorders>
              <w:left w:val="single" w:sz="4" w:space="0" w:color="auto"/>
            </w:tcBorders>
          </w:tcPr>
          <w:p w14:paraId="55EB9A56" w14:textId="77777777" w:rsidR="00667569" w:rsidRPr="00667569" w:rsidRDefault="00667569" w:rsidP="00667569">
            <w:pPr>
              <w:spacing w:before="60" w:after="60"/>
              <w:ind w:left="720"/>
              <w:rPr>
                <w:rFonts w:ascii="Calibri" w:eastAsia="MS Mincho" w:hAnsi="Calibri" w:cs="Calibri"/>
                <w:snapToGrid w:val="0"/>
                <w:szCs w:val="20"/>
                <w:lang w:eastAsia="en-US"/>
              </w:rPr>
            </w:pPr>
          </w:p>
        </w:tc>
        <w:tc>
          <w:tcPr>
            <w:tcW w:w="2667" w:type="pct"/>
          </w:tcPr>
          <w:p w14:paraId="4A8CC0B0" w14:textId="77777777" w:rsidR="00667569" w:rsidRPr="00667569" w:rsidRDefault="00667569" w:rsidP="00667569">
            <w:pPr>
              <w:spacing w:before="60" w:after="60"/>
              <w:ind w:left="353" w:hanging="284"/>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1.2 Spawning time and locations</w:t>
            </w:r>
          </w:p>
        </w:tc>
        <w:tc>
          <w:tcPr>
            <w:tcW w:w="252" w:type="pct"/>
            <w:vMerge w:val="restart"/>
            <w:tcBorders>
              <w:top w:val="single" w:sz="4" w:space="0" w:color="auto"/>
              <w:left w:val="single" w:sz="4" w:space="0" w:color="auto"/>
              <w:right w:val="single" w:sz="4" w:space="0" w:color="auto"/>
            </w:tcBorders>
            <w:shd w:val="clear" w:color="auto" w:fill="BFBFBF"/>
          </w:tcPr>
          <w:p w14:paraId="14C90BEA"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val="restart"/>
            <w:tcBorders>
              <w:top w:val="single" w:sz="4" w:space="0" w:color="auto"/>
              <w:left w:val="single" w:sz="4" w:space="0" w:color="auto"/>
              <w:right w:val="single" w:sz="4" w:space="0" w:color="auto"/>
            </w:tcBorders>
            <w:shd w:val="clear" w:color="auto" w:fill="BFBFBF"/>
          </w:tcPr>
          <w:p w14:paraId="7FDAB9AA"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val="restart"/>
            <w:tcBorders>
              <w:top w:val="single" w:sz="4" w:space="0" w:color="auto"/>
              <w:left w:val="single" w:sz="4" w:space="0" w:color="auto"/>
              <w:right w:val="single" w:sz="4" w:space="0" w:color="auto"/>
            </w:tcBorders>
            <w:shd w:val="clear" w:color="auto" w:fill="BFBFBF"/>
          </w:tcPr>
          <w:p w14:paraId="0511AEAA"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val="restart"/>
            <w:tcBorders>
              <w:top w:val="single" w:sz="4" w:space="0" w:color="auto"/>
              <w:left w:val="single" w:sz="4" w:space="0" w:color="auto"/>
              <w:right w:val="single" w:sz="4" w:space="0" w:color="auto"/>
            </w:tcBorders>
            <w:shd w:val="clear" w:color="auto" w:fill="BFBFBF"/>
          </w:tcPr>
          <w:p w14:paraId="126665A2"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vMerge w:val="restart"/>
            <w:tcBorders>
              <w:top w:val="single" w:sz="4" w:space="0" w:color="auto"/>
              <w:left w:val="single" w:sz="4" w:space="0" w:color="auto"/>
              <w:right w:val="single" w:sz="4" w:space="0" w:color="auto"/>
            </w:tcBorders>
            <w:shd w:val="clear" w:color="auto" w:fill="BFBFBF"/>
          </w:tcPr>
          <w:p w14:paraId="7D55C254"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7A843F3F" w14:textId="77777777" w:rsidTr="000D7E8F">
        <w:trPr>
          <w:trHeight w:val="1104"/>
        </w:trPr>
        <w:tc>
          <w:tcPr>
            <w:tcW w:w="966" w:type="pct"/>
            <w:vMerge w:val="restart"/>
            <w:tcBorders>
              <w:left w:val="single" w:sz="4" w:space="0" w:color="auto"/>
            </w:tcBorders>
          </w:tcPr>
          <w:p w14:paraId="33B21256" w14:textId="77777777" w:rsidR="00667569" w:rsidRPr="00667569" w:rsidRDefault="00667569" w:rsidP="00667569">
            <w:pPr>
              <w:spacing w:before="60" w:after="60"/>
              <w:ind w:left="720"/>
              <w:rPr>
                <w:rFonts w:ascii="Calibri" w:eastAsia="MS Mincho" w:hAnsi="Calibri" w:cs="Calibri"/>
                <w:snapToGrid w:val="0"/>
                <w:szCs w:val="20"/>
                <w:lang w:eastAsia="en-US"/>
              </w:rPr>
            </w:pPr>
          </w:p>
        </w:tc>
        <w:tc>
          <w:tcPr>
            <w:tcW w:w="2667" w:type="pct"/>
          </w:tcPr>
          <w:p w14:paraId="5176425C" w14:textId="77777777" w:rsidR="00667569" w:rsidRPr="00667569" w:rsidRDefault="00667569" w:rsidP="00667569">
            <w:pPr>
              <w:spacing w:before="60" w:after="60"/>
              <w:ind w:left="353"/>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 xml:space="preserve">1.2.1 Collect gonad samples from billfish or utilise any other scientific means to confirm the spawning time and location of the spawning areas that are presently hypothesized for each billfish species. This will also provide advice to the Commission on the request for alternative management measures (Res. 18-05, paragraph 6). Partially supported by EU, on-going support and collaboration from CPCs are required. </w:t>
            </w:r>
          </w:p>
          <w:p w14:paraId="40DCAA73" w14:textId="77777777" w:rsidR="00667569" w:rsidRPr="00667569" w:rsidRDefault="00667569" w:rsidP="00667569">
            <w:pPr>
              <w:spacing w:before="60" w:after="60"/>
              <w:ind w:left="353" w:hanging="284"/>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1.3 Literature review of biological parameters for billfish</w:t>
            </w:r>
          </w:p>
        </w:tc>
        <w:tc>
          <w:tcPr>
            <w:tcW w:w="252" w:type="pct"/>
            <w:vMerge/>
            <w:tcBorders>
              <w:left w:val="nil"/>
              <w:right w:val="single" w:sz="4" w:space="0" w:color="auto"/>
            </w:tcBorders>
            <w:shd w:val="clear" w:color="auto" w:fill="BFBFBF"/>
          </w:tcPr>
          <w:p w14:paraId="6C83CE3F"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178C4A3D"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7C08C9AB"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right w:val="single" w:sz="4" w:space="0" w:color="auto"/>
            </w:tcBorders>
            <w:shd w:val="clear" w:color="auto" w:fill="BFBFBF"/>
          </w:tcPr>
          <w:p w14:paraId="782D9835"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vMerge/>
            <w:tcBorders>
              <w:left w:val="single" w:sz="4" w:space="0" w:color="auto"/>
              <w:right w:val="single" w:sz="4" w:space="0" w:color="auto"/>
            </w:tcBorders>
            <w:shd w:val="clear" w:color="auto" w:fill="BFBFBF"/>
          </w:tcPr>
          <w:p w14:paraId="08352976"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3BFE7110" w14:textId="77777777" w:rsidTr="000D7E8F">
        <w:trPr>
          <w:trHeight w:val="1103"/>
        </w:trPr>
        <w:tc>
          <w:tcPr>
            <w:tcW w:w="966" w:type="pct"/>
            <w:vMerge/>
            <w:tcBorders>
              <w:left w:val="single" w:sz="4" w:space="0" w:color="auto"/>
              <w:bottom w:val="single" w:sz="4" w:space="0" w:color="auto"/>
            </w:tcBorders>
          </w:tcPr>
          <w:p w14:paraId="3E7B5A9C" w14:textId="77777777" w:rsidR="00667569" w:rsidRPr="00667569" w:rsidRDefault="00667569" w:rsidP="00667569">
            <w:pPr>
              <w:spacing w:before="60" w:after="60"/>
              <w:ind w:left="720"/>
              <w:rPr>
                <w:rFonts w:ascii="Calibri" w:eastAsia="MS Mincho" w:hAnsi="Calibri" w:cs="Calibri"/>
                <w:snapToGrid w:val="0"/>
                <w:szCs w:val="20"/>
                <w:lang w:eastAsia="en-US"/>
              </w:rPr>
            </w:pPr>
          </w:p>
        </w:tc>
        <w:tc>
          <w:tcPr>
            <w:tcW w:w="2667" w:type="pct"/>
            <w:tcBorders>
              <w:bottom w:val="single" w:sz="4" w:space="0" w:color="auto"/>
            </w:tcBorders>
          </w:tcPr>
          <w:p w14:paraId="1D4FDCEE" w14:textId="77777777" w:rsidR="00667569" w:rsidRPr="00667569" w:rsidRDefault="00667569" w:rsidP="00667569">
            <w:pPr>
              <w:spacing w:before="60" w:after="60"/>
              <w:ind w:left="353"/>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1.3.1. Conduct a literature review of biological parameters  for billfish through a consultancy and update the supplementary information that companies with species Executive Summaries.</w:t>
            </w:r>
            <w:r w:rsidRPr="00667569">
              <w:rPr>
                <w:rFonts w:eastAsia="MS Mincho" w:cs="Calibri"/>
                <w:snapToGrid w:val="0"/>
                <w:szCs w:val="20"/>
                <w:lang w:eastAsia="en-US"/>
              </w:rPr>
              <w:t xml:space="preserve"> </w:t>
            </w:r>
            <w:r w:rsidRPr="00667569">
              <w:rPr>
                <w:rFonts w:ascii="Calibri" w:eastAsia="MS Mincho" w:hAnsi="Calibri" w:cs="Calibri"/>
                <w:snapToGrid w:val="0"/>
                <w:szCs w:val="20"/>
                <w:lang w:eastAsia="en-US"/>
              </w:rPr>
              <w:t xml:space="preserve">   </w:t>
            </w:r>
          </w:p>
        </w:tc>
        <w:tc>
          <w:tcPr>
            <w:tcW w:w="252" w:type="pct"/>
            <w:vMerge/>
            <w:tcBorders>
              <w:left w:val="nil"/>
              <w:bottom w:val="single" w:sz="4" w:space="0" w:color="auto"/>
              <w:right w:val="single" w:sz="4" w:space="0" w:color="auto"/>
            </w:tcBorders>
            <w:shd w:val="clear" w:color="auto" w:fill="BFBFBF"/>
          </w:tcPr>
          <w:p w14:paraId="1BDB4A2A"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bottom w:val="single" w:sz="4" w:space="0" w:color="auto"/>
              <w:right w:val="single" w:sz="4" w:space="0" w:color="auto"/>
            </w:tcBorders>
            <w:shd w:val="clear" w:color="auto" w:fill="BFBFBF"/>
          </w:tcPr>
          <w:p w14:paraId="46B8ED79"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bottom w:val="single" w:sz="4" w:space="0" w:color="auto"/>
              <w:right w:val="single" w:sz="4" w:space="0" w:color="auto"/>
            </w:tcBorders>
            <w:shd w:val="clear" w:color="auto" w:fill="BFBFBF"/>
          </w:tcPr>
          <w:p w14:paraId="3F7B07FC"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vMerge/>
            <w:tcBorders>
              <w:left w:val="single" w:sz="4" w:space="0" w:color="auto"/>
              <w:bottom w:val="single" w:sz="4" w:space="0" w:color="auto"/>
              <w:right w:val="single" w:sz="4" w:space="0" w:color="auto"/>
            </w:tcBorders>
            <w:shd w:val="clear" w:color="auto" w:fill="BFBFBF"/>
          </w:tcPr>
          <w:p w14:paraId="6DEE1DE5"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vMerge/>
            <w:tcBorders>
              <w:left w:val="single" w:sz="4" w:space="0" w:color="auto"/>
              <w:bottom w:val="single" w:sz="4" w:space="0" w:color="auto"/>
              <w:right w:val="single" w:sz="4" w:space="0" w:color="auto"/>
            </w:tcBorders>
            <w:shd w:val="clear" w:color="auto" w:fill="BFBFBF"/>
          </w:tcPr>
          <w:p w14:paraId="62FDC1BE"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37E20095" w14:textId="77777777" w:rsidTr="000D7E8F">
        <w:trPr>
          <w:trHeight w:val="338"/>
        </w:trPr>
        <w:tc>
          <w:tcPr>
            <w:tcW w:w="966" w:type="pct"/>
            <w:tcBorders>
              <w:left w:val="single" w:sz="4" w:space="0" w:color="auto"/>
              <w:bottom w:val="single" w:sz="4" w:space="0" w:color="auto"/>
            </w:tcBorders>
          </w:tcPr>
          <w:p w14:paraId="2B4440E4" w14:textId="77777777" w:rsidR="00667569" w:rsidRPr="00667569" w:rsidRDefault="00667569" w:rsidP="00667569">
            <w:pPr>
              <w:spacing w:before="60" w:after="60"/>
              <w:ind w:left="72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2 Population dynamics</w:t>
            </w:r>
          </w:p>
        </w:tc>
        <w:tc>
          <w:tcPr>
            <w:tcW w:w="2667" w:type="pct"/>
            <w:tcBorders>
              <w:top w:val="single" w:sz="4" w:space="0" w:color="auto"/>
              <w:bottom w:val="single" w:sz="4" w:space="0" w:color="auto"/>
            </w:tcBorders>
          </w:tcPr>
          <w:p w14:paraId="747A28A4" w14:textId="77777777" w:rsidR="00667569" w:rsidRPr="00667569" w:rsidRDefault="00667569" w:rsidP="00667569">
            <w:pPr>
              <w:spacing w:before="60" w:after="60"/>
              <w:ind w:left="353" w:hanging="284"/>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2.1 Stock structure (connectivity and diversity)</w:t>
            </w:r>
          </w:p>
          <w:p w14:paraId="0D76162A" w14:textId="77777777" w:rsidR="00667569" w:rsidRPr="00667569" w:rsidRDefault="00667569" w:rsidP="00667569">
            <w:pPr>
              <w:spacing w:before="60" w:after="60"/>
              <w:ind w:left="353"/>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2.1.1 Continue work on determining stock structure of Billfish species, using complimentary data sources, including genetic and microchemistry information as well as other relevant sources/studies.</w:t>
            </w:r>
          </w:p>
          <w:p w14:paraId="063D0308" w14:textId="77777777" w:rsidR="00667569" w:rsidRPr="00667569" w:rsidRDefault="00667569" w:rsidP="00667569">
            <w:pPr>
              <w:spacing w:before="60" w:after="60"/>
              <w:ind w:left="353"/>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2.1.2 Tagging research (PSAT tags) to determine connectivity, movement rates and mortality estimates of billfish (Priority species: swordfish). Similar projects have been partially funded by EU, with a focus on epipelagic species. More tags are needed for swordfish.</w:t>
            </w:r>
          </w:p>
          <w:p w14:paraId="6DA9FF1A" w14:textId="77777777" w:rsidR="00667569" w:rsidRPr="00667569" w:rsidRDefault="00667569" w:rsidP="00667569">
            <w:pPr>
              <w:spacing w:before="60" w:after="6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 xml:space="preserve">2.2 CKMR </w:t>
            </w:r>
          </w:p>
          <w:p w14:paraId="2DAC874D" w14:textId="77777777" w:rsidR="00667569" w:rsidRPr="00667569" w:rsidRDefault="00667569" w:rsidP="00667569">
            <w:pPr>
              <w:spacing w:before="60" w:after="60"/>
              <w:ind w:left="353"/>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2.2.1 Pilot design study to estimate abundance and papulation parameters including larval surveys</w:t>
            </w:r>
          </w:p>
        </w:tc>
        <w:tc>
          <w:tcPr>
            <w:tcW w:w="252" w:type="pct"/>
            <w:tcBorders>
              <w:left w:val="single" w:sz="4" w:space="0" w:color="auto"/>
              <w:bottom w:val="single" w:sz="4" w:space="0" w:color="auto"/>
              <w:right w:val="single" w:sz="4" w:space="0" w:color="auto"/>
            </w:tcBorders>
            <w:shd w:val="clear" w:color="auto" w:fill="BFBFBF"/>
          </w:tcPr>
          <w:p w14:paraId="4ECF5C61"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left w:val="single" w:sz="4" w:space="0" w:color="auto"/>
              <w:bottom w:val="single" w:sz="4" w:space="0" w:color="auto"/>
              <w:right w:val="single" w:sz="4" w:space="0" w:color="auto"/>
            </w:tcBorders>
            <w:shd w:val="clear" w:color="auto" w:fill="BFBFBF"/>
          </w:tcPr>
          <w:p w14:paraId="0417D30D"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left w:val="single" w:sz="4" w:space="0" w:color="auto"/>
              <w:bottom w:val="single" w:sz="4" w:space="0" w:color="auto"/>
              <w:right w:val="single" w:sz="4" w:space="0" w:color="auto"/>
            </w:tcBorders>
            <w:shd w:val="clear" w:color="auto" w:fill="BFBFBF"/>
          </w:tcPr>
          <w:p w14:paraId="21085D16"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left w:val="single" w:sz="4" w:space="0" w:color="auto"/>
              <w:bottom w:val="single" w:sz="4" w:space="0" w:color="auto"/>
              <w:right w:val="single" w:sz="4" w:space="0" w:color="auto"/>
            </w:tcBorders>
            <w:shd w:val="clear" w:color="auto" w:fill="BFBFBF"/>
          </w:tcPr>
          <w:p w14:paraId="58E7D3C8"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tcBorders>
              <w:left w:val="single" w:sz="4" w:space="0" w:color="auto"/>
              <w:bottom w:val="single" w:sz="4" w:space="0" w:color="auto"/>
              <w:right w:val="single" w:sz="4" w:space="0" w:color="auto"/>
            </w:tcBorders>
            <w:shd w:val="clear" w:color="auto" w:fill="BFBFBF"/>
          </w:tcPr>
          <w:p w14:paraId="50B481BD"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53B36A9B" w14:textId="77777777" w:rsidTr="000D7E8F">
        <w:trPr>
          <w:trHeight w:val="338"/>
        </w:trPr>
        <w:tc>
          <w:tcPr>
            <w:tcW w:w="966" w:type="pct"/>
            <w:tcBorders>
              <w:top w:val="single" w:sz="4" w:space="0" w:color="auto"/>
              <w:left w:val="single" w:sz="4" w:space="0" w:color="auto"/>
              <w:bottom w:val="single" w:sz="4" w:space="0" w:color="auto"/>
            </w:tcBorders>
          </w:tcPr>
          <w:p w14:paraId="743D348F" w14:textId="77777777" w:rsidR="00667569" w:rsidRPr="00667569" w:rsidRDefault="00667569" w:rsidP="00667569">
            <w:pPr>
              <w:spacing w:before="60" w:after="60"/>
              <w:ind w:left="72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3 Billfish bycatch mitigation and management</w:t>
            </w:r>
          </w:p>
        </w:tc>
        <w:tc>
          <w:tcPr>
            <w:tcW w:w="2667" w:type="pct"/>
            <w:tcBorders>
              <w:top w:val="single" w:sz="4" w:space="0" w:color="auto"/>
              <w:bottom w:val="single" w:sz="4" w:space="0" w:color="auto"/>
            </w:tcBorders>
          </w:tcPr>
          <w:p w14:paraId="6B164962" w14:textId="77777777" w:rsidR="00667569" w:rsidRPr="00667569" w:rsidRDefault="00667569" w:rsidP="00667569">
            <w:pPr>
              <w:spacing w:before="60" w:after="60"/>
              <w:ind w:left="353"/>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 xml:space="preserve">WPB and CPCs scientists to firstly, review and summarise existing information on billfish bycatch mitigation, including also factors influencing at-haul and post-release mortality of billfish, and secondly to undertake further research to inform gaps in understanding on potential effective mitigation approaches, to provide options for the Commission to reduce fishing mortality for species where that is required (e.g. Black Marlin, Striped Marlin and Sailfish) focusing on gillnet and longline fisheries but also including recreational and sport fishing activities .  </w:t>
            </w:r>
          </w:p>
          <w:p w14:paraId="510A231F" w14:textId="77777777" w:rsidR="00667569" w:rsidRPr="00667569" w:rsidRDefault="00667569" w:rsidP="00667569">
            <w:pPr>
              <w:spacing w:before="60" w:after="60"/>
              <w:ind w:left="353"/>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For example, implementing tagging data to better understand the issues of post release mortality of marlins</w:t>
            </w:r>
          </w:p>
          <w:p w14:paraId="0CF2331B" w14:textId="77777777" w:rsidR="00667569" w:rsidRPr="00667569" w:rsidRDefault="00667569" w:rsidP="00667569">
            <w:pPr>
              <w:spacing w:before="60" w:after="60"/>
              <w:ind w:left="353"/>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lastRenderedPageBreak/>
              <w:t>How to provide scientific advice to management on billfish caught as bycatch</w:t>
            </w: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429F5A4A"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7657ADA9"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1CAE1200"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5CF5492A" w14:textId="77777777" w:rsidR="00667569" w:rsidRPr="00667569" w:rsidRDefault="00667569" w:rsidP="00667569">
            <w:pPr>
              <w:spacing w:before="60" w:after="60"/>
              <w:jc w:val="center"/>
              <w:rPr>
                <w:rFonts w:ascii="Calibri" w:eastAsia="MS Mincho" w:hAnsi="Calibri" w:cs="Calibri"/>
                <w:sz w:val="16"/>
                <w:szCs w:val="16"/>
                <w:lang w:eastAsia="en-US"/>
              </w:rPr>
            </w:pPr>
          </w:p>
        </w:tc>
        <w:tc>
          <w:tcPr>
            <w:tcW w:w="359" w:type="pct"/>
            <w:tcBorders>
              <w:top w:val="single" w:sz="4" w:space="0" w:color="auto"/>
              <w:left w:val="single" w:sz="4" w:space="0" w:color="auto"/>
              <w:bottom w:val="single" w:sz="4" w:space="0" w:color="auto"/>
              <w:right w:val="single" w:sz="4" w:space="0" w:color="auto"/>
            </w:tcBorders>
            <w:shd w:val="clear" w:color="auto" w:fill="BFBFBF"/>
          </w:tcPr>
          <w:p w14:paraId="4904AED1"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2C943E6B" w14:textId="77777777" w:rsidTr="000D6E29">
        <w:tc>
          <w:tcPr>
            <w:tcW w:w="5000" w:type="pct"/>
            <w:gridSpan w:val="7"/>
            <w:tcBorders>
              <w:top w:val="single" w:sz="4" w:space="0" w:color="auto"/>
              <w:left w:val="single" w:sz="4" w:space="0" w:color="auto"/>
              <w:bottom w:val="single" w:sz="4" w:space="0" w:color="auto"/>
              <w:right w:val="single" w:sz="4" w:space="0" w:color="auto"/>
            </w:tcBorders>
          </w:tcPr>
          <w:p w14:paraId="2AC04142"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r w:rsidRPr="00667569">
              <w:rPr>
                <w:rFonts w:ascii="Calibri" w:eastAsia="MS Mincho" w:hAnsi="Calibri" w:cs="Calibri"/>
                <w:b/>
                <w:bCs/>
                <w:sz w:val="20"/>
                <w:szCs w:val="20"/>
                <w:lang w:eastAsia="en-US"/>
              </w:rPr>
              <w:t>Other Future Research Requirements (not in order of priority)</w:t>
            </w:r>
          </w:p>
        </w:tc>
      </w:tr>
      <w:tr w:rsidR="00667569" w:rsidRPr="00667569" w14:paraId="0791DE64" w14:textId="77777777" w:rsidTr="000D7E8F">
        <w:trPr>
          <w:trHeight w:val="1862"/>
        </w:trPr>
        <w:tc>
          <w:tcPr>
            <w:tcW w:w="966" w:type="pct"/>
            <w:tcBorders>
              <w:top w:val="single" w:sz="4" w:space="0" w:color="auto"/>
              <w:left w:val="single" w:sz="4" w:space="0" w:color="auto"/>
            </w:tcBorders>
          </w:tcPr>
          <w:p w14:paraId="4E2B669D" w14:textId="77777777" w:rsidR="00667569" w:rsidRPr="00667569" w:rsidRDefault="00667569" w:rsidP="00667569">
            <w:pPr>
              <w:spacing w:before="60" w:after="60"/>
              <w:ind w:left="426"/>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4 Data mining and processing – (Development of subsequent CPUE indices)</w:t>
            </w:r>
          </w:p>
        </w:tc>
        <w:tc>
          <w:tcPr>
            <w:tcW w:w="2667" w:type="pct"/>
            <w:tcBorders>
              <w:top w:val="single" w:sz="4" w:space="0" w:color="auto"/>
            </w:tcBorders>
          </w:tcPr>
          <w:p w14:paraId="720C6368" w14:textId="77777777" w:rsidR="00667569" w:rsidRPr="00667569" w:rsidRDefault="00667569" w:rsidP="00667569">
            <w:pPr>
              <w:spacing w:before="60" w:after="6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Data on gillnet fisheries are available in Pakistan (and potentially other CPCs) and the recovery of this information and the development of gillnet CPUE indices as well as provision of length frequency data would improve species assessments, particularly for:</w:t>
            </w:r>
          </w:p>
          <w:p w14:paraId="604E8CD5" w14:textId="77777777" w:rsidR="00667569" w:rsidRPr="00667569" w:rsidRDefault="00667569" w:rsidP="00C63C9B">
            <w:pPr>
              <w:numPr>
                <w:ilvl w:val="0"/>
                <w:numId w:val="26"/>
              </w:numPr>
              <w:spacing w:before="60" w:after="60" w:line="276" w:lineRule="auto"/>
              <w:contextualSpacing/>
              <w:rPr>
                <w:rFonts w:ascii="Calibri" w:eastAsia="Calibri" w:hAnsi="Calibri" w:cs="Calibri"/>
                <w:snapToGrid w:val="0"/>
                <w:lang w:eastAsia="en-US"/>
              </w:rPr>
            </w:pPr>
            <w:r w:rsidRPr="00667569">
              <w:rPr>
                <w:rFonts w:ascii="Calibri" w:eastAsia="MS Mincho" w:hAnsi="Calibri" w:cs="Calibri"/>
                <w:snapToGrid w:val="0"/>
                <w:lang w:eastAsia="en-US"/>
              </w:rPr>
              <w:t>Black marlin</w:t>
            </w:r>
          </w:p>
          <w:p w14:paraId="407DB18D" w14:textId="77777777" w:rsidR="00667569" w:rsidRPr="00667569" w:rsidRDefault="00667569" w:rsidP="00C63C9B">
            <w:pPr>
              <w:numPr>
                <w:ilvl w:val="0"/>
                <w:numId w:val="26"/>
              </w:numPr>
              <w:spacing w:before="60" w:after="60" w:line="276" w:lineRule="auto"/>
              <w:contextualSpacing/>
              <w:rPr>
                <w:rFonts w:ascii="Calibri" w:eastAsia="Calibri" w:hAnsi="Calibri" w:cs="Calibri"/>
                <w:snapToGrid w:val="0"/>
                <w:lang w:eastAsia="en-US"/>
              </w:rPr>
            </w:pPr>
            <w:r w:rsidRPr="00667569">
              <w:rPr>
                <w:rFonts w:ascii="Calibri" w:eastAsia="MS Mincho" w:hAnsi="Calibri" w:cs="Calibri"/>
                <w:snapToGrid w:val="0"/>
                <w:lang w:eastAsia="en-US"/>
              </w:rPr>
              <w:t>Sailfish</w:t>
            </w:r>
          </w:p>
          <w:p w14:paraId="311156D3" w14:textId="77777777" w:rsidR="00667569" w:rsidRPr="00667569" w:rsidRDefault="00667569" w:rsidP="00667569">
            <w:pPr>
              <w:spacing w:before="60" w:after="60"/>
              <w:rPr>
                <w:rFonts w:eastAsia="MS Mincho" w:cs="Calibri"/>
                <w:snapToGrid w:val="0"/>
                <w:szCs w:val="20"/>
                <w:lang w:eastAsia="en-US"/>
              </w:rPr>
            </w:pPr>
          </w:p>
        </w:tc>
        <w:tc>
          <w:tcPr>
            <w:tcW w:w="252" w:type="pct"/>
            <w:tcBorders>
              <w:top w:val="single" w:sz="4" w:space="0" w:color="auto"/>
              <w:left w:val="single" w:sz="4" w:space="0" w:color="auto"/>
              <w:right w:val="single" w:sz="4" w:space="0" w:color="auto"/>
            </w:tcBorders>
            <w:shd w:val="clear" w:color="auto" w:fill="BFBFBF"/>
          </w:tcPr>
          <w:p w14:paraId="013CA603"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right w:val="single" w:sz="4" w:space="0" w:color="auto"/>
            </w:tcBorders>
            <w:shd w:val="clear" w:color="auto" w:fill="BFBFBF"/>
          </w:tcPr>
          <w:p w14:paraId="0EB96DE6" w14:textId="77777777" w:rsidR="00667569" w:rsidRPr="00667569" w:rsidRDefault="00667569" w:rsidP="00667569">
            <w:pPr>
              <w:spacing w:before="60" w:after="60"/>
              <w:jc w:val="center"/>
              <w:rPr>
                <w:rFonts w:ascii="Calibri" w:eastAsia="MS Mincho" w:hAnsi="Calibri" w:cs="Calibri"/>
                <w:snapToGrid w:val="0"/>
                <w:color w:val="000000"/>
                <w:szCs w:val="20"/>
                <w:highlight w:val="lightGray"/>
                <w:lang w:eastAsia="en-US"/>
              </w:rPr>
            </w:pPr>
          </w:p>
        </w:tc>
        <w:tc>
          <w:tcPr>
            <w:tcW w:w="252" w:type="pct"/>
            <w:tcBorders>
              <w:top w:val="single" w:sz="4" w:space="0" w:color="auto"/>
              <w:left w:val="single" w:sz="4" w:space="0" w:color="auto"/>
              <w:right w:val="single" w:sz="4" w:space="0" w:color="auto"/>
            </w:tcBorders>
            <w:shd w:val="clear" w:color="auto" w:fill="BFBFBF"/>
          </w:tcPr>
          <w:p w14:paraId="7AB9DBDB"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right w:val="single" w:sz="4" w:space="0" w:color="auto"/>
            </w:tcBorders>
          </w:tcPr>
          <w:p w14:paraId="47345AF4"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tcBorders>
              <w:top w:val="single" w:sz="4" w:space="0" w:color="auto"/>
              <w:left w:val="single" w:sz="4" w:space="0" w:color="auto"/>
              <w:right w:val="single" w:sz="4" w:space="0" w:color="auto"/>
            </w:tcBorders>
          </w:tcPr>
          <w:p w14:paraId="3E922493"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3948F7C6" w14:textId="77777777" w:rsidTr="000D6E29">
        <w:tc>
          <w:tcPr>
            <w:tcW w:w="966" w:type="pct"/>
            <w:tcBorders>
              <w:top w:val="single" w:sz="4" w:space="0" w:color="auto"/>
              <w:left w:val="single" w:sz="4" w:space="0" w:color="auto"/>
            </w:tcBorders>
          </w:tcPr>
          <w:p w14:paraId="020D64A5" w14:textId="77777777" w:rsidR="00667569" w:rsidRPr="00667569" w:rsidRDefault="00667569" w:rsidP="00667569">
            <w:pPr>
              <w:spacing w:before="60" w:after="60"/>
              <w:ind w:left="36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5 Historical data review</w:t>
            </w:r>
          </w:p>
        </w:tc>
        <w:tc>
          <w:tcPr>
            <w:tcW w:w="2667" w:type="pct"/>
            <w:tcBorders>
              <w:top w:val="single" w:sz="4" w:space="0" w:color="auto"/>
            </w:tcBorders>
          </w:tcPr>
          <w:p w14:paraId="56DAB7E6" w14:textId="77777777" w:rsidR="00667569" w:rsidRPr="00667569" w:rsidRDefault="00667569" w:rsidP="00667569">
            <w:pPr>
              <w:tabs>
                <w:tab w:val="left" w:pos="2250"/>
              </w:tabs>
              <w:spacing w:before="60" w:after="60"/>
              <w:ind w:left="342" w:hanging="342"/>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5.1 Changes in fleet dynamics</w:t>
            </w:r>
          </w:p>
        </w:tc>
        <w:tc>
          <w:tcPr>
            <w:tcW w:w="1367" w:type="pct"/>
            <w:gridSpan w:val="5"/>
            <w:tcBorders>
              <w:top w:val="single" w:sz="4" w:space="0" w:color="auto"/>
              <w:left w:val="single" w:sz="4" w:space="0" w:color="auto"/>
              <w:bottom w:val="single" w:sz="4" w:space="0" w:color="auto"/>
              <w:right w:val="single" w:sz="4" w:space="0" w:color="auto"/>
            </w:tcBorders>
          </w:tcPr>
          <w:p w14:paraId="1FCDE7F9"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48AD4B9D" w14:textId="77777777" w:rsidTr="000D7E8F">
        <w:tc>
          <w:tcPr>
            <w:tcW w:w="966" w:type="pct"/>
            <w:tcBorders>
              <w:left w:val="single" w:sz="4" w:space="0" w:color="auto"/>
            </w:tcBorders>
          </w:tcPr>
          <w:p w14:paraId="3F56493C" w14:textId="77777777" w:rsidR="00667569" w:rsidRPr="00667569" w:rsidRDefault="00667569" w:rsidP="00667569">
            <w:pPr>
              <w:spacing w:before="60" w:after="60"/>
              <w:ind w:left="360"/>
              <w:rPr>
                <w:rFonts w:ascii="Calibri" w:eastAsia="MS Mincho" w:hAnsi="Calibri" w:cs="Calibri"/>
                <w:snapToGrid w:val="0"/>
                <w:szCs w:val="20"/>
                <w:lang w:eastAsia="en-US"/>
              </w:rPr>
            </w:pPr>
          </w:p>
        </w:tc>
        <w:tc>
          <w:tcPr>
            <w:tcW w:w="2667" w:type="pct"/>
          </w:tcPr>
          <w:p w14:paraId="6C44689F" w14:textId="77777777" w:rsidR="00667569" w:rsidRPr="00667569" w:rsidRDefault="00667569" w:rsidP="00667569">
            <w:pPr>
              <w:tabs>
                <w:tab w:val="left" w:pos="1695"/>
              </w:tabs>
              <w:spacing w:before="60" w:after="60"/>
              <w:ind w:left="1062" w:hanging="72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 xml:space="preserve">5.1.1     Continue the work with coastal countries to address recent changes and/or increases of marlins catches especially in some coastal fleets. The historical review should include as much explanatory information as possible regarding changes in fishing areas, species targeting, gear changes and other fleet characteristics to assist the WPB understand the current fluctuations observed in the data and very high increases in some species (e.g., black marlin mainly due to very high catches reported by India in recent years). The possibility of producing alternative catch histories should also be explored.  Priority countries: India, Pakistan, Iran, I.R., Indonesia. </w:t>
            </w: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176E9633"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0884CE84"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bottom w:val="single" w:sz="4" w:space="0" w:color="auto"/>
              <w:right w:val="single" w:sz="4" w:space="0" w:color="auto"/>
            </w:tcBorders>
          </w:tcPr>
          <w:p w14:paraId="69F342F7"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bottom w:val="single" w:sz="4" w:space="0" w:color="auto"/>
              <w:right w:val="single" w:sz="4" w:space="0" w:color="auto"/>
            </w:tcBorders>
          </w:tcPr>
          <w:p w14:paraId="345CF398"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tcBorders>
              <w:top w:val="single" w:sz="4" w:space="0" w:color="auto"/>
              <w:left w:val="single" w:sz="4" w:space="0" w:color="auto"/>
              <w:bottom w:val="single" w:sz="4" w:space="0" w:color="auto"/>
              <w:right w:val="single" w:sz="4" w:space="0" w:color="auto"/>
            </w:tcBorders>
          </w:tcPr>
          <w:p w14:paraId="6CF9DD57"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6281BF79" w14:textId="77777777" w:rsidTr="000D6E29">
        <w:tc>
          <w:tcPr>
            <w:tcW w:w="966" w:type="pct"/>
            <w:tcBorders>
              <w:left w:val="single" w:sz="4" w:space="0" w:color="auto"/>
            </w:tcBorders>
          </w:tcPr>
          <w:p w14:paraId="3B3AAD5D" w14:textId="77777777" w:rsidR="00667569" w:rsidRPr="00667569" w:rsidRDefault="00667569" w:rsidP="00667569">
            <w:pPr>
              <w:spacing w:before="60" w:after="60"/>
              <w:ind w:left="360"/>
              <w:rPr>
                <w:rFonts w:ascii="Calibri" w:eastAsia="MS Mincho" w:hAnsi="Calibri" w:cs="Calibri"/>
                <w:snapToGrid w:val="0"/>
                <w:szCs w:val="20"/>
                <w:lang w:eastAsia="en-US"/>
              </w:rPr>
            </w:pPr>
          </w:p>
        </w:tc>
        <w:tc>
          <w:tcPr>
            <w:tcW w:w="2667" w:type="pct"/>
          </w:tcPr>
          <w:p w14:paraId="55198EC4" w14:textId="77777777" w:rsidR="00667569" w:rsidRPr="00667569" w:rsidRDefault="00667569" w:rsidP="00667569">
            <w:pPr>
              <w:spacing w:before="60" w:after="6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5.2 Species identification</w:t>
            </w:r>
          </w:p>
        </w:tc>
        <w:tc>
          <w:tcPr>
            <w:tcW w:w="1367" w:type="pct"/>
            <w:gridSpan w:val="5"/>
            <w:tcBorders>
              <w:top w:val="single" w:sz="4" w:space="0" w:color="auto"/>
              <w:left w:val="single" w:sz="4" w:space="0" w:color="auto"/>
              <w:bottom w:val="single" w:sz="4" w:space="0" w:color="auto"/>
              <w:right w:val="single" w:sz="4" w:space="0" w:color="auto"/>
            </w:tcBorders>
          </w:tcPr>
          <w:p w14:paraId="5086E811"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74637B93" w14:textId="77777777" w:rsidTr="000D7E8F">
        <w:tc>
          <w:tcPr>
            <w:tcW w:w="966" w:type="pct"/>
            <w:tcBorders>
              <w:left w:val="single" w:sz="4" w:space="0" w:color="auto"/>
            </w:tcBorders>
          </w:tcPr>
          <w:p w14:paraId="269B62FE" w14:textId="77777777" w:rsidR="00667569" w:rsidRPr="00667569" w:rsidRDefault="00667569" w:rsidP="00667569">
            <w:pPr>
              <w:spacing w:before="60" w:after="60"/>
              <w:ind w:left="360"/>
              <w:rPr>
                <w:rFonts w:ascii="Calibri" w:eastAsia="MS Mincho" w:hAnsi="Calibri" w:cs="Calibri"/>
                <w:snapToGrid w:val="0"/>
                <w:szCs w:val="20"/>
                <w:lang w:eastAsia="en-US"/>
              </w:rPr>
            </w:pPr>
          </w:p>
        </w:tc>
        <w:tc>
          <w:tcPr>
            <w:tcW w:w="2667" w:type="pct"/>
          </w:tcPr>
          <w:p w14:paraId="3231828A" w14:textId="77777777" w:rsidR="00667569" w:rsidRPr="00667569" w:rsidRDefault="00667569" w:rsidP="00667569">
            <w:pPr>
              <w:tabs>
                <w:tab w:val="left" w:pos="1695"/>
              </w:tabs>
              <w:spacing w:before="60" w:after="60"/>
              <w:ind w:left="1062" w:hanging="72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5.2.1     The quality of the data available at the IOTC Secretariat on marlins (by species) is likely to be compromised by species miss-identification. Thus, CPCs should review their historical data in order to identify, report and correct (if possible) potential identification problems that are detrimental to any analysis of the status of the stocks. Consider the application of DNA-Barcoding technology for billfish species identification.</w:t>
            </w: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3069C0ED"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r w:rsidRPr="00667569">
              <w:rPr>
                <w:rFonts w:ascii="Calibri" w:eastAsia="MS Mincho" w:hAnsi="Calibri" w:cs="Calibri"/>
                <w:snapToGrid w:val="0"/>
                <w:color w:val="000000"/>
                <w:szCs w:val="20"/>
                <w:lang w:eastAsia="en-US"/>
              </w:rPr>
              <w:t xml:space="preserve">  </w:t>
            </w: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641B00F0"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bottom w:val="single" w:sz="4" w:space="0" w:color="auto"/>
              <w:right w:val="single" w:sz="4" w:space="0" w:color="auto"/>
            </w:tcBorders>
          </w:tcPr>
          <w:p w14:paraId="7AFFE3E8"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bottom w:val="single" w:sz="4" w:space="0" w:color="auto"/>
              <w:right w:val="single" w:sz="4" w:space="0" w:color="auto"/>
            </w:tcBorders>
          </w:tcPr>
          <w:p w14:paraId="45D72AA0"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tcBorders>
              <w:top w:val="single" w:sz="4" w:space="0" w:color="auto"/>
              <w:left w:val="single" w:sz="4" w:space="0" w:color="auto"/>
              <w:bottom w:val="single" w:sz="4" w:space="0" w:color="auto"/>
              <w:right w:val="single" w:sz="4" w:space="0" w:color="auto"/>
            </w:tcBorders>
          </w:tcPr>
          <w:p w14:paraId="6A8B12F7"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r w:rsidR="00667569" w:rsidRPr="00667569" w14:paraId="23E01A33" w14:textId="77777777" w:rsidTr="000D7E8F">
        <w:trPr>
          <w:trHeight w:val="980"/>
        </w:trPr>
        <w:tc>
          <w:tcPr>
            <w:tcW w:w="966" w:type="pct"/>
            <w:tcBorders>
              <w:top w:val="single" w:sz="4" w:space="0" w:color="auto"/>
              <w:left w:val="single" w:sz="4" w:space="0" w:color="auto"/>
              <w:bottom w:val="single" w:sz="4" w:space="0" w:color="auto"/>
            </w:tcBorders>
          </w:tcPr>
          <w:p w14:paraId="62DB5E31" w14:textId="77777777" w:rsidR="00667569" w:rsidRPr="00667569" w:rsidRDefault="00667569" w:rsidP="00667569">
            <w:pPr>
              <w:spacing w:before="60" w:after="60"/>
              <w:ind w:left="36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6. Climate change</w:t>
            </w:r>
          </w:p>
        </w:tc>
        <w:tc>
          <w:tcPr>
            <w:tcW w:w="2667" w:type="pct"/>
            <w:tcBorders>
              <w:top w:val="single" w:sz="4" w:space="0" w:color="auto"/>
              <w:bottom w:val="single" w:sz="4" w:space="0" w:color="auto"/>
            </w:tcBorders>
          </w:tcPr>
          <w:p w14:paraId="14B95911" w14:textId="77777777" w:rsidR="00667569" w:rsidRPr="00667569" w:rsidRDefault="00667569" w:rsidP="00667569">
            <w:pPr>
              <w:spacing w:before="60" w:after="60"/>
              <w:ind w:left="972" w:hanging="630"/>
              <w:rPr>
                <w:rFonts w:ascii="Calibri" w:eastAsia="MS Mincho" w:hAnsi="Calibri" w:cs="Calibri"/>
                <w:snapToGrid w:val="0"/>
                <w:szCs w:val="20"/>
                <w:lang w:eastAsia="en-US"/>
              </w:rPr>
            </w:pPr>
            <w:r w:rsidRPr="00667569">
              <w:rPr>
                <w:rFonts w:ascii="Calibri" w:eastAsia="MS Mincho" w:hAnsi="Calibri" w:cs="Calibri"/>
                <w:snapToGrid w:val="0"/>
                <w:szCs w:val="20"/>
                <w:lang w:eastAsia="en-US"/>
              </w:rPr>
              <w:t xml:space="preserve"> Investigate impact and interaction of climate change on billfish fisheries</w:t>
            </w: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259A9DCB" w14:textId="77777777" w:rsidR="00667569" w:rsidRPr="00667569" w:rsidRDefault="00667569" w:rsidP="00667569">
            <w:pPr>
              <w:spacing w:before="60" w:after="60"/>
              <w:jc w:val="center"/>
              <w:rPr>
                <w:rFonts w:ascii="Calibri" w:eastAsia="MS Mincho" w:hAnsi="Calibri" w:cs="Calibri"/>
                <w:snapToGrid w:val="0"/>
                <w:szCs w:val="20"/>
                <w:lang w:eastAsia="en-US"/>
              </w:rPr>
            </w:pP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37A44C90"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351A05A8"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252" w:type="pct"/>
            <w:tcBorders>
              <w:top w:val="single" w:sz="4" w:space="0" w:color="auto"/>
              <w:left w:val="single" w:sz="4" w:space="0" w:color="auto"/>
              <w:bottom w:val="single" w:sz="4" w:space="0" w:color="auto"/>
              <w:right w:val="single" w:sz="4" w:space="0" w:color="auto"/>
            </w:tcBorders>
            <w:shd w:val="clear" w:color="auto" w:fill="BFBFBF"/>
          </w:tcPr>
          <w:p w14:paraId="4257D399"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c>
          <w:tcPr>
            <w:tcW w:w="359" w:type="pct"/>
            <w:tcBorders>
              <w:top w:val="single" w:sz="4" w:space="0" w:color="auto"/>
              <w:left w:val="single" w:sz="4" w:space="0" w:color="auto"/>
              <w:bottom w:val="single" w:sz="4" w:space="0" w:color="auto"/>
              <w:right w:val="single" w:sz="4" w:space="0" w:color="auto"/>
            </w:tcBorders>
            <w:shd w:val="clear" w:color="auto" w:fill="BFBFBF"/>
          </w:tcPr>
          <w:p w14:paraId="3E5D7F0E" w14:textId="77777777" w:rsidR="00667569" w:rsidRPr="00667569" w:rsidRDefault="00667569" w:rsidP="00667569">
            <w:pPr>
              <w:spacing w:before="60" w:after="60"/>
              <w:jc w:val="center"/>
              <w:rPr>
                <w:rFonts w:ascii="Calibri" w:eastAsia="MS Mincho" w:hAnsi="Calibri" w:cs="Calibri"/>
                <w:snapToGrid w:val="0"/>
                <w:color w:val="000000"/>
                <w:szCs w:val="20"/>
                <w:lang w:eastAsia="en-US"/>
              </w:rPr>
            </w:pPr>
          </w:p>
        </w:tc>
      </w:tr>
    </w:tbl>
    <w:p w14:paraId="6759CF65" w14:textId="77777777" w:rsidR="00667569" w:rsidRPr="00667569" w:rsidRDefault="00667569" w:rsidP="00667569">
      <w:pPr>
        <w:rPr>
          <w:rFonts w:eastAsia="MS Mincho"/>
          <w:b/>
          <w:snapToGrid w:val="0"/>
          <w:szCs w:val="20"/>
          <w:lang w:eastAsia="en-US"/>
        </w:rPr>
        <w:sectPr w:rsidR="00667569" w:rsidRPr="00667569" w:rsidSect="00667569">
          <w:type w:val="continuous"/>
          <w:pgSz w:w="16834" w:h="11909" w:orient="landscape" w:code="9"/>
          <w:pgMar w:top="232" w:right="720" w:bottom="851" w:left="720" w:header="288" w:footer="288" w:gutter="578"/>
          <w:cols w:space="720"/>
          <w:titlePg/>
          <w:docGrid w:linePitch="299"/>
        </w:sectPr>
      </w:pPr>
    </w:p>
    <w:p w14:paraId="7B7650B8" w14:textId="77777777" w:rsidR="00667569" w:rsidRPr="00667569" w:rsidRDefault="00667569" w:rsidP="00667569">
      <w:pPr>
        <w:spacing w:after="240"/>
        <w:rPr>
          <w:rFonts w:ascii="Calibri" w:hAnsi="Calibri" w:cs="Calibri"/>
          <w:snapToGrid w:val="0"/>
          <w:szCs w:val="20"/>
          <w:lang w:eastAsia="en-US"/>
        </w:rPr>
      </w:pPr>
      <w:r w:rsidRPr="00667569">
        <w:rPr>
          <w:rFonts w:ascii="Calibri" w:hAnsi="Calibri" w:cs="Calibri"/>
          <w:b/>
          <w:snapToGrid w:val="0"/>
          <w:szCs w:val="20"/>
          <w:lang w:eastAsia="en-US"/>
        </w:rPr>
        <w:lastRenderedPageBreak/>
        <w:t xml:space="preserve">Table 2. </w:t>
      </w:r>
      <w:r w:rsidRPr="00667569">
        <w:rPr>
          <w:rFonts w:ascii="Calibri" w:hAnsi="Calibri" w:cs="Calibri"/>
          <w:snapToGrid w:val="0"/>
          <w:szCs w:val="20"/>
          <w:lang w:eastAsia="en-US"/>
        </w:rPr>
        <w:t xml:space="preserve">Assessment schedule for the IOTC Working Party on Billfish </w:t>
      </w:r>
    </w:p>
    <w:p w14:paraId="0503ACCA" w14:textId="77777777" w:rsidR="00667569" w:rsidRPr="00667569" w:rsidRDefault="00667569" w:rsidP="00667569">
      <w:pPr>
        <w:spacing w:after="240"/>
        <w:rPr>
          <w:rFonts w:ascii="Calibri" w:hAnsi="Calibri" w:cs="Calibri"/>
          <w:snapToGrid w:val="0"/>
          <w:szCs w:val="20"/>
          <w:lang w:eastAsia="en-US"/>
        </w:rPr>
      </w:pPr>
    </w:p>
    <w:tbl>
      <w:tblPr>
        <w:tblStyle w:val="TableGrid319"/>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9"/>
        <w:gridCol w:w="1500"/>
        <w:gridCol w:w="1642"/>
        <w:gridCol w:w="1644"/>
        <w:gridCol w:w="1655"/>
        <w:gridCol w:w="1719"/>
      </w:tblGrid>
      <w:tr w:rsidR="00667569" w:rsidRPr="00667569" w14:paraId="56C812F4" w14:textId="77777777" w:rsidTr="000D6E29">
        <w:trPr>
          <w:trHeight w:val="397"/>
        </w:trPr>
        <w:tc>
          <w:tcPr>
            <w:tcW w:w="10019" w:type="dxa"/>
            <w:gridSpan w:val="6"/>
            <w:shd w:val="clear" w:color="auto" w:fill="D9D9D9"/>
            <w:vAlign w:val="center"/>
          </w:tcPr>
          <w:p w14:paraId="7908844A" w14:textId="77777777" w:rsidR="00667569" w:rsidRPr="00667569" w:rsidRDefault="00667569" w:rsidP="00667569">
            <w:pPr>
              <w:autoSpaceDE w:val="0"/>
              <w:autoSpaceDN w:val="0"/>
              <w:adjustRightInd w:val="0"/>
              <w:spacing w:before="60" w:after="60"/>
              <w:jc w:val="center"/>
              <w:rPr>
                <w:rFonts w:ascii="Calibri" w:eastAsia="MS Mincho" w:hAnsi="Calibri" w:cs="Calibri"/>
                <w:b/>
                <w:color w:val="000000"/>
                <w:lang w:val="en-US"/>
              </w:rPr>
            </w:pPr>
            <w:r w:rsidRPr="00667569">
              <w:rPr>
                <w:rFonts w:ascii="Calibri" w:eastAsia="MS Mincho" w:hAnsi="Calibri" w:cs="Calibri"/>
                <w:b/>
                <w:i/>
                <w:color w:val="000000"/>
                <w:lang w:val="en-US"/>
              </w:rPr>
              <w:t>Working Party on Billfish</w:t>
            </w:r>
          </w:p>
        </w:tc>
      </w:tr>
      <w:tr w:rsidR="00667569" w:rsidRPr="00667569" w14:paraId="0E32CD4A" w14:textId="77777777" w:rsidTr="000D6E29">
        <w:trPr>
          <w:trHeight w:val="340"/>
        </w:trPr>
        <w:tc>
          <w:tcPr>
            <w:tcW w:w="1859" w:type="dxa"/>
          </w:tcPr>
          <w:p w14:paraId="548BEF15" w14:textId="77777777" w:rsidR="00667569" w:rsidRPr="00667569" w:rsidRDefault="00667569" w:rsidP="00667569">
            <w:pPr>
              <w:autoSpaceDE w:val="0"/>
              <w:autoSpaceDN w:val="0"/>
              <w:adjustRightInd w:val="0"/>
              <w:spacing w:before="60" w:after="60"/>
              <w:rPr>
                <w:rFonts w:ascii="Calibri" w:eastAsia="MS Mincho" w:hAnsi="Calibri" w:cs="Calibri"/>
                <w:b/>
                <w:color w:val="000000"/>
                <w:lang w:val="en-US"/>
              </w:rPr>
            </w:pPr>
            <w:r w:rsidRPr="00667569">
              <w:rPr>
                <w:rFonts w:ascii="Calibri" w:eastAsia="MS Mincho" w:hAnsi="Calibri" w:cs="Calibri"/>
                <w:sz w:val="20"/>
                <w:szCs w:val="20"/>
                <w:lang w:eastAsia="en-US"/>
              </w:rPr>
              <w:t>Species</w:t>
            </w:r>
          </w:p>
        </w:tc>
        <w:tc>
          <w:tcPr>
            <w:tcW w:w="1500" w:type="dxa"/>
          </w:tcPr>
          <w:p w14:paraId="175FEDAB" w14:textId="77777777" w:rsidR="00667569" w:rsidRPr="00667569" w:rsidRDefault="00667569" w:rsidP="00667569">
            <w:pPr>
              <w:autoSpaceDE w:val="0"/>
              <w:autoSpaceDN w:val="0"/>
              <w:adjustRightInd w:val="0"/>
              <w:spacing w:before="60" w:after="60"/>
              <w:jc w:val="center"/>
              <w:rPr>
                <w:rFonts w:ascii="Calibri" w:eastAsia="MS Mincho" w:hAnsi="Calibri" w:cs="Calibri"/>
                <w:b/>
                <w:color w:val="FF0000"/>
                <w:lang w:val="en-US"/>
              </w:rPr>
            </w:pPr>
            <w:r w:rsidRPr="00667569">
              <w:rPr>
                <w:rFonts w:ascii="Calibri" w:eastAsia="MS Mincho" w:hAnsi="Calibri" w:cs="Calibri"/>
                <w:sz w:val="20"/>
                <w:szCs w:val="20"/>
                <w:lang w:eastAsia="en-US"/>
              </w:rPr>
              <w:t>2026</w:t>
            </w:r>
          </w:p>
        </w:tc>
        <w:tc>
          <w:tcPr>
            <w:tcW w:w="1642" w:type="dxa"/>
          </w:tcPr>
          <w:p w14:paraId="562D8852" w14:textId="77777777" w:rsidR="00667569" w:rsidRPr="00667569" w:rsidRDefault="00667569" w:rsidP="00667569">
            <w:pPr>
              <w:autoSpaceDE w:val="0"/>
              <w:autoSpaceDN w:val="0"/>
              <w:adjustRightInd w:val="0"/>
              <w:spacing w:before="60" w:after="60"/>
              <w:jc w:val="center"/>
              <w:rPr>
                <w:rFonts w:ascii="Calibri" w:eastAsia="MS Mincho" w:hAnsi="Calibri" w:cs="Calibri"/>
                <w:b/>
                <w:color w:val="FF0000"/>
                <w:lang w:val="en-US"/>
              </w:rPr>
            </w:pPr>
            <w:r w:rsidRPr="00667569">
              <w:rPr>
                <w:rFonts w:ascii="Calibri" w:eastAsia="MS Mincho" w:hAnsi="Calibri" w:cs="Calibri"/>
                <w:sz w:val="20"/>
                <w:szCs w:val="20"/>
                <w:lang w:eastAsia="en-US"/>
              </w:rPr>
              <w:t>2027</w:t>
            </w:r>
          </w:p>
        </w:tc>
        <w:tc>
          <w:tcPr>
            <w:tcW w:w="1644" w:type="dxa"/>
          </w:tcPr>
          <w:p w14:paraId="2BD38B68" w14:textId="77777777" w:rsidR="00667569" w:rsidRPr="00667569" w:rsidRDefault="00667569" w:rsidP="00667569">
            <w:pPr>
              <w:autoSpaceDE w:val="0"/>
              <w:autoSpaceDN w:val="0"/>
              <w:adjustRightInd w:val="0"/>
              <w:spacing w:before="60" w:after="60"/>
              <w:jc w:val="center"/>
              <w:rPr>
                <w:rFonts w:ascii="Calibri" w:eastAsia="MS Mincho" w:hAnsi="Calibri" w:cs="Calibri"/>
                <w:b/>
                <w:color w:val="FF0000"/>
                <w:lang w:val="en-US"/>
              </w:rPr>
            </w:pPr>
            <w:r w:rsidRPr="00667569">
              <w:rPr>
                <w:rFonts w:ascii="Calibri" w:eastAsia="MS Mincho" w:hAnsi="Calibri" w:cs="Calibri"/>
                <w:sz w:val="20"/>
                <w:szCs w:val="20"/>
                <w:lang w:eastAsia="en-US"/>
              </w:rPr>
              <w:t>2028</w:t>
            </w:r>
          </w:p>
        </w:tc>
        <w:tc>
          <w:tcPr>
            <w:tcW w:w="1655" w:type="dxa"/>
          </w:tcPr>
          <w:p w14:paraId="6D97D18C" w14:textId="77777777" w:rsidR="00667569" w:rsidRPr="00667569" w:rsidRDefault="00667569" w:rsidP="00667569">
            <w:pPr>
              <w:autoSpaceDE w:val="0"/>
              <w:autoSpaceDN w:val="0"/>
              <w:adjustRightInd w:val="0"/>
              <w:spacing w:before="60" w:after="60"/>
              <w:jc w:val="center"/>
              <w:rPr>
                <w:rFonts w:ascii="Calibri" w:eastAsia="MS Mincho" w:hAnsi="Calibri" w:cs="Calibri"/>
                <w:b/>
                <w:color w:val="FF0000"/>
                <w:lang w:val="en-US"/>
              </w:rPr>
            </w:pPr>
            <w:r w:rsidRPr="00667569">
              <w:rPr>
                <w:rFonts w:ascii="Calibri" w:eastAsia="MS Mincho" w:hAnsi="Calibri" w:cs="Calibri"/>
                <w:sz w:val="20"/>
                <w:szCs w:val="20"/>
                <w:lang w:eastAsia="en-US"/>
              </w:rPr>
              <w:t>2029</w:t>
            </w:r>
          </w:p>
        </w:tc>
        <w:tc>
          <w:tcPr>
            <w:tcW w:w="1719" w:type="dxa"/>
          </w:tcPr>
          <w:p w14:paraId="744ECD9C" w14:textId="77777777" w:rsidR="00667569" w:rsidRPr="00667569" w:rsidRDefault="00667569" w:rsidP="00667569">
            <w:pPr>
              <w:autoSpaceDE w:val="0"/>
              <w:autoSpaceDN w:val="0"/>
              <w:adjustRightInd w:val="0"/>
              <w:spacing w:before="60" w:after="60"/>
              <w:jc w:val="center"/>
              <w:rPr>
                <w:rFonts w:ascii="Calibri" w:eastAsia="MS Mincho" w:hAnsi="Calibri" w:cs="Calibri"/>
                <w:b/>
                <w:color w:val="FF0000"/>
                <w:lang w:val="en-US"/>
              </w:rPr>
            </w:pPr>
            <w:r w:rsidRPr="00667569">
              <w:rPr>
                <w:rFonts w:ascii="Calibri" w:eastAsia="MS Mincho" w:hAnsi="Calibri" w:cs="Calibri"/>
                <w:sz w:val="20"/>
                <w:szCs w:val="20"/>
                <w:lang w:eastAsia="en-US"/>
              </w:rPr>
              <w:t>2030</w:t>
            </w:r>
          </w:p>
        </w:tc>
      </w:tr>
      <w:tr w:rsidR="00667569" w:rsidRPr="00667569" w14:paraId="3E2388DB" w14:textId="77777777" w:rsidTr="000D6E29">
        <w:trPr>
          <w:trHeight w:val="227"/>
        </w:trPr>
        <w:tc>
          <w:tcPr>
            <w:tcW w:w="1859" w:type="dxa"/>
          </w:tcPr>
          <w:p w14:paraId="4DFA4DD9" w14:textId="77777777" w:rsidR="00667569" w:rsidRPr="00667569" w:rsidRDefault="00667569" w:rsidP="00667569">
            <w:pPr>
              <w:autoSpaceDE w:val="0"/>
              <w:autoSpaceDN w:val="0"/>
              <w:adjustRightInd w:val="0"/>
              <w:spacing w:before="60" w:after="60"/>
              <w:rPr>
                <w:rFonts w:ascii="Calibri" w:eastAsia="MS Mincho" w:hAnsi="Calibri" w:cs="Calibri"/>
                <w:b/>
                <w:color w:val="000000"/>
                <w:lang w:val="en-US"/>
              </w:rPr>
            </w:pPr>
            <w:r w:rsidRPr="00667569">
              <w:rPr>
                <w:rFonts w:ascii="Calibri" w:eastAsia="MS Mincho" w:hAnsi="Calibri" w:cs="Calibri"/>
                <w:sz w:val="20"/>
                <w:szCs w:val="20"/>
                <w:lang w:eastAsia="en-US"/>
              </w:rPr>
              <w:t>Black marlin</w:t>
            </w:r>
          </w:p>
        </w:tc>
        <w:tc>
          <w:tcPr>
            <w:tcW w:w="1500" w:type="dxa"/>
          </w:tcPr>
          <w:p w14:paraId="16895FFE"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642" w:type="dxa"/>
          </w:tcPr>
          <w:p w14:paraId="2F3444CD"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r w:rsidRPr="00667569">
              <w:rPr>
                <w:rFonts w:ascii="Calibri" w:eastAsia="MS Mincho" w:hAnsi="Calibri" w:cs="Calibri"/>
                <w:sz w:val="20"/>
                <w:szCs w:val="20"/>
                <w:lang w:eastAsia="en-US"/>
              </w:rPr>
              <w:t>Full assessment</w:t>
            </w:r>
          </w:p>
        </w:tc>
        <w:tc>
          <w:tcPr>
            <w:tcW w:w="1644" w:type="dxa"/>
          </w:tcPr>
          <w:p w14:paraId="034048CA"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655" w:type="dxa"/>
          </w:tcPr>
          <w:p w14:paraId="54351877"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719" w:type="dxa"/>
          </w:tcPr>
          <w:p w14:paraId="13F87815" w14:textId="441628B8" w:rsidR="00667569" w:rsidRPr="00667569" w:rsidRDefault="00294D89" w:rsidP="00667569">
            <w:pPr>
              <w:autoSpaceDE w:val="0"/>
              <w:autoSpaceDN w:val="0"/>
              <w:adjustRightInd w:val="0"/>
              <w:spacing w:before="60" w:after="60"/>
              <w:rPr>
                <w:rFonts w:ascii="Calibri" w:eastAsia="MS Mincho" w:hAnsi="Calibri" w:cs="Calibri"/>
                <w:sz w:val="20"/>
                <w:szCs w:val="20"/>
                <w:lang w:eastAsia="en-US"/>
              </w:rPr>
            </w:pPr>
            <w:r w:rsidRPr="00667569">
              <w:rPr>
                <w:rFonts w:ascii="Calibri" w:eastAsia="MS Mincho" w:hAnsi="Calibri" w:cs="Calibri"/>
                <w:sz w:val="20"/>
                <w:szCs w:val="20"/>
                <w:lang w:eastAsia="en-US"/>
              </w:rPr>
              <w:t>Full assessment</w:t>
            </w:r>
          </w:p>
        </w:tc>
      </w:tr>
      <w:tr w:rsidR="00667569" w:rsidRPr="00667569" w14:paraId="42EA98FC" w14:textId="77777777" w:rsidTr="000D6E29">
        <w:trPr>
          <w:trHeight w:val="227"/>
        </w:trPr>
        <w:tc>
          <w:tcPr>
            <w:tcW w:w="1859" w:type="dxa"/>
          </w:tcPr>
          <w:p w14:paraId="7446217B" w14:textId="77777777" w:rsidR="00667569" w:rsidRPr="00667569" w:rsidRDefault="00667569" w:rsidP="00667569">
            <w:pPr>
              <w:autoSpaceDE w:val="0"/>
              <w:autoSpaceDN w:val="0"/>
              <w:adjustRightInd w:val="0"/>
              <w:spacing w:before="60" w:after="60"/>
              <w:rPr>
                <w:rFonts w:ascii="Calibri" w:eastAsia="MS Mincho" w:hAnsi="Calibri" w:cs="Calibri"/>
                <w:color w:val="000000"/>
                <w:lang w:val="en-US" w:eastAsia="en-GB"/>
              </w:rPr>
            </w:pPr>
            <w:r w:rsidRPr="00667569">
              <w:rPr>
                <w:rFonts w:ascii="Calibri" w:eastAsia="MS Mincho" w:hAnsi="Calibri" w:cs="Calibri"/>
                <w:sz w:val="20"/>
                <w:szCs w:val="20"/>
                <w:lang w:eastAsia="en-US"/>
              </w:rPr>
              <w:t>Blue marlin</w:t>
            </w:r>
          </w:p>
        </w:tc>
        <w:tc>
          <w:tcPr>
            <w:tcW w:w="1500" w:type="dxa"/>
          </w:tcPr>
          <w:p w14:paraId="417F696A"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642" w:type="dxa"/>
          </w:tcPr>
          <w:p w14:paraId="4FFBD98E"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644" w:type="dxa"/>
          </w:tcPr>
          <w:p w14:paraId="0BD5F275"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r w:rsidRPr="00667569">
              <w:rPr>
                <w:rFonts w:ascii="Calibri" w:eastAsia="MS Mincho" w:hAnsi="Calibri" w:cs="Calibri"/>
                <w:sz w:val="20"/>
                <w:szCs w:val="20"/>
                <w:lang w:eastAsia="en-US"/>
              </w:rPr>
              <w:t>Full assessment</w:t>
            </w:r>
          </w:p>
        </w:tc>
        <w:tc>
          <w:tcPr>
            <w:tcW w:w="1655" w:type="dxa"/>
          </w:tcPr>
          <w:p w14:paraId="29C32C20"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719" w:type="dxa"/>
          </w:tcPr>
          <w:p w14:paraId="3F809540" w14:textId="5EB4405D"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r>
      <w:tr w:rsidR="00667569" w:rsidRPr="00667569" w14:paraId="6E6B26F5" w14:textId="77777777" w:rsidTr="000D6E29">
        <w:trPr>
          <w:trHeight w:val="227"/>
        </w:trPr>
        <w:tc>
          <w:tcPr>
            <w:tcW w:w="1859" w:type="dxa"/>
          </w:tcPr>
          <w:p w14:paraId="3CFBC221" w14:textId="77777777" w:rsidR="00667569" w:rsidRPr="00667569" w:rsidRDefault="00667569" w:rsidP="00667569">
            <w:pPr>
              <w:autoSpaceDE w:val="0"/>
              <w:autoSpaceDN w:val="0"/>
              <w:adjustRightInd w:val="0"/>
              <w:spacing w:before="60" w:after="60"/>
              <w:rPr>
                <w:rFonts w:ascii="Calibri" w:eastAsia="MS Mincho" w:hAnsi="Calibri" w:cs="Calibri"/>
                <w:color w:val="000000"/>
                <w:lang w:val="en-US" w:eastAsia="en-GB"/>
              </w:rPr>
            </w:pPr>
            <w:r w:rsidRPr="00667569">
              <w:rPr>
                <w:rFonts w:ascii="Calibri" w:eastAsia="MS Mincho" w:hAnsi="Calibri" w:cs="Calibri"/>
                <w:sz w:val="20"/>
                <w:szCs w:val="20"/>
                <w:lang w:eastAsia="en-US"/>
              </w:rPr>
              <w:t>Striped marlin</w:t>
            </w:r>
          </w:p>
        </w:tc>
        <w:tc>
          <w:tcPr>
            <w:tcW w:w="1500" w:type="dxa"/>
          </w:tcPr>
          <w:p w14:paraId="215349E0"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642" w:type="dxa"/>
          </w:tcPr>
          <w:p w14:paraId="1345E0B5"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r w:rsidRPr="00667569">
              <w:rPr>
                <w:rFonts w:ascii="Calibri" w:eastAsia="MS Mincho" w:hAnsi="Calibri" w:cs="Calibri"/>
                <w:sz w:val="20"/>
                <w:szCs w:val="20"/>
                <w:lang w:eastAsia="en-US"/>
              </w:rPr>
              <w:t>Full assessment</w:t>
            </w:r>
          </w:p>
        </w:tc>
        <w:tc>
          <w:tcPr>
            <w:tcW w:w="1644" w:type="dxa"/>
          </w:tcPr>
          <w:p w14:paraId="7ACA3A6B"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655" w:type="dxa"/>
          </w:tcPr>
          <w:p w14:paraId="3B3023B1"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719" w:type="dxa"/>
          </w:tcPr>
          <w:p w14:paraId="40D60ADA" w14:textId="56EEAC74" w:rsidR="00667569" w:rsidRPr="00667569" w:rsidRDefault="00294D89" w:rsidP="00667569">
            <w:pPr>
              <w:autoSpaceDE w:val="0"/>
              <w:autoSpaceDN w:val="0"/>
              <w:adjustRightInd w:val="0"/>
              <w:spacing w:before="60" w:after="60"/>
              <w:rPr>
                <w:rFonts w:ascii="Calibri" w:eastAsia="MS Mincho" w:hAnsi="Calibri" w:cs="Calibri"/>
                <w:sz w:val="20"/>
                <w:szCs w:val="20"/>
                <w:lang w:eastAsia="en-US"/>
              </w:rPr>
            </w:pPr>
            <w:r w:rsidRPr="00667569">
              <w:rPr>
                <w:rFonts w:ascii="Calibri" w:eastAsia="MS Mincho" w:hAnsi="Calibri" w:cs="Calibri"/>
                <w:sz w:val="20"/>
                <w:szCs w:val="20"/>
                <w:lang w:eastAsia="en-US"/>
              </w:rPr>
              <w:t>Full assessment</w:t>
            </w:r>
          </w:p>
        </w:tc>
      </w:tr>
      <w:tr w:rsidR="00667569" w:rsidRPr="00667569" w14:paraId="2B0DBA90" w14:textId="77777777" w:rsidTr="000D6E29">
        <w:trPr>
          <w:trHeight w:val="227"/>
        </w:trPr>
        <w:tc>
          <w:tcPr>
            <w:tcW w:w="1859" w:type="dxa"/>
          </w:tcPr>
          <w:p w14:paraId="1FC27613" w14:textId="77777777" w:rsidR="00667569" w:rsidRPr="00667569" w:rsidRDefault="00667569" w:rsidP="00667569">
            <w:pPr>
              <w:autoSpaceDE w:val="0"/>
              <w:autoSpaceDN w:val="0"/>
              <w:adjustRightInd w:val="0"/>
              <w:spacing w:before="60" w:after="60"/>
              <w:rPr>
                <w:rFonts w:ascii="Calibri" w:eastAsia="MS Mincho" w:hAnsi="Calibri" w:cs="Calibri"/>
                <w:color w:val="000000"/>
                <w:lang w:val="en-US" w:eastAsia="ko-KR"/>
              </w:rPr>
            </w:pPr>
            <w:r w:rsidRPr="00667569">
              <w:rPr>
                <w:rFonts w:ascii="Calibri" w:eastAsia="MS Mincho" w:hAnsi="Calibri" w:cs="Calibri"/>
                <w:sz w:val="20"/>
                <w:szCs w:val="20"/>
                <w:lang w:eastAsia="en-US"/>
              </w:rPr>
              <w:t>Swordfish</w:t>
            </w:r>
          </w:p>
        </w:tc>
        <w:tc>
          <w:tcPr>
            <w:tcW w:w="1500" w:type="dxa"/>
          </w:tcPr>
          <w:p w14:paraId="02386E21"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r w:rsidRPr="00667569">
              <w:rPr>
                <w:rFonts w:ascii="Calibri" w:eastAsia="MS Mincho" w:hAnsi="Calibri" w:cs="Calibri"/>
                <w:sz w:val="20"/>
                <w:szCs w:val="20"/>
                <w:lang w:eastAsia="en-US"/>
              </w:rPr>
              <w:t>Full assessment</w:t>
            </w:r>
          </w:p>
        </w:tc>
        <w:tc>
          <w:tcPr>
            <w:tcW w:w="1642" w:type="dxa"/>
          </w:tcPr>
          <w:p w14:paraId="49E59672"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r w:rsidRPr="00667569">
              <w:rPr>
                <w:rFonts w:ascii="Calibri" w:eastAsia="MS Mincho" w:hAnsi="Calibri" w:cs="Calibri"/>
                <w:sz w:val="20"/>
                <w:szCs w:val="20"/>
                <w:lang w:eastAsia="en-US"/>
              </w:rPr>
              <w:t>Run MP</w:t>
            </w:r>
          </w:p>
        </w:tc>
        <w:tc>
          <w:tcPr>
            <w:tcW w:w="1644" w:type="dxa"/>
          </w:tcPr>
          <w:p w14:paraId="07C95E93"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655" w:type="dxa"/>
          </w:tcPr>
          <w:p w14:paraId="533DD8A3"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r w:rsidRPr="00667569">
              <w:rPr>
                <w:rFonts w:ascii="Calibri" w:eastAsia="MS Mincho" w:hAnsi="Calibri" w:cs="Calibri"/>
                <w:sz w:val="20"/>
                <w:szCs w:val="20"/>
                <w:lang w:eastAsia="en-US"/>
              </w:rPr>
              <w:t>Full assessment</w:t>
            </w:r>
          </w:p>
        </w:tc>
        <w:tc>
          <w:tcPr>
            <w:tcW w:w="1719" w:type="dxa"/>
          </w:tcPr>
          <w:p w14:paraId="06ACB7A4"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r>
      <w:tr w:rsidR="00667569" w:rsidRPr="00667569" w14:paraId="13D3DE52" w14:textId="77777777" w:rsidTr="000D6E29">
        <w:trPr>
          <w:trHeight w:val="227"/>
        </w:trPr>
        <w:tc>
          <w:tcPr>
            <w:tcW w:w="1859" w:type="dxa"/>
          </w:tcPr>
          <w:p w14:paraId="48BAF1B1" w14:textId="77777777" w:rsidR="00667569" w:rsidRPr="00667569" w:rsidRDefault="00667569" w:rsidP="00667569">
            <w:pPr>
              <w:autoSpaceDE w:val="0"/>
              <w:autoSpaceDN w:val="0"/>
              <w:adjustRightInd w:val="0"/>
              <w:spacing w:before="60" w:after="60"/>
              <w:rPr>
                <w:rFonts w:ascii="Calibri" w:eastAsia="MS Mincho" w:hAnsi="Calibri" w:cs="Calibri"/>
                <w:color w:val="000000"/>
                <w:lang w:val="en-US" w:eastAsia="en-GB"/>
              </w:rPr>
            </w:pPr>
            <w:r w:rsidRPr="00667569">
              <w:rPr>
                <w:rFonts w:ascii="Calibri" w:eastAsia="MS Mincho" w:hAnsi="Calibri" w:cs="Calibri"/>
                <w:sz w:val="20"/>
                <w:szCs w:val="20"/>
                <w:lang w:eastAsia="en-US"/>
              </w:rPr>
              <w:t>Indo-Pacific sailfish</w:t>
            </w:r>
          </w:p>
        </w:tc>
        <w:tc>
          <w:tcPr>
            <w:tcW w:w="1500" w:type="dxa"/>
          </w:tcPr>
          <w:p w14:paraId="46D6E2CD"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642" w:type="dxa"/>
          </w:tcPr>
          <w:p w14:paraId="3CC7A199"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644" w:type="dxa"/>
          </w:tcPr>
          <w:p w14:paraId="518F3D3A"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r w:rsidRPr="00667569">
              <w:rPr>
                <w:rFonts w:ascii="Calibri" w:eastAsia="MS Mincho" w:hAnsi="Calibri" w:cs="Calibri"/>
                <w:sz w:val="20"/>
                <w:szCs w:val="20"/>
                <w:lang w:eastAsia="en-US"/>
              </w:rPr>
              <w:t>Full assessment</w:t>
            </w:r>
          </w:p>
        </w:tc>
        <w:tc>
          <w:tcPr>
            <w:tcW w:w="1655" w:type="dxa"/>
          </w:tcPr>
          <w:p w14:paraId="7F2CC151" w14:textId="77777777"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c>
          <w:tcPr>
            <w:tcW w:w="1719" w:type="dxa"/>
          </w:tcPr>
          <w:p w14:paraId="73014C2A" w14:textId="29B66FE0" w:rsidR="00667569" w:rsidRPr="00667569" w:rsidRDefault="00667569" w:rsidP="00667569">
            <w:pPr>
              <w:autoSpaceDE w:val="0"/>
              <w:autoSpaceDN w:val="0"/>
              <w:adjustRightInd w:val="0"/>
              <w:spacing w:before="60" w:after="60"/>
              <w:rPr>
                <w:rFonts w:ascii="Calibri" w:eastAsia="MS Mincho" w:hAnsi="Calibri" w:cs="Calibri"/>
                <w:sz w:val="20"/>
                <w:szCs w:val="20"/>
                <w:lang w:eastAsia="en-US"/>
              </w:rPr>
            </w:pPr>
          </w:p>
        </w:tc>
      </w:tr>
    </w:tbl>
    <w:p w14:paraId="35BD0F2F" w14:textId="77777777" w:rsidR="00667569" w:rsidRDefault="00667569" w:rsidP="0058551D">
      <w:pPr>
        <w:pStyle w:val="AnnexTitle"/>
        <w:rPr>
          <w:rFonts w:ascii="Calibri" w:hAnsi="Calibri" w:cs="Calibri"/>
          <w:lang w:val="en-GB"/>
        </w:rPr>
      </w:pPr>
    </w:p>
    <w:p w14:paraId="5A724CF0" w14:textId="77777777" w:rsidR="00667569" w:rsidRDefault="00667569" w:rsidP="0058551D">
      <w:pPr>
        <w:pStyle w:val="AnnexTitle"/>
        <w:rPr>
          <w:rFonts w:ascii="Calibri" w:hAnsi="Calibri" w:cs="Calibri"/>
          <w:lang w:val="en-GB"/>
        </w:rPr>
      </w:pPr>
    </w:p>
    <w:p w14:paraId="587ACB3E" w14:textId="77777777" w:rsidR="00667569" w:rsidRDefault="00667569" w:rsidP="0058551D">
      <w:pPr>
        <w:pStyle w:val="AnnexTitle"/>
        <w:rPr>
          <w:rFonts w:ascii="Calibri" w:hAnsi="Calibri" w:cs="Calibri"/>
          <w:lang w:val="en-GB"/>
        </w:rPr>
      </w:pPr>
    </w:p>
    <w:p w14:paraId="5378196B" w14:textId="77777777" w:rsidR="00667569" w:rsidRDefault="00667569" w:rsidP="0058551D">
      <w:pPr>
        <w:pStyle w:val="AnnexTitle"/>
        <w:rPr>
          <w:rFonts w:ascii="Calibri" w:hAnsi="Calibri" w:cs="Calibri"/>
          <w:lang w:val="en-GB"/>
        </w:rPr>
      </w:pPr>
    </w:p>
    <w:p w14:paraId="1A2944D3" w14:textId="77777777" w:rsidR="00667569" w:rsidRDefault="00667569" w:rsidP="0058551D">
      <w:pPr>
        <w:pStyle w:val="AnnexTitle"/>
        <w:rPr>
          <w:rFonts w:ascii="Calibri" w:hAnsi="Calibri" w:cs="Calibri"/>
          <w:lang w:val="en-GB"/>
        </w:rPr>
      </w:pPr>
    </w:p>
    <w:p w14:paraId="4E2B180E" w14:textId="77777777" w:rsidR="00667569" w:rsidRDefault="00667569" w:rsidP="0058551D">
      <w:pPr>
        <w:pStyle w:val="AnnexTitle"/>
        <w:rPr>
          <w:rFonts w:ascii="Calibri" w:hAnsi="Calibri" w:cs="Calibri"/>
          <w:lang w:val="en-GB"/>
        </w:rPr>
      </w:pPr>
    </w:p>
    <w:p w14:paraId="3E7A2A65" w14:textId="77777777" w:rsidR="00667569" w:rsidRDefault="00667569" w:rsidP="0058551D">
      <w:pPr>
        <w:pStyle w:val="AnnexTitle"/>
        <w:rPr>
          <w:rFonts w:ascii="Calibri" w:hAnsi="Calibri" w:cs="Calibri"/>
          <w:lang w:val="en-GB"/>
        </w:rPr>
      </w:pPr>
    </w:p>
    <w:p w14:paraId="2D819D08" w14:textId="77777777" w:rsidR="00667569" w:rsidRDefault="00667569" w:rsidP="0058551D">
      <w:pPr>
        <w:pStyle w:val="AnnexTitle"/>
        <w:rPr>
          <w:rFonts w:ascii="Calibri" w:hAnsi="Calibri" w:cs="Calibri"/>
          <w:lang w:val="en-GB"/>
        </w:rPr>
      </w:pPr>
    </w:p>
    <w:p w14:paraId="12DE9BE4" w14:textId="77777777" w:rsidR="00667569" w:rsidRDefault="00667569" w:rsidP="0058551D">
      <w:pPr>
        <w:pStyle w:val="AnnexTitle"/>
        <w:rPr>
          <w:rFonts w:ascii="Calibri" w:hAnsi="Calibri" w:cs="Calibri"/>
          <w:lang w:val="en-GB"/>
        </w:rPr>
      </w:pPr>
    </w:p>
    <w:p w14:paraId="3F2A10EC" w14:textId="77777777" w:rsidR="00667569" w:rsidRDefault="00667569" w:rsidP="0058551D">
      <w:pPr>
        <w:pStyle w:val="AnnexTitle"/>
        <w:rPr>
          <w:rFonts w:ascii="Calibri" w:hAnsi="Calibri" w:cs="Calibri"/>
          <w:lang w:val="en-GB"/>
        </w:rPr>
      </w:pPr>
    </w:p>
    <w:p w14:paraId="37688967" w14:textId="77777777" w:rsidR="00667569" w:rsidRDefault="00667569" w:rsidP="0058551D">
      <w:pPr>
        <w:pStyle w:val="AnnexTitle"/>
        <w:rPr>
          <w:rFonts w:ascii="Calibri" w:hAnsi="Calibri" w:cs="Calibri"/>
          <w:lang w:val="en-GB"/>
        </w:rPr>
      </w:pPr>
    </w:p>
    <w:p w14:paraId="0DEFDA31" w14:textId="77777777" w:rsidR="00667569" w:rsidRDefault="00667569" w:rsidP="0058551D">
      <w:pPr>
        <w:pStyle w:val="AnnexTitle"/>
        <w:rPr>
          <w:rFonts w:ascii="Calibri" w:hAnsi="Calibri" w:cs="Calibri"/>
          <w:lang w:val="en-GB"/>
        </w:rPr>
      </w:pPr>
    </w:p>
    <w:p w14:paraId="19115E44" w14:textId="77777777" w:rsidR="00667569" w:rsidRDefault="00667569" w:rsidP="0058551D">
      <w:pPr>
        <w:pStyle w:val="AnnexTitle"/>
        <w:rPr>
          <w:rFonts w:ascii="Calibri" w:hAnsi="Calibri" w:cs="Calibri"/>
          <w:lang w:val="en-GB"/>
        </w:rPr>
      </w:pPr>
    </w:p>
    <w:p w14:paraId="7CA6E879" w14:textId="77777777" w:rsidR="00667569" w:rsidRDefault="00667569" w:rsidP="0058551D">
      <w:pPr>
        <w:pStyle w:val="AnnexTitle"/>
        <w:rPr>
          <w:rFonts w:ascii="Calibri" w:hAnsi="Calibri" w:cs="Calibri"/>
          <w:lang w:val="en-GB"/>
        </w:rPr>
      </w:pPr>
    </w:p>
    <w:p w14:paraId="4377E770" w14:textId="77777777" w:rsidR="00667569" w:rsidRDefault="00667569" w:rsidP="0058551D">
      <w:pPr>
        <w:pStyle w:val="AnnexTitle"/>
        <w:rPr>
          <w:rFonts w:ascii="Calibri" w:hAnsi="Calibri" w:cs="Calibri"/>
          <w:lang w:val="en-GB"/>
        </w:rPr>
      </w:pPr>
    </w:p>
    <w:p w14:paraId="34974F15" w14:textId="77777777" w:rsidR="00667569" w:rsidRDefault="00667569" w:rsidP="0058551D">
      <w:pPr>
        <w:pStyle w:val="AnnexTitle"/>
        <w:rPr>
          <w:rFonts w:ascii="Calibri" w:hAnsi="Calibri" w:cs="Calibri"/>
          <w:lang w:val="en-GB"/>
        </w:rPr>
      </w:pPr>
    </w:p>
    <w:p w14:paraId="41FF4AB9" w14:textId="77777777" w:rsidR="00667569" w:rsidRDefault="00667569" w:rsidP="0058551D">
      <w:pPr>
        <w:pStyle w:val="AnnexTitle"/>
        <w:rPr>
          <w:rFonts w:ascii="Calibri" w:hAnsi="Calibri" w:cs="Calibri"/>
          <w:lang w:val="en-GB"/>
        </w:rPr>
      </w:pPr>
    </w:p>
    <w:p w14:paraId="7D35DB9C" w14:textId="77777777" w:rsidR="00667569" w:rsidRDefault="00667569" w:rsidP="0058551D">
      <w:pPr>
        <w:pStyle w:val="AnnexTitle"/>
        <w:rPr>
          <w:rFonts w:ascii="Calibri" w:hAnsi="Calibri" w:cs="Calibri"/>
          <w:lang w:val="en-GB"/>
        </w:rPr>
      </w:pPr>
    </w:p>
    <w:p w14:paraId="531087F8" w14:textId="77777777" w:rsidR="00667569" w:rsidRDefault="00667569" w:rsidP="0058551D">
      <w:pPr>
        <w:pStyle w:val="AnnexTitle"/>
        <w:rPr>
          <w:rFonts w:ascii="Calibri" w:hAnsi="Calibri" w:cs="Calibri"/>
          <w:lang w:val="en-GB"/>
        </w:rPr>
      </w:pPr>
    </w:p>
    <w:p w14:paraId="0D6A18E3" w14:textId="77777777" w:rsidR="00667569" w:rsidRDefault="00667569" w:rsidP="0058551D">
      <w:pPr>
        <w:pStyle w:val="AnnexTitle"/>
        <w:rPr>
          <w:rFonts w:ascii="Calibri" w:hAnsi="Calibri" w:cs="Calibri"/>
          <w:lang w:val="en-GB"/>
        </w:rPr>
      </w:pPr>
    </w:p>
    <w:p w14:paraId="30214DA9" w14:textId="77777777" w:rsidR="00667569" w:rsidRDefault="00667569" w:rsidP="0058551D">
      <w:pPr>
        <w:pStyle w:val="AnnexTitle"/>
        <w:rPr>
          <w:rFonts w:ascii="Calibri" w:hAnsi="Calibri" w:cs="Calibri"/>
          <w:lang w:val="en-GB"/>
        </w:rPr>
      </w:pPr>
    </w:p>
    <w:p w14:paraId="7519838B" w14:textId="77777777" w:rsidR="00667569" w:rsidRDefault="00667569" w:rsidP="0058551D">
      <w:pPr>
        <w:pStyle w:val="AnnexTitle"/>
        <w:rPr>
          <w:rFonts w:ascii="Calibri" w:hAnsi="Calibri" w:cs="Calibri"/>
          <w:lang w:val="en-GB"/>
        </w:rPr>
      </w:pPr>
    </w:p>
    <w:p w14:paraId="7FDF2163" w14:textId="77777777" w:rsidR="00667569" w:rsidRDefault="00667569" w:rsidP="0058551D">
      <w:pPr>
        <w:pStyle w:val="AnnexTitle"/>
        <w:rPr>
          <w:rFonts w:ascii="Calibri" w:hAnsi="Calibri" w:cs="Calibri"/>
          <w:lang w:val="en-GB"/>
        </w:rPr>
      </w:pPr>
    </w:p>
    <w:p w14:paraId="584DD5AD" w14:textId="77777777" w:rsidR="00667569" w:rsidRDefault="00667569" w:rsidP="0058551D">
      <w:pPr>
        <w:pStyle w:val="AnnexTitle"/>
        <w:rPr>
          <w:rFonts w:ascii="Calibri" w:hAnsi="Calibri" w:cs="Calibri"/>
          <w:lang w:val="en-GB"/>
        </w:rPr>
      </w:pPr>
    </w:p>
    <w:p w14:paraId="6FE47DC5" w14:textId="77777777" w:rsidR="00667569" w:rsidRDefault="00667569" w:rsidP="0058551D">
      <w:pPr>
        <w:pStyle w:val="AnnexTitle"/>
        <w:rPr>
          <w:rFonts w:ascii="Calibri" w:hAnsi="Calibri" w:cs="Calibri"/>
          <w:lang w:val="en-GB"/>
        </w:rPr>
      </w:pPr>
    </w:p>
    <w:p w14:paraId="16C7B037" w14:textId="77777777" w:rsidR="00667569" w:rsidRDefault="00667569" w:rsidP="0058551D">
      <w:pPr>
        <w:pStyle w:val="AnnexTitle"/>
        <w:rPr>
          <w:rFonts w:ascii="Calibri" w:hAnsi="Calibri" w:cs="Calibri"/>
          <w:lang w:val="en-GB"/>
        </w:rPr>
      </w:pPr>
    </w:p>
    <w:p w14:paraId="2FDC98C9" w14:textId="77777777" w:rsidR="00667569" w:rsidRDefault="00667569" w:rsidP="0058551D">
      <w:pPr>
        <w:pStyle w:val="AnnexTitle"/>
        <w:rPr>
          <w:rFonts w:ascii="Calibri" w:hAnsi="Calibri" w:cs="Calibri"/>
          <w:lang w:val="en-GB"/>
        </w:rPr>
      </w:pPr>
    </w:p>
    <w:p w14:paraId="318CAA89" w14:textId="77777777" w:rsidR="00667569" w:rsidRDefault="00667569" w:rsidP="0058551D">
      <w:pPr>
        <w:pStyle w:val="AnnexTitle"/>
        <w:rPr>
          <w:rFonts w:ascii="Calibri" w:hAnsi="Calibri" w:cs="Calibri"/>
          <w:lang w:val="en-GB"/>
        </w:rPr>
      </w:pPr>
    </w:p>
    <w:p w14:paraId="01F70557" w14:textId="77777777" w:rsidR="00667569" w:rsidRDefault="00667569" w:rsidP="0058551D">
      <w:pPr>
        <w:pStyle w:val="AnnexTitle"/>
        <w:rPr>
          <w:rFonts w:ascii="Calibri" w:hAnsi="Calibri" w:cs="Calibri"/>
          <w:lang w:val="en-GB"/>
        </w:rPr>
      </w:pPr>
    </w:p>
    <w:p w14:paraId="682763CE" w14:textId="77777777" w:rsidR="00667569" w:rsidRDefault="00667569" w:rsidP="0058551D">
      <w:pPr>
        <w:pStyle w:val="AnnexTitle"/>
        <w:rPr>
          <w:rFonts w:ascii="Calibri" w:hAnsi="Calibri" w:cs="Calibri"/>
          <w:lang w:val="en-GB"/>
        </w:rPr>
      </w:pPr>
    </w:p>
    <w:p w14:paraId="53B83B84" w14:textId="68177B12" w:rsidR="0058551D" w:rsidRPr="00D06C34" w:rsidRDefault="0058551D" w:rsidP="0058551D">
      <w:pPr>
        <w:pStyle w:val="AnnexTitle"/>
        <w:rPr>
          <w:rFonts w:ascii="Calibri" w:hAnsi="Calibri" w:cs="Calibri"/>
          <w:b w:val="0"/>
          <w:szCs w:val="20"/>
          <w:lang w:val="en-GB"/>
        </w:rPr>
      </w:pPr>
      <w:bookmarkStart w:id="191" w:name="APP11"/>
      <w:bookmarkStart w:id="192" w:name="_Toc210218025"/>
      <w:r w:rsidRPr="00D06C34">
        <w:rPr>
          <w:rFonts w:ascii="Calibri" w:hAnsi="Calibri" w:cs="Calibri"/>
          <w:lang w:val="en-GB"/>
        </w:rPr>
        <w:lastRenderedPageBreak/>
        <w:t>Appendix X</w:t>
      </w:r>
      <w:r w:rsidR="00520E39">
        <w:rPr>
          <w:rFonts w:ascii="Calibri" w:hAnsi="Calibri" w:cs="Calibri"/>
          <w:lang w:val="en-GB"/>
        </w:rPr>
        <w:t>I</w:t>
      </w:r>
      <w:bookmarkEnd w:id="191"/>
      <w:r w:rsidRPr="00D06C34">
        <w:rPr>
          <w:rFonts w:ascii="Calibri" w:hAnsi="Calibri" w:cs="Calibri"/>
          <w:lang w:val="en-GB"/>
        </w:rPr>
        <w:br/>
        <w:t xml:space="preserve">Consolidated recommendations of the </w:t>
      </w:r>
      <w:r w:rsidR="00E64C70" w:rsidRPr="00D06C34">
        <w:rPr>
          <w:rFonts w:ascii="Calibri" w:hAnsi="Calibri" w:cs="Calibri"/>
          <w:lang w:val="en-GB"/>
        </w:rPr>
        <w:t>2</w:t>
      </w:r>
      <w:r w:rsidR="0073031C">
        <w:rPr>
          <w:rFonts w:ascii="Calibri" w:hAnsi="Calibri" w:cs="Calibri"/>
          <w:lang w:val="en-GB"/>
        </w:rPr>
        <w:t>3</w:t>
      </w:r>
      <w:r w:rsidR="0073031C">
        <w:rPr>
          <w:rFonts w:ascii="Calibri" w:hAnsi="Calibri" w:cs="Calibri"/>
          <w:vertAlign w:val="superscript"/>
          <w:lang w:val="en-GB"/>
        </w:rPr>
        <w:t>r</w:t>
      </w:r>
      <w:r w:rsidR="00566B47">
        <w:rPr>
          <w:rFonts w:ascii="Calibri" w:hAnsi="Calibri" w:cs="Calibri"/>
          <w:vertAlign w:val="superscript"/>
          <w:lang w:val="en-GB"/>
        </w:rPr>
        <w:t>d</w:t>
      </w:r>
      <w:r w:rsidR="00D06C34" w:rsidRPr="00D06C34">
        <w:rPr>
          <w:rFonts w:ascii="Calibri" w:hAnsi="Calibri" w:cs="Calibri"/>
          <w:lang w:val="en-GB"/>
        </w:rPr>
        <w:t xml:space="preserve"> </w:t>
      </w:r>
      <w:r w:rsidRPr="00D06C34">
        <w:rPr>
          <w:rFonts w:ascii="Calibri" w:hAnsi="Calibri" w:cs="Calibri"/>
          <w:lang w:val="en-GB"/>
        </w:rPr>
        <w:t>Session of the Working Party on Billfish</w:t>
      </w:r>
      <w:bookmarkEnd w:id="192"/>
    </w:p>
    <w:p w14:paraId="608F0913" w14:textId="1918E4E0" w:rsidR="006A7F45" w:rsidRPr="006A7F45" w:rsidRDefault="006A7F45" w:rsidP="006A7F45">
      <w:pPr>
        <w:pStyle w:val="IOTCsubheading2"/>
        <w:numPr>
          <w:ilvl w:val="0"/>
          <w:numId w:val="0"/>
        </w:numPr>
        <w:spacing w:before="240"/>
        <w:jc w:val="both"/>
        <w:rPr>
          <w:rFonts w:ascii="Calibri" w:hAnsi="Calibri" w:cs="Calibri"/>
        </w:rPr>
      </w:pPr>
      <w:r w:rsidRPr="00D7335E">
        <w:rPr>
          <w:rFonts w:ascii="Calibri" w:hAnsi="Calibri" w:cs="Calibri"/>
        </w:rPr>
        <w:t xml:space="preserve">Review of new information on the status of </w:t>
      </w:r>
      <w:r w:rsidRPr="00800F2D">
        <w:rPr>
          <w:rFonts w:ascii="Calibri" w:hAnsi="Calibri" w:cs="Calibri"/>
        </w:rPr>
        <w:t>blue marlin and Indo Pacific sailfish</w:t>
      </w:r>
    </w:p>
    <w:p w14:paraId="6A5C0740" w14:textId="77777777" w:rsidR="006A7F45" w:rsidRPr="00CA2B35" w:rsidRDefault="006A7F45" w:rsidP="006A7F45">
      <w:pPr>
        <w:pStyle w:val="IOTCReportNormalNumbered"/>
        <w:numPr>
          <w:ilvl w:val="0"/>
          <w:numId w:val="0"/>
        </w:numPr>
        <w:ind w:left="502" w:hanging="502"/>
        <w:rPr>
          <w:rFonts w:ascii="Calibri" w:hAnsi="Calibri" w:cs="Calibri"/>
        </w:rPr>
      </w:pPr>
      <w:r w:rsidRPr="00CA2B35">
        <w:rPr>
          <w:rFonts w:ascii="Calibri" w:hAnsi="Calibri" w:cs="Calibri"/>
          <w:color w:val="000000" w:themeColor="text1"/>
        </w:rPr>
        <w:t>WPB23.01 (</w:t>
      </w:r>
      <w:r w:rsidRPr="00CA2B35">
        <w:rPr>
          <w:rFonts w:ascii="Calibri" w:hAnsi="Calibri" w:cs="Calibri"/>
        </w:rPr>
        <w:t>para 90</w:t>
      </w:r>
      <w:r w:rsidRPr="00CA2B35">
        <w:rPr>
          <w:rFonts w:ascii="Calibri" w:hAnsi="Calibri" w:cs="Calibri"/>
          <w:color w:val="000000" w:themeColor="text1"/>
        </w:rPr>
        <w:t xml:space="preserve">): The WPB </w:t>
      </w:r>
      <w:r w:rsidRPr="009658D4">
        <w:rPr>
          <w:rFonts w:ascii="Calibri" w:hAnsi="Calibri" w:cs="Calibri"/>
          <w:b/>
          <w:bCs/>
          <w:color w:val="000000" w:themeColor="text1"/>
        </w:rPr>
        <w:t>NOTED</w:t>
      </w:r>
      <w:r w:rsidRPr="00CA2B35">
        <w:rPr>
          <w:rFonts w:ascii="Calibri" w:hAnsi="Calibri" w:cs="Calibri"/>
          <w:color w:val="000000" w:themeColor="text1"/>
        </w:rPr>
        <w:t xml:space="preserve"> that, for several years, joint analyses combining catch and effort data from major longline fleets have been proposed to improve the CPUE index for billfish species, and that the WPEB recommended investigating methods to compare CPUE indices across fleets and to develop joint CPUE indices for bycatch species. The WPB also </w:t>
      </w:r>
      <w:r w:rsidRPr="009658D4">
        <w:rPr>
          <w:rFonts w:ascii="Calibri" w:hAnsi="Calibri" w:cs="Calibri"/>
          <w:b/>
          <w:bCs/>
          <w:color w:val="000000" w:themeColor="text1"/>
        </w:rPr>
        <w:t>NOTED</w:t>
      </w:r>
      <w:r w:rsidRPr="00CA2B35">
        <w:rPr>
          <w:rFonts w:ascii="Calibri" w:hAnsi="Calibri" w:cs="Calibri"/>
          <w:color w:val="000000" w:themeColor="text1"/>
        </w:rPr>
        <w:t xml:space="preserve"> that these suggestions are based on a methodological perspective that such analyses could harmonize standardization methods, reconcile conflicts between indices developed from different fleets, and potentially produce more robust indices with broader spatial and temporal coverage. The WPB further </w:t>
      </w:r>
      <w:r w:rsidRPr="009658D4">
        <w:rPr>
          <w:rFonts w:ascii="Calibri" w:hAnsi="Calibri" w:cs="Calibri"/>
          <w:b/>
          <w:bCs/>
          <w:color w:val="000000" w:themeColor="text1"/>
        </w:rPr>
        <w:t>NOTED</w:t>
      </w:r>
      <w:r w:rsidRPr="00CA2B35">
        <w:rPr>
          <w:rFonts w:ascii="Calibri" w:hAnsi="Calibri" w:cs="Calibri"/>
          <w:color w:val="000000" w:themeColor="text1"/>
        </w:rPr>
        <w:t xml:space="preserve"> that it is at the discretion of CPCs to determine the feasibility of such collaboration, considering data confidentiality agreements and other logistical arrangements. The WPB </w:t>
      </w:r>
      <w:r w:rsidRPr="00254151">
        <w:rPr>
          <w:rFonts w:ascii="Calibri" w:hAnsi="Calibri" w:cs="Calibri"/>
          <w:b/>
          <w:bCs/>
          <w:color w:val="000000" w:themeColor="text1"/>
        </w:rPr>
        <w:t>AGREED</w:t>
      </w:r>
      <w:r w:rsidRPr="00CA2B35">
        <w:rPr>
          <w:rFonts w:ascii="Calibri" w:hAnsi="Calibri" w:cs="Calibri"/>
          <w:color w:val="000000" w:themeColor="text1"/>
        </w:rPr>
        <w:t xml:space="preserve"> on the importance of establishing a process to discuss how to move forward. Noting that joint CPUE analysis arrangements already exist for the standardization of tropical and temperate tuna, the WPB </w:t>
      </w:r>
      <w:r w:rsidRPr="009658D4">
        <w:rPr>
          <w:rFonts w:ascii="Calibri" w:hAnsi="Calibri" w:cs="Calibri"/>
          <w:b/>
          <w:bCs/>
          <w:color w:val="000000" w:themeColor="text1"/>
        </w:rPr>
        <w:t>RECOMMENDED</w:t>
      </w:r>
      <w:r w:rsidRPr="00CA2B35">
        <w:rPr>
          <w:rFonts w:ascii="Calibri" w:hAnsi="Calibri" w:cs="Calibri"/>
          <w:color w:val="000000" w:themeColor="text1"/>
        </w:rPr>
        <w:t xml:space="preserve"> that the SC advise the Commission to urge CPCs to explore ways to extend joint analyses to bycatch species, such as marlins.</w:t>
      </w:r>
    </w:p>
    <w:p w14:paraId="678F0AEC" w14:textId="77777777" w:rsidR="006A7F45" w:rsidRDefault="006A7F45" w:rsidP="006A7F45">
      <w:pPr>
        <w:pStyle w:val="IOTCReportNormalNumbered"/>
        <w:numPr>
          <w:ilvl w:val="0"/>
          <w:numId w:val="0"/>
        </w:numPr>
        <w:ind w:left="502" w:hanging="502"/>
        <w:rPr>
          <w:rFonts w:ascii="Calibri" w:hAnsi="Calibri" w:cs="Calibri"/>
          <w:color w:val="000000" w:themeColor="text1"/>
        </w:rPr>
      </w:pPr>
      <w:r w:rsidRPr="00CA2B35">
        <w:rPr>
          <w:rFonts w:ascii="Calibri" w:hAnsi="Calibri" w:cs="Calibri"/>
          <w:color w:val="000000" w:themeColor="text1"/>
        </w:rPr>
        <w:t>WPB23.0</w:t>
      </w:r>
      <w:r>
        <w:rPr>
          <w:rFonts w:ascii="Calibri" w:hAnsi="Calibri" w:cs="Calibri"/>
          <w:color w:val="000000" w:themeColor="text1"/>
        </w:rPr>
        <w:t>2</w:t>
      </w:r>
      <w:r w:rsidRPr="00CA2B35">
        <w:rPr>
          <w:rFonts w:ascii="Calibri" w:hAnsi="Calibri" w:cs="Calibri"/>
          <w:color w:val="000000" w:themeColor="text1"/>
        </w:rPr>
        <w:t xml:space="preserve"> (para 92): Following these discussions, the author of document </w:t>
      </w:r>
      <w:hyperlink r:id="rId101" w:history="1">
        <w:r w:rsidRPr="00CA2B35">
          <w:rPr>
            <w:rFonts w:ascii="Calibri" w:hAnsi="Calibri" w:cs="Calibri"/>
            <w:color w:val="000000" w:themeColor="text1"/>
          </w:rPr>
          <w:t>IOTC-2025-WPB23-16</w:t>
        </w:r>
      </w:hyperlink>
      <w:r w:rsidRPr="00CA2B35">
        <w:rPr>
          <w:rFonts w:ascii="Calibri" w:hAnsi="Calibri" w:cs="Calibri"/>
          <w:color w:val="000000" w:themeColor="text1"/>
        </w:rPr>
        <w:t xml:space="preserve"> tentatively drafted Guidelines for Longline CPUE Standardization (</w:t>
      </w:r>
      <w:hyperlink w:anchor="APP9" w:history="1">
        <w:r w:rsidRPr="00CA2B35">
          <w:rPr>
            <w:rFonts w:ascii="Calibri" w:hAnsi="Calibri" w:cs="Calibri"/>
            <w:color w:val="000000" w:themeColor="text1"/>
          </w:rPr>
          <w:t>Appendix IX</w:t>
        </w:r>
      </w:hyperlink>
      <w:r w:rsidRPr="00CA2B35">
        <w:rPr>
          <w:rFonts w:ascii="Calibri" w:hAnsi="Calibri" w:cs="Calibri"/>
          <w:color w:val="000000" w:themeColor="text1"/>
        </w:rPr>
        <w:t xml:space="preserve">). The WPB </w:t>
      </w:r>
      <w:r w:rsidRPr="009658D4">
        <w:rPr>
          <w:rFonts w:ascii="Calibri" w:hAnsi="Calibri" w:cs="Calibri"/>
          <w:b/>
          <w:bCs/>
          <w:color w:val="000000" w:themeColor="text1"/>
        </w:rPr>
        <w:t>RECOMMENDED</w:t>
      </w:r>
      <w:r w:rsidRPr="00CA2B35">
        <w:rPr>
          <w:rFonts w:ascii="Calibri" w:hAnsi="Calibri" w:cs="Calibri"/>
          <w:color w:val="000000" w:themeColor="text1"/>
        </w:rPr>
        <w:t xml:space="preserve"> that the SC review and further develop these guidelines for potential adoption in the future.</w:t>
      </w:r>
    </w:p>
    <w:p w14:paraId="75A2F66B" w14:textId="77777777" w:rsidR="006A7F45" w:rsidRPr="00195B1B" w:rsidRDefault="006A7F45" w:rsidP="006A7F45">
      <w:pPr>
        <w:pStyle w:val="IOTCReportNormalNumbered"/>
        <w:numPr>
          <w:ilvl w:val="0"/>
          <w:numId w:val="0"/>
        </w:numPr>
        <w:ind w:left="502" w:hanging="502"/>
        <w:rPr>
          <w:rFonts w:ascii="Calibri" w:hAnsi="Calibri" w:cs="Calibri"/>
          <w:color w:val="000000" w:themeColor="text1"/>
        </w:rPr>
      </w:pPr>
      <w:r w:rsidRPr="00CA2B35">
        <w:rPr>
          <w:rFonts w:ascii="Calibri" w:hAnsi="Calibri" w:cs="Calibri"/>
          <w:color w:val="000000" w:themeColor="text1"/>
        </w:rPr>
        <w:t>WPB23.0</w:t>
      </w:r>
      <w:r>
        <w:rPr>
          <w:rFonts w:ascii="Calibri" w:hAnsi="Calibri" w:cs="Calibri"/>
          <w:color w:val="000000" w:themeColor="text1"/>
        </w:rPr>
        <w:t>3</w:t>
      </w:r>
      <w:r w:rsidRPr="00CA2B35">
        <w:rPr>
          <w:rFonts w:ascii="Calibri" w:hAnsi="Calibri" w:cs="Calibri"/>
          <w:color w:val="000000" w:themeColor="text1"/>
        </w:rPr>
        <w:t xml:space="preserve"> (para </w:t>
      </w:r>
      <w:r>
        <w:rPr>
          <w:rFonts w:ascii="Calibri" w:hAnsi="Calibri" w:cs="Calibri"/>
          <w:color w:val="000000" w:themeColor="text1"/>
        </w:rPr>
        <w:t>138</w:t>
      </w:r>
      <w:r w:rsidRPr="00CA2B35">
        <w:rPr>
          <w:rFonts w:ascii="Calibri" w:hAnsi="Calibri" w:cs="Calibri"/>
          <w:color w:val="000000" w:themeColor="text1"/>
        </w:rPr>
        <w:t xml:space="preserve">): </w:t>
      </w:r>
      <w:r w:rsidRPr="00195B1B">
        <w:rPr>
          <w:rFonts w:ascii="Calibri" w:hAnsi="Calibri" w:cs="Calibri"/>
          <w:b/>
          <w:bCs/>
          <w:color w:val="000000" w:themeColor="text1"/>
        </w:rPr>
        <w:t>NOTING</w:t>
      </w:r>
      <w:r w:rsidRPr="00195B1B">
        <w:rPr>
          <w:rFonts w:ascii="Calibri" w:hAnsi="Calibri" w:cs="Calibri"/>
          <w:color w:val="000000" w:themeColor="text1"/>
        </w:rPr>
        <w:t xml:space="preserve"> that the methodology was not reviewed prior to the 2025 assessment, and NOTING concern from the WPB, the WPB </w:t>
      </w:r>
      <w:r w:rsidRPr="00195B1B">
        <w:rPr>
          <w:rFonts w:ascii="Calibri" w:hAnsi="Calibri" w:cs="Calibri"/>
          <w:b/>
          <w:bCs/>
          <w:color w:val="000000" w:themeColor="text1"/>
        </w:rPr>
        <w:t>RECOMMENDED</w:t>
      </w:r>
      <w:r w:rsidRPr="00195B1B">
        <w:rPr>
          <w:rFonts w:ascii="Calibri" w:hAnsi="Calibri" w:cs="Calibri"/>
          <w:color w:val="000000" w:themeColor="text1"/>
        </w:rPr>
        <w:t xml:space="preserve"> that simulation testing be carried out prior to the next WPB in 2026 to understand whether the SPR index can be used as an abundance index in the JABBA model.</w:t>
      </w:r>
    </w:p>
    <w:p w14:paraId="07D45C4A" w14:textId="77777777" w:rsidR="006A7F45" w:rsidRDefault="006A7F45" w:rsidP="006A7F45">
      <w:pPr>
        <w:pStyle w:val="IOTCReportNormalNumbered"/>
        <w:numPr>
          <w:ilvl w:val="0"/>
          <w:numId w:val="0"/>
        </w:numPr>
        <w:ind w:left="502" w:hanging="502"/>
        <w:rPr>
          <w:rFonts w:ascii="Calibri" w:hAnsi="Calibri" w:cs="Calibri"/>
          <w:color w:val="000000" w:themeColor="text1"/>
        </w:rPr>
      </w:pPr>
      <w:r w:rsidRPr="00CA2B35">
        <w:rPr>
          <w:rFonts w:ascii="Calibri" w:hAnsi="Calibri" w:cs="Calibri"/>
          <w:color w:val="000000" w:themeColor="text1"/>
        </w:rPr>
        <w:t>WPB23.0</w:t>
      </w:r>
      <w:r>
        <w:rPr>
          <w:rFonts w:ascii="Calibri" w:hAnsi="Calibri" w:cs="Calibri"/>
          <w:color w:val="000000" w:themeColor="text1"/>
        </w:rPr>
        <w:t>4</w:t>
      </w:r>
      <w:r w:rsidRPr="00CA2B35">
        <w:rPr>
          <w:rFonts w:ascii="Calibri" w:hAnsi="Calibri" w:cs="Calibri"/>
          <w:color w:val="000000" w:themeColor="text1"/>
        </w:rPr>
        <w:t xml:space="preserve"> (para </w:t>
      </w:r>
      <w:r>
        <w:rPr>
          <w:rFonts w:ascii="Calibri" w:hAnsi="Calibri" w:cs="Calibri"/>
          <w:color w:val="000000" w:themeColor="text1"/>
        </w:rPr>
        <w:t>139</w:t>
      </w:r>
      <w:r w:rsidRPr="00CA2B35">
        <w:rPr>
          <w:rFonts w:ascii="Calibri" w:hAnsi="Calibri" w:cs="Calibri"/>
          <w:color w:val="000000" w:themeColor="text1"/>
        </w:rPr>
        <w:t xml:space="preserve">): </w:t>
      </w:r>
      <w:r w:rsidRPr="00195B1B">
        <w:rPr>
          <w:rFonts w:ascii="Calibri" w:hAnsi="Calibri" w:cs="Calibri"/>
          <w:color w:val="000000" w:themeColor="text1"/>
        </w:rPr>
        <w:t xml:space="preserve">The WPB </w:t>
      </w:r>
      <w:r w:rsidRPr="00195B1B">
        <w:rPr>
          <w:rFonts w:ascii="Calibri" w:hAnsi="Calibri" w:cs="Calibri"/>
          <w:b/>
          <w:bCs/>
          <w:color w:val="000000" w:themeColor="text1"/>
        </w:rPr>
        <w:t>RECOMMENDED</w:t>
      </w:r>
      <w:r w:rsidRPr="00195B1B">
        <w:rPr>
          <w:rFonts w:ascii="Calibri" w:hAnsi="Calibri" w:cs="Calibri"/>
          <w:color w:val="000000" w:themeColor="text1"/>
        </w:rPr>
        <w:t xml:space="preserve"> that the stock assessment be revisited at the next WPB after simulation testing has been completed, and an updated stock status be presented to the SC in 2026.</w:t>
      </w:r>
    </w:p>
    <w:p w14:paraId="78E52845" w14:textId="77777777" w:rsidR="006A7F45" w:rsidRPr="002E7E66" w:rsidRDefault="006A7F45" w:rsidP="006A7F45">
      <w:pPr>
        <w:pStyle w:val="IOTCsubheading2"/>
        <w:numPr>
          <w:ilvl w:val="0"/>
          <w:numId w:val="0"/>
        </w:numPr>
        <w:spacing w:before="240"/>
        <w:jc w:val="both"/>
        <w:rPr>
          <w:rFonts w:ascii="Calibri" w:hAnsi="Calibri" w:cs="Calibri"/>
        </w:rPr>
      </w:pPr>
      <w:r w:rsidRPr="006760D1">
        <w:rPr>
          <w:rFonts w:ascii="Calibri" w:hAnsi="Calibri" w:cs="Calibri"/>
        </w:rPr>
        <w:t>Resolution 18/05 Catch Limits</w:t>
      </w:r>
    </w:p>
    <w:p w14:paraId="0A46D169" w14:textId="691EAD4B" w:rsidR="006A7F45" w:rsidRPr="00652C15" w:rsidRDefault="006A7F45" w:rsidP="006A7F45">
      <w:pPr>
        <w:pStyle w:val="IOTCReportNormalNumbered"/>
        <w:numPr>
          <w:ilvl w:val="0"/>
          <w:numId w:val="0"/>
        </w:numPr>
        <w:ind w:left="502" w:hanging="502"/>
        <w:rPr>
          <w:rFonts w:ascii="Calibri" w:hAnsi="Calibri" w:cs="Calibri"/>
          <w:color w:val="000000" w:themeColor="text1"/>
        </w:rPr>
      </w:pPr>
      <w:r w:rsidRPr="00CA2B35">
        <w:rPr>
          <w:rFonts w:ascii="Calibri" w:hAnsi="Calibri" w:cs="Calibri"/>
          <w:color w:val="000000" w:themeColor="text1"/>
        </w:rPr>
        <w:t>WPB23.0</w:t>
      </w:r>
      <w:r>
        <w:rPr>
          <w:rFonts w:ascii="Calibri" w:hAnsi="Calibri" w:cs="Calibri"/>
          <w:color w:val="000000" w:themeColor="text1"/>
        </w:rPr>
        <w:t>5</w:t>
      </w:r>
      <w:r w:rsidRPr="00CA2B35">
        <w:rPr>
          <w:rFonts w:ascii="Calibri" w:hAnsi="Calibri" w:cs="Calibri"/>
          <w:color w:val="000000" w:themeColor="text1"/>
        </w:rPr>
        <w:t xml:space="preserve"> (para </w:t>
      </w:r>
      <w:r>
        <w:rPr>
          <w:rFonts w:ascii="Calibri" w:hAnsi="Calibri" w:cs="Calibri"/>
          <w:color w:val="000000" w:themeColor="text1"/>
        </w:rPr>
        <w:t>16</w:t>
      </w:r>
      <w:r w:rsidR="00F5343F">
        <w:rPr>
          <w:rFonts w:ascii="Calibri" w:hAnsi="Calibri" w:cs="Calibri"/>
          <w:color w:val="000000" w:themeColor="text1"/>
        </w:rPr>
        <w:t>6</w:t>
      </w:r>
      <w:r w:rsidRPr="00CA2B35">
        <w:rPr>
          <w:rFonts w:ascii="Calibri" w:hAnsi="Calibri" w:cs="Calibri"/>
          <w:color w:val="000000" w:themeColor="text1"/>
        </w:rPr>
        <w:t xml:space="preserve">): </w:t>
      </w:r>
      <w:r w:rsidRPr="00652C15">
        <w:rPr>
          <w:rFonts w:ascii="Calibri" w:hAnsi="Calibri" w:cs="Calibri"/>
          <w:b/>
          <w:bCs/>
          <w:color w:val="000000" w:themeColor="text1"/>
        </w:rPr>
        <w:t>NOTING</w:t>
      </w:r>
      <w:r w:rsidRPr="00652C15">
        <w:rPr>
          <w:rFonts w:ascii="Calibri" w:hAnsi="Calibri" w:cs="Calibri"/>
          <w:color w:val="000000" w:themeColor="text1"/>
        </w:rPr>
        <w:t xml:space="preserve"> the necessity to gather information to enable the development of advice relating to a range of potential management measures to complement the commonly used CPC based catch advice, the WPB </w:t>
      </w:r>
      <w:r w:rsidRPr="006D272D">
        <w:rPr>
          <w:rFonts w:ascii="Calibri" w:hAnsi="Calibri" w:cs="Calibri"/>
          <w:b/>
          <w:bCs/>
          <w:color w:val="000000" w:themeColor="text1"/>
        </w:rPr>
        <w:t>RECOMMEND</w:t>
      </w:r>
      <w:r>
        <w:rPr>
          <w:rFonts w:ascii="Calibri" w:hAnsi="Calibri" w:cs="Calibri"/>
          <w:b/>
          <w:bCs/>
          <w:color w:val="000000" w:themeColor="text1"/>
        </w:rPr>
        <w:t>ED</w:t>
      </w:r>
      <w:r w:rsidRPr="00652C15">
        <w:rPr>
          <w:rFonts w:ascii="Calibri" w:hAnsi="Calibri" w:cs="Calibri"/>
          <w:color w:val="000000" w:themeColor="text1"/>
        </w:rPr>
        <w:t xml:space="preserve"> that the Scientific Committee </w:t>
      </w:r>
      <w:r w:rsidRPr="006D272D">
        <w:rPr>
          <w:rFonts w:ascii="Calibri" w:hAnsi="Calibri" w:cs="Calibri"/>
          <w:b/>
          <w:bCs/>
          <w:color w:val="000000" w:themeColor="text1"/>
        </w:rPr>
        <w:t>REQUEST</w:t>
      </w:r>
      <w:r w:rsidRPr="00652C15">
        <w:rPr>
          <w:rFonts w:ascii="Calibri" w:hAnsi="Calibri" w:cs="Calibri"/>
          <w:color w:val="000000" w:themeColor="text1"/>
        </w:rPr>
        <w:t>:</w:t>
      </w:r>
    </w:p>
    <w:p w14:paraId="59DC63D0" w14:textId="77777777" w:rsidR="006A7F45" w:rsidRPr="00D719B1" w:rsidRDefault="006A7F45" w:rsidP="0030498D">
      <w:pPr>
        <w:pStyle w:val="ListParagraph"/>
        <w:numPr>
          <w:ilvl w:val="0"/>
          <w:numId w:val="62"/>
        </w:numPr>
        <w:spacing w:after="160" w:line="278" w:lineRule="auto"/>
        <w:jc w:val="both"/>
        <w:rPr>
          <w:rFonts w:ascii="Calibri" w:hAnsi="Calibri" w:cs="Calibri"/>
        </w:rPr>
      </w:pPr>
      <w:r w:rsidRPr="00D719B1">
        <w:rPr>
          <w:rFonts w:ascii="Calibri" w:hAnsi="Calibri" w:cs="Calibri"/>
        </w:rPr>
        <w:t>That the IOTC Secretariat (or alternately CPCs, where the Secretariat does not hold a CPCs relevant data or information) provide summaries of observer data (or logbook data or other relevant information) to WPB pertaining to the following data types for the following fishery types:</w:t>
      </w:r>
    </w:p>
    <w:p w14:paraId="76EE0504" w14:textId="77777777" w:rsidR="006A7F45" w:rsidRPr="00D719B1" w:rsidRDefault="006A7F45" w:rsidP="0030498D">
      <w:pPr>
        <w:pStyle w:val="ListParagraph"/>
        <w:numPr>
          <w:ilvl w:val="1"/>
          <w:numId w:val="62"/>
        </w:numPr>
        <w:spacing w:after="160" w:line="278" w:lineRule="auto"/>
        <w:jc w:val="both"/>
        <w:rPr>
          <w:rFonts w:ascii="Calibri" w:hAnsi="Calibri" w:cs="Calibri"/>
        </w:rPr>
      </w:pPr>
      <w:r w:rsidRPr="00D719B1">
        <w:rPr>
          <w:rFonts w:ascii="Calibri" w:hAnsi="Calibri" w:cs="Calibri"/>
          <w:b/>
          <w:bCs/>
        </w:rPr>
        <w:t>All gear/fishery types</w:t>
      </w:r>
      <w:r w:rsidRPr="00D719B1">
        <w:rPr>
          <w:rFonts w:ascii="Calibri" w:hAnsi="Calibri" w:cs="Calibri"/>
        </w:rPr>
        <w:t xml:space="preserve"> – discarding/retention rates and at-haul mortality (%) for each marlin and sailfish species, by fishery/gear type.</w:t>
      </w:r>
    </w:p>
    <w:p w14:paraId="24435E38" w14:textId="77777777" w:rsidR="006A7F45" w:rsidRPr="00D719B1" w:rsidRDefault="006A7F45" w:rsidP="0030498D">
      <w:pPr>
        <w:pStyle w:val="ListParagraph"/>
        <w:numPr>
          <w:ilvl w:val="1"/>
          <w:numId w:val="62"/>
        </w:numPr>
        <w:spacing w:after="160" w:line="278" w:lineRule="auto"/>
        <w:jc w:val="both"/>
        <w:rPr>
          <w:rFonts w:ascii="Calibri" w:hAnsi="Calibri" w:cs="Calibri"/>
        </w:rPr>
      </w:pPr>
      <w:r w:rsidRPr="00D719B1">
        <w:rPr>
          <w:rFonts w:ascii="Calibri" w:hAnsi="Calibri" w:cs="Calibri"/>
          <w:b/>
          <w:bCs/>
        </w:rPr>
        <w:t>Longline</w:t>
      </w:r>
      <w:r w:rsidRPr="00D719B1">
        <w:rPr>
          <w:rFonts w:ascii="Calibri" w:hAnsi="Calibri" w:cs="Calibri"/>
        </w:rPr>
        <w:t xml:space="preserve"> – proportion of each fleet using different hook types and sizes (Japanese tuna, J hook, Circle hook, other)</w:t>
      </w:r>
    </w:p>
    <w:p w14:paraId="4782563F" w14:textId="77777777" w:rsidR="006A7F45" w:rsidRPr="00D719B1" w:rsidRDefault="006A7F45" w:rsidP="0030498D">
      <w:pPr>
        <w:pStyle w:val="ListParagraph"/>
        <w:numPr>
          <w:ilvl w:val="1"/>
          <w:numId w:val="62"/>
        </w:numPr>
        <w:spacing w:after="160" w:line="278" w:lineRule="auto"/>
        <w:jc w:val="both"/>
        <w:rPr>
          <w:rFonts w:ascii="Calibri" w:hAnsi="Calibri" w:cs="Calibri"/>
        </w:rPr>
      </w:pPr>
      <w:r w:rsidRPr="00D719B1">
        <w:rPr>
          <w:rFonts w:ascii="Calibri" w:hAnsi="Calibri" w:cs="Calibri"/>
          <w:b/>
          <w:bCs/>
        </w:rPr>
        <w:t>Gillnet</w:t>
      </w:r>
      <w:r w:rsidRPr="00D719B1">
        <w:rPr>
          <w:rFonts w:ascii="Calibri" w:hAnsi="Calibri" w:cs="Calibri"/>
        </w:rPr>
        <w:t xml:space="preserve"> – estimate of the proportion of the gillnet fleet using subsurface setting, and if possible, preferred depths used in fishery, and whether the fishery predominantly sets/soaks the gear overnight or through the day (or other)</w:t>
      </w:r>
    </w:p>
    <w:p w14:paraId="6E3388CC" w14:textId="1610973D" w:rsidR="006A7F45" w:rsidRPr="00D719B1" w:rsidRDefault="006A7F45" w:rsidP="0030498D">
      <w:pPr>
        <w:pStyle w:val="ListParagraph"/>
        <w:numPr>
          <w:ilvl w:val="0"/>
          <w:numId w:val="62"/>
        </w:numPr>
        <w:spacing w:after="160" w:line="278" w:lineRule="auto"/>
        <w:jc w:val="both"/>
        <w:rPr>
          <w:rFonts w:ascii="Calibri" w:hAnsi="Calibri" w:cs="Calibri"/>
        </w:rPr>
      </w:pPr>
      <w:r w:rsidRPr="00D719B1">
        <w:rPr>
          <w:rFonts w:ascii="Calibri" w:hAnsi="Calibri" w:cs="Calibri"/>
        </w:rPr>
        <w:t xml:space="preserve">CPCs to consider undertaking </w:t>
      </w:r>
      <w:r w:rsidR="00547362" w:rsidRPr="00D719B1">
        <w:rPr>
          <w:rFonts w:ascii="Calibri" w:hAnsi="Calibri" w:cs="Calibri"/>
        </w:rPr>
        <w:t xml:space="preserve">analyses </w:t>
      </w:r>
      <w:r w:rsidR="00547362">
        <w:rPr>
          <w:rFonts w:ascii="Calibri" w:hAnsi="Calibri" w:cs="Calibri"/>
        </w:rPr>
        <w:t xml:space="preserve">(e.g., </w:t>
      </w:r>
      <w:r w:rsidR="00547362" w:rsidRPr="00D719B1">
        <w:rPr>
          <w:rFonts w:ascii="Calibri" w:hAnsi="Calibri" w:cs="Calibri"/>
        </w:rPr>
        <w:t>model-based</w:t>
      </w:r>
      <w:r w:rsidR="00547362">
        <w:rPr>
          <w:rFonts w:ascii="Calibri" w:hAnsi="Calibri" w:cs="Calibri"/>
        </w:rPr>
        <w:t xml:space="preserve">) </w:t>
      </w:r>
      <w:r w:rsidRPr="00D719B1">
        <w:rPr>
          <w:rFonts w:ascii="Calibri" w:hAnsi="Calibri" w:cs="Calibri"/>
        </w:rPr>
        <w:t>of at-haul mortality, at a longline fleet level (and if possible for troll/handline), to help identify key factors driving at-haul mortality and subsequently, possibly help identify additional options to reduce at haul mortality.</w:t>
      </w:r>
    </w:p>
    <w:p w14:paraId="4A13F91D" w14:textId="77777777" w:rsidR="006A7F45" w:rsidRPr="00D719B1" w:rsidRDefault="006A7F45" w:rsidP="0030498D">
      <w:pPr>
        <w:pStyle w:val="ListParagraph"/>
        <w:numPr>
          <w:ilvl w:val="0"/>
          <w:numId w:val="62"/>
        </w:numPr>
        <w:spacing w:after="160" w:line="278" w:lineRule="auto"/>
        <w:jc w:val="both"/>
        <w:rPr>
          <w:rFonts w:ascii="Calibri" w:hAnsi="Calibri" w:cs="Calibri"/>
        </w:rPr>
      </w:pPr>
      <w:r w:rsidRPr="00D719B1">
        <w:rPr>
          <w:rFonts w:ascii="Calibri" w:hAnsi="Calibri" w:cs="Calibri"/>
        </w:rPr>
        <w:t>CPCs individually or collaboratively conduct gillnet experimental fishing trials that:</w:t>
      </w:r>
    </w:p>
    <w:p w14:paraId="7B48A2E0" w14:textId="77777777" w:rsidR="006A7F45" w:rsidRPr="00D719B1" w:rsidRDefault="006A7F45" w:rsidP="0030498D">
      <w:pPr>
        <w:pStyle w:val="ListParagraph"/>
        <w:numPr>
          <w:ilvl w:val="1"/>
          <w:numId w:val="62"/>
        </w:numPr>
        <w:spacing w:after="160" w:line="278" w:lineRule="auto"/>
        <w:jc w:val="both"/>
        <w:rPr>
          <w:rFonts w:ascii="Calibri" w:hAnsi="Calibri" w:cs="Calibri"/>
        </w:rPr>
      </w:pPr>
      <w:r w:rsidRPr="00D719B1">
        <w:rPr>
          <w:rFonts w:ascii="Calibri" w:hAnsi="Calibri" w:cs="Calibri"/>
        </w:rPr>
        <w:t>Aim to test different setting depths and times of setting/soaking (e.g. day/night), on catch rates and mortality of interacting species</w:t>
      </w:r>
    </w:p>
    <w:p w14:paraId="2C9D674F" w14:textId="77777777" w:rsidR="006A7F45" w:rsidRPr="00D719B1" w:rsidRDefault="006A7F45" w:rsidP="0030498D">
      <w:pPr>
        <w:pStyle w:val="ListParagraph"/>
        <w:numPr>
          <w:ilvl w:val="1"/>
          <w:numId w:val="62"/>
        </w:numPr>
        <w:spacing w:after="160" w:line="278" w:lineRule="auto"/>
        <w:jc w:val="both"/>
        <w:rPr>
          <w:rFonts w:ascii="Calibri" w:hAnsi="Calibri" w:cs="Calibri"/>
        </w:rPr>
      </w:pPr>
      <w:r w:rsidRPr="00D719B1">
        <w:rPr>
          <w:rFonts w:ascii="Calibri" w:hAnsi="Calibri" w:cs="Calibri"/>
        </w:rPr>
        <w:lastRenderedPageBreak/>
        <w:t>Collect data on all interacting species including billfish bycatch, target tuna and vulnerable species (e.g. cetaceans, turtles), in order to provide the Commission a quantified understanding of likely effects and possible trade-offs of various subsurface setting options, on each species.</w:t>
      </w:r>
    </w:p>
    <w:p w14:paraId="2D9105F6" w14:textId="77777777" w:rsidR="006A7F45" w:rsidRPr="00D719B1" w:rsidRDefault="006A7F45" w:rsidP="0030498D">
      <w:pPr>
        <w:pStyle w:val="ListParagraph"/>
        <w:numPr>
          <w:ilvl w:val="1"/>
          <w:numId w:val="62"/>
        </w:numPr>
        <w:spacing w:after="160" w:line="278" w:lineRule="auto"/>
        <w:jc w:val="both"/>
        <w:rPr>
          <w:rFonts w:ascii="Calibri" w:hAnsi="Calibri" w:cs="Calibri"/>
        </w:rPr>
      </w:pPr>
      <w:r w:rsidRPr="00D719B1">
        <w:rPr>
          <w:rFonts w:ascii="Calibri" w:hAnsi="Calibri" w:cs="Calibri"/>
        </w:rPr>
        <w:t>Prioritise accurate species identification.</w:t>
      </w:r>
    </w:p>
    <w:p w14:paraId="2F9E740D" w14:textId="490C0206" w:rsidR="006A7F45" w:rsidRPr="00C80550" w:rsidRDefault="006A7F45" w:rsidP="006A7F45">
      <w:pPr>
        <w:pStyle w:val="IOTCReportNormalNumbered"/>
        <w:numPr>
          <w:ilvl w:val="0"/>
          <w:numId w:val="0"/>
        </w:numPr>
        <w:ind w:left="502" w:hanging="502"/>
        <w:rPr>
          <w:rFonts w:ascii="Calibri" w:hAnsi="Calibri" w:cs="Calibri"/>
          <w:color w:val="000000" w:themeColor="text1"/>
        </w:rPr>
      </w:pPr>
      <w:r w:rsidRPr="00CA2B35">
        <w:rPr>
          <w:rFonts w:ascii="Calibri" w:hAnsi="Calibri" w:cs="Calibri"/>
          <w:color w:val="000000" w:themeColor="text1"/>
        </w:rPr>
        <w:t>WPB23.0</w:t>
      </w:r>
      <w:r>
        <w:rPr>
          <w:rFonts w:ascii="Calibri" w:hAnsi="Calibri" w:cs="Calibri"/>
          <w:color w:val="000000" w:themeColor="text1"/>
        </w:rPr>
        <w:t>6</w:t>
      </w:r>
      <w:r w:rsidRPr="00CA2B35">
        <w:rPr>
          <w:rFonts w:ascii="Calibri" w:hAnsi="Calibri" w:cs="Calibri"/>
          <w:color w:val="000000" w:themeColor="text1"/>
        </w:rPr>
        <w:t xml:space="preserve"> (para </w:t>
      </w:r>
      <w:r>
        <w:rPr>
          <w:rFonts w:ascii="Calibri" w:hAnsi="Calibri" w:cs="Calibri"/>
          <w:color w:val="000000" w:themeColor="text1"/>
        </w:rPr>
        <w:t>16</w:t>
      </w:r>
      <w:r w:rsidR="00F5343F">
        <w:rPr>
          <w:rFonts w:ascii="Calibri" w:hAnsi="Calibri" w:cs="Calibri"/>
          <w:color w:val="000000" w:themeColor="text1"/>
        </w:rPr>
        <w:t>7</w:t>
      </w:r>
      <w:r w:rsidRPr="00CA2B35">
        <w:rPr>
          <w:rFonts w:ascii="Calibri" w:hAnsi="Calibri" w:cs="Calibri"/>
          <w:color w:val="000000" w:themeColor="text1"/>
        </w:rPr>
        <w:t xml:space="preserve">): </w:t>
      </w:r>
      <w:r w:rsidRPr="000C4267">
        <w:rPr>
          <w:rFonts w:ascii="Calibri" w:hAnsi="Calibri" w:cs="Calibri"/>
          <w:color w:val="000000" w:themeColor="text1"/>
        </w:rPr>
        <w:t xml:space="preserve">In addition, the WPB </w:t>
      </w:r>
      <w:r w:rsidRPr="000C4267">
        <w:rPr>
          <w:rFonts w:ascii="Calibri" w:hAnsi="Calibri" w:cs="Calibri"/>
          <w:b/>
          <w:bCs/>
          <w:color w:val="000000" w:themeColor="text1"/>
        </w:rPr>
        <w:t>RECOMMENDED</w:t>
      </w:r>
      <w:r w:rsidRPr="000C4267">
        <w:rPr>
          <w:rFonts w:ascii="Calibri" w:hAnsi="Calibri" w:cs="Calibri"/>
          <w:color w:val="000000" w:themeColor="text1"/>
        </w:rPr>
        <w:t xml:space="preserve"> that the Scientific Committee advise the Commission to give consideration to how such a trial (point (3) above) might be supported financially and logistically. </w:t>
      </w:r>
    </w:p>
    <w:p w14:paraId="6CD6EDB6" w14:textId="77777777" w:rsidR="006A7F45" w:rsidRPr="006760D1" w:rsidRDefault="006A7F45" w:rsidP="006A7F45">
      <w:pPr>
        <w:pStyle w:val="IOTCsubheading2"/>
        <w:numPr>
          <w:ilvl w:val="0"/>
          <w:numId w:val="0"/>
        </w:numPr>
        <w:spacing w:before="240"/>
        <w:jc w:val="both"/>
        <w:rPr>
          <w:rFonts w:ascii="Calibri" w:hAnsi="Calibri" w:cs="Calibri"/>
        </w:rPr>
      </w:pPr>
      <w:r w:rsidRPr="006760D1">
        <w:rPr>
          <w:rFonts w:ascii="Calibri" w:hAnsi="Calibri" w:cs="Calibri"/>
        </w:rPr>
        <w:t>Revision of the WPB Program of work (202</w:t>
      </w:r>
      <w:r>
        <w:rPr>
          <w:rFonts w:ascii="Calibri" w:hAnsi="Calibri" w:cs="Calibri"/>
        </w:rPr>
        <w:t>6</w:t>
      </w:r>
      <w:r w:rsidRPr="006760D1">
        <w:rPr>
          <w:rFonts w:ascii="Calibri" w:hAnsi="Calibri" w:cs="Calibri"/>
        </w:rPr>
        <w:t>–20</w:t>
      </w:r>
      <w:r>
        <w:rPr>
          <w:rFonts w:ascii="Calibri" w:hAnsi="Calibri" w:cs="Calibri"/>
        </w:rPr>
        <w:t>30</w:t>
      </w:r>
      <w:r w:rsidRPr="006760D1">
        <w:rPr>
          <w:rFonts w:ascii="Calibri" w:hAnsi="Calibri" w:cs="Calibri"/>
        </w:rPr>
        <w:t>)</w:t>
      </w:r>
    </w:p>
    <w:p w14:paraId="0C6A5AE7" w14:textId="7019A6B1" w:rsidR="006A7F45" w:rsidRPr="00666B69" w:rsidRDefault="006A7F45" w:rsidP="006A7F45">
      <w:pPr>
        <w:pStyle w:val="IOTCReportNormalNumbered"/>
        <w:numPr>
          <w:ilvl w:val="0"/>
          <w:numId w:val="0"/>
        </w:numPr>
        <w:ind w:left="502" w:hanging="502"/>
        <w:rPr>
          <w:rFonts w:ascii="Calibri" w:eastAsia="MS Mincho" w:hAnsi="Calibri" w:cs="Calibri"/>
          <w:color w:val="auto"/>
          <w:szCs w:val="22"/>
        </w:rPr>
      </w:pPr>
      <w:r w:rsidRPr="006760D1">
        <w:rPr>
          <w:rFonts w:ascii="Calibri" w:hAnsi="Calibri" w:cs="Calibri"/>
          <w:color w:val="000000" w:themeColor="text1"/>
        </w:rPr>
        <w:t>WPB2</w:t>
      </w:r>
      <w:r>
        <w:rPr>
          <w:rFonts w:ascii="Calibri" w:hAnsi="Calibri" w:cs="Calibri"/>
          <w:color w:val="000000" w:themeColor="text1"/>
        </w:rPr>
        <w:t>3</w:t>
      </w:r>
      <w:r w:rsidRPr="006760D1">
        <w:rPr>
          <w:rFonts w:ascii="Calibri" w:hAnsi="Calibri" w:cs="Calibri"/>
          <w:color w:val="000000" w:themeColor="text1"/>
        </w:rPr>
        <w:t>.0</w:t>
      </w:r>
      <w:r>
        <w:rPr>
          <w:rFonts w:ascii="Calibri" w:hAnsi="Calibri" w:cs="Calibri"/>
          <w:color w:val="000000" w:themeColor="text1"/>
        </w:rPr>
        <w:t>7</w:t>
      </w:r>
      <w:r w:rsidRPr="006760D1">
        <w:rPr>
          <w:rFonts w:ascii="Calibri" w:hAnsi="Calibri" w:cs="Calibri"/>
          <w:color w:val="000000" w:themeColor="text1"/>
        </w:rPr>
        <w:t xml:space="preserve"> (</w:t>
      </w:r>
      <w:r w:rsidRPr="006760D1">
        <w:rPr>
          <w:rFonts w:ascii="Calibri" w:hAnsi="Calibri" w:cs="Calibri"/>
        </w:rPr>
        <w:t xml:space="preserve">para </w:t>
      </w:r>
      <w:r>
        <w:rPr>
          <w:rFonts w:ascii="Calibri" w:hAnsi="Calibri" w:cs="Calibri"/>
          <w:color w:val="000000" w:themeColor="text1"/>
        </w:rPr>
        <w:t>1</w:t>
      </w:r>
      <w:r w:rsidR="00F5343F">
        <w:rPr>
          <w:rFonts w:ascii="Calibri" w:hAnsi="Calibri" w:cs="Calibri"/>
          <w:color w:val="000000" w:themeColor="text1"/>
        </w:rPr>
        <w:t>71</w:t>
      </w:r>
      <w:r>
        <w:rPr>
          <w:rFonts w:ascii="Calibri" w:hAnsi="Calibri" w:cs="Calibri"/>
          <w:color w:val="000000" w:themeColor="text1"/>
        </w:rPr>
        <w:t>):</w:t>
      </w:r>
      <w:r w:rsidRPr="006760D1">
        <w:rPr>
          <w:rFonts w:ascii="Calibri" w:hAnsi="Calibri" w:cs="Calibri"/>
          <w:color w:val="000000" w:themeColor="text1"/>
        </w:rPr>
        <w:t xml:space="preserve"> </w:t>
      </w:r>
      <w:r w:rsidRPr="006760D1">
        <w:rPr>
          <w:rFonts w:ascii="Calibri" w:eastAsia="MS Mincho" w:hAnsi="Calibri" w:cs="Calibri"/>
          <w:color w:val="auto"/>
          <w:szCs w:val="22"/>
        </w:rPr>
        <w:t xml:space="preserve">The WPB </w:t>
      </w:r>
      <w:r w:rsidRPr="006760D1">
        <w:rPr>
          <w:rFonts w:ascii="Calibri" w:eastAsia="MS Mincho" w:hAnsi="Calibri" w:cs="Calibri"/>
          <w:b/>
          <w:bCs/>
          <w:color w:val="auto"/>
          <w:szCs w:val="22"/>
        </w:rPr>
        <w:t>RECOMMENDED</w:t>
      </w:r>
      <w:r w:rsidRPr="006760D1">
        <w:rPr>
          <w:rFonts w:ascii="Calibri" w:eastAsia="MS Mincho" w:hAnsi="Calibri" w:cs="Calibri"/>
          <w:color w:val="auto"/>
          <w:szCs w:val="22"/>
        </w:rPr>
        <w:t xml:space="preserve"> that the SC consider and endorse the WPB Program of Work (202</w:t>
      </w:r>
      <w:r>
        <w:rPr>
          <w:rFonts w:ascii="Calibri" w:eastAsia="MS Mincho" w:hAnsi="Calibri" w:cs="Calibri"/>
          <w:color w:val="auto"/>
          <w:szCs w:val="22"/>
        </w:rPr>
        <w:t>6</w:t>
      </w:r>
      <w:r w:rsidRPr="006760D1">
        <w:rPr>
          <w:rFonts w:ascii="Calibri" w:eastAsia="MS Mincho" w:hAnsi="Calibri" w:cs="Calibri"/>
          <w:color w:val="auto"/>
          <w:szCs w:val="22"/>
        </w:rPr>
        <w:t>–20</w:t>
      </w:r>
      <w:r>
        <w:rPr>
          <w:rFonts w:ascii="Calibri" w:eastAsia="MS Mincho" w:hAnsi="Calibri" w:cs="Calibri"/>
          <w:color w:val="auto"/>
          <w:szCs w:val="22"/>
        </w:rPr>
        <w:t>30</w:t>
      </w:r>
      <w:r w:rsidRPr="006760D1">
        <w:rPr>
          <w:rFonts w:ascii="Calibri" w:eastAsia="MS Mincho" w:hAnsi="Calibri" w:cs="Calibri"/>
          <w:color w:val="auto"/>
          <w:szCs w:val="22"/>
        </w:rPr>
        <w:t xml:space="preserve">), as provided in </w:t>
      </w:r>
      <w:hyperlink w:anchor="APP10" w:history="1">
        <w:r w:rsidRPr="00C63C9B">
          <w:rPr>
            <w:rStyle w:val="Hyperlink"/>
            <w:rFonts w:ascii="Calibri" w:eastAsia="MS Mincho" w:hAnsi="Calibri" w:cs="Calibri"/>
            <w:szCs w:val="22"/>
          </w:rPr>
          <w:t>Appendix X</w:t>
        </w:r>
      </w:hyperlink>
      <w:r w:rsidRPr="006760D1">
        <w:rPr>
          <w:rFonts w:ascii="Calibri" w:eastAsia="MS Mincho" w:hAnsi="Calibri" w:cs="Calibri"/>
          <w:color w:val="auto"/>
          <w:szCs w:val="22"/>
        </w:rPr>
        <w:t>.</w:t>
      </w:r>
    </w:p>
    <w:p w14:paraId="672E0617" w14:textId="77777777" w:rsidR="006A7F45" w:rsidRPr="00D7335E" w:rsidRDefault="006A7F45" w:rsidP="006A7F45">
      <w:pPr>
        <w:pStyle w:val="IOTCsubheading2"/>
        <w:numPr>
          <w:ilvl w:val="0"/>
          <w:numId w:val="0"/>
        </w:numPr>
        <w:jc w:val="both"/>
        <w:rPr>
          <w:rFonts w:ascii="Calibri" w:hAnsi="Calibri" w:cs="Calibri"/>
        </w:rPr>
      </w:pPr>
      <w:r w:rsidRPr="00D7335E">
        <w:rPr>
          <w:rFonts w:ascii="Calibri" w:hAnsi="Calibri" w:cs="Calibri"/>
        </w:rPr>
        <w:t>Date and place of the 24</w:t>
      </w:r>
      <w:r w:rsidRPr="00D7335E">
        <w:rPr>
          <w:rFonts w:ascii="Calibri" w:hAnsi="Calibri" w:cs="Calibri"/>
          <w:vertAlign w:val="superscript"/>
        </w:rPr>
        <w:t>rd</w:t>
      </w:r>
      <w:r w:rsidRPr="00D7335E">
        <w:rPr>
          <w:rFonts w:ascii="Calibri" w:hAnsi="Calibri" w:cs="Calibri"/>
        </w:rPr>
        <w:t xml:space="preserve"> </w:t>
      </w:r>
      <w:r>
        <w:rPr>
          <w:rFonts w:ascii="Calibri" w:hAnsi="Calibri" w:cs="Calibri"/>
        </w:rPr>
        <w:t>and 25</w:t>
      </w:r>
      <w:r w:rsidRPr="00C80550">
        <w:rPr>
          <w:rFonts w:ascii="Calibri" w:hAnsi="Calibri" w:cs="Calibri"/>
          <w:vertAlign w:val="superscript"/>
        </w:rPr>
        <w:t>th</w:t>
      </w:r>
      <w:r>
        <w:rPr>
          <w:rFonts w:ascii="Calibri" w:hAnsi="Calibri" w:cs="Calibri"/>
        </w:rPr>
        <w:t xml:space="preserve"> </w:t>
      </w:r>
      <w:r w:rsidRPr="00D7335E">
        <w:rPr>
          <w:rFonts w:ascii="Calibri" w:hAnsi="Calibri" w:cs="Calibri"/>
        </w:rPr>
        <w:t>Sessions of the Working Party on Billfish</w:t>
      </w:r>
    </w:p>
    <w:p w14:paraId="6BAC86B5" w14:textId="792D71E8" w:rsidR="006A7F45" w:rsidRPr="009A4568" w:rsidRDefault="006A7F45" w:rsidP="006A7F45">
      <w:pPr>
        <w:pStyle w:val="IOTCReportNormalNumbered"/>
        <w:numPr>
          <w:ilvl w:val="0"/>
          <w:numId w:val="0"/>
        </w:numPr>
        <w:ind w:left="502" w:hanging="502"/>
        <w:rPr>
          <w:rFonts w:ascii="Calibri" w:hAnsi="Calibri" w:cs="Calibri"/>
          <w:color w:val="000000" w:themeColor="text1"/>
        </w:rPr>
      </w:pPr>
      <w:r w:rsidRPr="009A4568">
        <w:rPr>
          <w:rFonts w:ascii="Calibri" w:hAnsi="Calibri" w:cs="Calibri"/>
          <w:color w:val="000000" w:themeColor="text1"/>
        </w:rPr>
        <w:t>WPB2</w:t>
      </w:r>
      <w:r>
        <w:rPr>
          <w:rFonts w:ascii="Calibri" w:hAnsi="Calibri" w:cs="Calibri"/>
          <w:color w:val="000000" w:themeColor="text1"/>
        </w:rPr>
        <w:t>3</w:t>
      </w:r>
      <w:r w:rsidRPr="009A4568">
        <w:rPr>
          <w:rFonts w:ascii="Calibri" w:hAnsi="Calibri" w:cs="Calibri"/>
          <w:color w:val="000000" w:themeColor="text1"/>
        </w:rPr>
        <w:t>.</w:t>
      </w:r>
      <w:r>
        <w:rPr>
          <w:rFonts w:ascii="Calibri" w:hAnsi="Calibri" w:cs="Calibri"/>
          <w:color w:val="000000" w:themeColor="text1"/>
        </w:rPr>
        <w:t>08</w:t>
      </w:r>
      <w:r w:rsidRPr="009A4568">
        <w:rPr>
          <w:rFonts w:ascii="Calibri" w:hAnsi="Calibri" w:cs="Calibri"/>
          <w:color w:val="000000" w:themeColor="text1"/>
        </w:rPr>
        <w:t xml:space="preserve"> (para </w:t>
      </w:r>
      <w:r>
        <w:rPr>
          <w:rFonts w:ascii="Calibri" w:hAnsi="Calibri" w:cs="Calibri"/>
          <w:color w:val="000000" w:themeColor="text1"/>
        </w:rPr>
        <w:t>1</w:t>
      </w:r>
      <w:r w:rsidR="00F5343F">
        <w:rPr>
          <w:rFonts w:ascii="Calibri" w:hAnsi="Calibri" w:cs="Calibri"/>
          <w:color w:val="000000" w:themeColor="text1"/>
        </w:rPr>
        <w:t>81</w:t>
      </w:r>
      <w:r w:rsidRPr="009A4568">
        <w:rPr>
          <w:rFonts w:ascii="Calibri" w:hAnsi="Calibri" w:cs="Calibri"/>
          <w:color w:val="000000" w:themeColor="text1"/>
        </w:rPr>
        <w:t xml:space="preserve">): </w:t>
      </w:r>
      <w:r w:rsidRPr="267C31E2">
        <w:rPr>
          <w:rFonts w:ascii="Calibri" w:eastAsia="Calibri" w:hAnsi="Calibri" w:cs="Calibri"/>
        </w:rPr>
        <w:t xml:space="preserve">The WPB </w:t>
      </w:r>
      <w:r w:rsidRPr="267C31E2">
        <w:rPr>
          <w:rFonts w:ascii="Calibri" w:eastAsia="Calibri" w:hAnsi="Calibri" w:cs="Calibri"/>
          <w:b/>
          <w:bCs/>
        </w:rPr>
        <w:t>RECOMMENDED</w:t>
      </w:r>
      <w:r w:rsidRPr="267C31E2">
        <w:rPr>
          <w:rFonts w:ascii="Calibri" w:eastAsia="Calibri" w:hAnsi="Calibri" w:cs="Calibri"/>
        </w:rPr>
        <w:t xml:space="preserve"> the SC consider early September as a preferred time period to hold the WPB2</w:t>
      </w:r>
      <w:r>
        <w:rPr>
          <w:rFonts w:ascii="Calibri" w:eastAsia="Calibri" w:hAnsi="Calibri" w:cs="Calibri"/>
        </w:rPr>
        <w:t>4</w:t>
      </w:r>
      <w:r w:rsidRPr="267C31E2">
        <w:rPr>
          <w:rFonts w:ascii="Calibri" w:eastAsia="Calibri" w:hAnsi="Calibri" w:cs="Calibri"/>
        </w:rPr>
        <w:t xml:space="preserve"> in 202</w:t>
      </w:r>
      <w:r>
        <w:rPr>
          <w:rFonts w:ascii="Calibri" w:eastAsia="Calibri" w:hAnsi="Calibri" w:cs="Calibri"/>
        </w:rPr>
        <w:t>6</w:t>
      </w:r>
      <w:r w:rsidRPr="267C31E2">
        <w:rPr>
          <w:rFonts w:ascii="Calibri" w:eastAsia="Calibri" w:hAnsi="Calibri" w:cs="Calibri"/>
        </w:rPr>
        <w:t xml:space="preserve">. As usual it was also </w:t>
      </w:r>
      <w:r w:rsidRPr="267C31E2">
        <w:rPr>
          <w:rFonts w:ascii="Calibri" w:eastAsia="Calibri" w:hAnsi="Calibri" w:cs="Calibri"/>
          <w:b/>
          <w:bCs/>
        </w:rPr>
        <w:t>AGREED</w:t>
      </w:r>
      <w:r w:rsidRPr="267C31E2">
        <w:rPr>
          <w:rFonts w:ascii="Calibri" w:eastAsia="Calibri" w:hAnsi="Calibri" w:cs="Calibri"/>
        </w:rPr>
        <w:t xml:space="preserve"> that this meeting should continue to be held back-to-back with the WPEB and that in 202</w:t>
      </w:r>
      <w:r>
        <w:rPr>
          <w:rFonts w:ascii="Calibri" w:eastAsia="Calibri" w:hAnsi="Calibri" w:cs="Calibri"/>
        </w:rPr>
        <w:t>6</w:t>
      </w:r>
      <w:r w:rsidRPr="267C31E2">
        <w:rPr>
          <w:rFonts w:ascii="Calibri" w:eastAsia="Calibri" w:hAnsi="Calibri" w:cs="Calibri"/>
        </w:rPr>
        <w:t xml:space="preserve"> WPB will be held in the week </w:t>
      </w:r>
      <w:r>
        <w:rPr>
          <w:rFonts w:ascii="Calibri" w:eastAsia="Calibri" w:hAnsi="Calibri" w:cs="Calibri"/>
        </w:rPr>
        <w:t>before</w:t>
      </w:r>
      <w:r w:rsidRPr="267C31E2">
        <w:rPr>
          <w:rFonts w:ascii="Calibri" w:eastAsia="Calibri" w:hAnsi="Calibri" w:cs="Calibri"/>
        </w:rPr>
        <w:t xml:space="preserve"> the WPEB</w:t>
      </w:r>
      <w:r w:rsidRPr="009A4568">
        <w:rPr>
          <w:rFonts w:ascii="Calibri" w:hAnsi="Calibri" w:cs="Calibri"/>
          <w:color w:val="000000" w:themeColor="text1"/>
        </w:rPr>
        <w:t>.</w:t>
      </w:r>
    </w:p>
    <w:p w14:paraId="54B8AC3D" w14:textId="77777777" w:rsidR="006A7F45" w:rsidRPr="009A4568" w:rsidRDefault="006A7F45" w:rsidP="006A7F45">
      <w:pPr>
        <w:pStyle w:val="IOTCsubheading2"/>
        <w:numPr>
          <w:ilvl w:val="0"/>
          <w:numId w:val="0"/>
        </w:numPr>
        <w:spacing w:before="240"/>
        <w:jc w:val="both"/>
        <w:rPr>
          <w:rFonts w:ascii="Calibri" w:hAnsi="Calibri" w:cs="Calibri"/>
          <w:color w:val="auto"/>
        </w:rPr>
      </w:pPr>
      <w:r w:rsidRPr="009A4568">
        <w:rPr>
          <w:rFonts w:ascii="Calibri" w:hAnsi="Calibri" w:cs="Calibri"/>
          <w:color w:val="auto"/>
        </w:rPr>
        <w:t>Review of the draft, and adoption of the Report of the 2</w:t>
      </w:r>
      <w:r>
        <w:rPr>
          <w:rFonts w:ascii="Calibri" w:hAnsi="Calibri" w:cs="Calibri"/>
          <w:color w:val="auto"/>
        </w:rPr>
        <w:t>3</w:t>
      </w:r>
      <w:r w:rsidRPr="00F01D74">
        <w:rPr>
          <w:rFonts w:ascii="Calibri" w:hAnsi="Calibri" w:cs="Calibri"/>
          <w:color w:val="auto"/>
          <w:vertAlign w:val="superscript"/>
        </w:rPr>
        <w:t>rd</w:t>
      </w:r>
      <w:r>
        <w:rPr>
          <w:rFonts w:ascii="Calibri" w:hAnsi="Calibri" w:cs="Calibri"/>
          <w:color w:val="auto"/>
        </w:rPr>
        <w:t xml:space="preserve"> </w:t>
      </w:r>
      <w:r w:rsidRPr="009A4568">
        <w:rPr>
          <w:rFonts w:ascii="Calibri" w:hAnsi="Calibri" w:cs="Calibri"/>
          <w:color w:val="auto"/>
        </w:rPr>
        <w:t>Session of the Working Party on Billfish</w:t>
      </w:r>
    </w:p>
    <w:p w14:paraId="4BB47BF2" w14:textId="4C0CC9FE" w:rsidR="006A7F45" w:rsidRPr="00B87799" w:rsidRDefault="006A7F45" w:rsidP="006A7F45">
      <w:pPr>
        <w:pStyle w:val="IOTCReportNormalNumbered"/>
        <w:numPr>
          <w:ilvl w:val="0"/>
          <w:numId w:val="0"/>
        </w:numPr>
        <w:ind w:left="502" w:hanging="502"/>
        <w:rPr>
          <w:rFonts w:ascii="Calibri" w:hAnsi="Calibri" w:cs="Calibri"/>
          <w:color w:val="000000" w:themeColor="text1"/>
        </w:rPr>
      </w:pPr>
      <w:r w:rsidRPr="009A4568">
        <w:rPr>
          <w:rFonts w:ascii="Calibri" w:hAnsi="Calibri" w:cs="Calibri"/>
          <w:color w:val="000000" w:themeColor="text1"/>
        </w:rPr>
        <w:t>WPB2</w:t>
      </w:r>
      <w:r>
        <w:rPr>
          <w:rFonts w:ascii="Calibri" w:hAnsi="Calibri" w:cs="Calibri"/>
          <w:color w:val="000000" w:themeColor="text1"/>
        </w:rPr>
        <w:t>3</w:t>
      </w:r>
      <w:r w:rsidRPr="009A4568">
        <w:rPr>
          <w:rFonts w:ascii="Calibri" w:hAnsi="Calibri" w:cs="Calibri"/>
          <w:color w:val="000000" w:themeColor="text1"/>
        </w:rPr>
        <w:t>.</w:t>
      </w:r>
      <w:r>
        <w:rPr>
          <w:rFonts w:ascii="Calibri" w:hAnsi="Calibri" w:cs="Calibri"/>
          <w:color w:val="000000" w:themeColor="text1"/>
        </w:rPr>
        <w:t>09</w:t>
      </w:r>
      <w:r w:rsidRPr="009A4568">
        <w:rPr>
          <w:rFonts w:ascii="Calibri" w:hAnsi="Calibri" w:cs="Calibri"/>
          <w:color w:val="000000" w:themeColor="text1"/>
        </w:rPr>
        <w:t xml:space="preserve"> (para </w:t>
      </w:r>
      <w:r>
        <w:rPr>
          <w:rFonts w:ascii="Calibri" w:hAnsi="Calibri" w:cs="Calibri"/>
          <w:color w:val="000000" w:themeColor="text1"/>
        </w:rPr>
        <w:t>1</w:t>
      </w:r>
      <w:r w:rsidR="00F5343F">
        <w:rPr>
          <w:rFonts w:ascii="Calibri" w:hAnsi="Calibri" w:cs="Calibri"/>
          <w:color w:val="000000" w:themeColor="text1"/>
        </w:rPr>
        <w:t>83</w:t>
      </w:r>
      <w:r w:rsidRPr="009A4568">
        <w:rPr>
          <w:rFonts w:ascii="Calibri" w:hAnsi="Calibri" w:cs="Calibri"/>
          <w:color w:val="000000" w:themeColor="text1"/>
        </w:rPr>
        <w:t xml:space="preserve">): The WPB </w:t>
      </w:r>
      <w:r w:rsidRPr="009A4568">
        <w:rPr>
          <w:rFonts w:ascii="Calibri" w:hAnsi="Calibri" w:cs="Calibri"/>
          <w:b/>
          <w:bCs/>
          <w:color w:val="000000" w:themeColor="text1"/>
        </w:rPr>
        <w:t>RECOMMENDED</w:t>
      </w:r>
      <w:r w:rsidRPr="009A4568">
        <w:rPr>
          <w:rFonts w:ascii="Calibri" w:hAnsi="Calibri" w:cs="Calibri"/>
          <w:color w:val="000000" w:themeColor="text1"/>
        </w:rPr>
        <w:t xml:space="preserve"> that the Scientific Committee consider the consolidated set of recommendations arising from WPB22, provided  at </w:t>
      </w:r>
      <w:hyperlink w:anchor="APP11">
        <w:r w:rsidRPr="006C67B5">
          <w:rPr>
            <w:rStyle w:val="Hyperlink"/>
            <w:rFonts w:ascii="Calibri" w:hAnsi="Calibri" w:cs="Calibri"/>
            <w:snapToGrid/>
            <w:szCs w:val="22"/>
            <w:lang w:eastAsia="fr-FR"/>
          </w:rPr>
          <w:t>Appendix XI</w:t>
        </w:r>
      </w:hyperlink>
      <w:r w:rsidRPr="009A4568">
        <w:rPr>
          <w:rFonts w:ascii="Calibri" w:hAnsi="Calibri" w:cs="Calibri"/>
          <w:color w:val="000000" w:themeColor="text1"/>
        </w:rPr>
        <w:t xml:space="preserve">, as well as the management advice provided in the draft resource stock status summary for each of the five billfish species under the IOTC mandate, and the combined Kobe plot for the five species assigned a stock status in 2024 (Fig. </w:t>
      </w:r>
      <w:r w:rsidR="002740CC">
        <w:rPr>
          <w:rFonts w:ascii="Calibri" w:hAnsi="Calibri" w:cs="Calibri"/>
          <w:color w:val="000000" w:themeColor="text1"/>
        </w:rPr>
        <w:t>3</w:t>
      </w:r>
      <w:r w:rsidRPr="009A4568">
        <w:rPr>
          <w:rFonts w:ascii="Calibri" w:hAnsi="Calibri" w:cs="Calibri"/>
          <w:color w:val="000000" w:themeColor="text1"/>
        </w:rPr>
        <w:t>):</w:t>
      </w:r>
    </w:p>
    <w:p w14:paraId="6603E04F" w14:textId="77777777" w:rsidR="006A7F45" w:rsidRPr="009B294D" w:rsidRDefault="006A7F45" w:rsidP="006A7F45">
      <w:pPr>
        <w:numPr>
          <w:ilvl w:val="1"/>
          <w:numId w:val="13"/>
        </w:numPr>
        <w:spacing w:before="240"/>
        <w:jc w:val="both"/>
        <w:rPr>
          <w:rFonts w:ascii="Calibri" w:eastAsia="MS Mincho" w:hAnsi="Calibri" w:cs="Calibri"/>
          <w:snapToGrid w:val="0"/>
          <w:lang w:eastAsia="en-US"/>
        </w:rPr>
      </w:pPr>
      <w:r w:rsidRPr="009B294D">
        <w:rPr>
          <w:rFonts w:ascii="Calibri" w:eastAsia="MS Mincho" w:hAnsi="Calibri" w:cs="Calibri"/>
          <w:snapToGrid w:val="0"/>
          <w:lang w:eastAsia="en-US"/>
        </w:rPr>
        <w:t>Swordfish (</w:t>
      </w:r>
      <w:r w:rsidRPr="009B294D">
        <w:rPr>
          <w:rFonts w:ascii="Calibri" w:eastAsia="MS Mincho" w:hAnsi="Calibri" w:cs="Calibri"/>
          <w:i/>
          <w:snapToGrid w:val="0"/>
          <w:lang w:eastAsia="en-US"/>
        </w:rPr>
        <w:t>Xiphias gladius</w:t>
      </w:r>
      <w:r w:rsidRPr="009B294D">
        <w:rPr>
          <w:rFonts w:ascii="Calibri" w:eastAsia="MS Mincho" w:hAnsi="Calibri" w:cs="Calibri"/>
          <w:snapToGrid w:val="0"/>
          <w:lang w:eastAsia="en-US"/>
        </w:rPr>
        <w:t>)</w:t>
      </w:r>
      <w:r w:rsidRPr="009B294D">
        <w:rPr>
          <w:rFonts w:ascii="Calibri" w:hAnsi="Calibri" w:cs="Calibri"/>
        </w:rPr>
        <w:t xml:space="preserve">– </w:t>
      </w:r>
      <w:hyperlink w:anchor="APP4" w:history="1">
        <w:r>
          <w:rPr>
            <w:rStyle w:val="Hyperlink"/>
            <w:rFonts w:ascii="Calibri" w:hAnsi="Calibri" w:cs="Calibri"/>
          </w:rPr>
          <w:t>Appendix IV</w:t>
        </w:r>
      </w:hyperlink>
    </w:p>
    <w:p w14:paraId="3DC11808" w14:textId="77777777" w:rsidR="006A7F45" w:rsidRPr="009B294D" w:rsidRDefault="006A7F45" w:rsidP="006A7F45">
      <w:pPr>
        <w:numPr>
          <w:ilvl w:val="1"/>
          <w:numId w:val="13"/>
        </w:numPr>
        <w:jc w:val="both"/>
        <w:rPr>
          <w:rFonts w:ascii="Calibri" w:eastAsia="MS Mincho" w:hAnsi="Calibri" w:cs="Calibri"/>
          <w:snapToGrid w:val="0"/>
          <w:lang w:eastAsia="en-US"/>
        </w:rPr>
      </w:pPr>
      <w:r w:rsidRPr="009B294D">
        <w:rPr>
          <w:rFonts w:ascii="Calibri" w:eastAsia="MS Mincho" w:hAnsi="Calibri" w:cs="Calibri"/>
          <w:snapToGrid w:val="0"/>
          <w:lang w:eastAsia="en-US"/>
        </w:rPr>
        <w:t xml:space="preserve">Black marlin (Istiompax </w:t>
      </w:r>
      <w:r w:rsidRPr="24FF6681">
        <w:rPr>
          <w:rFonts w:ascii="Calibri" w:eastAsia="MS Mincho" w:hAnsi="Calibri" w:cs="Calibri"/>
          <w:i/>
          <w:iCs/>
          <w:snapToGrid w:val="0"/>
          <w:lang w:eastAsia="en-US"/>
        </w:rPr>
        <w:t>indica</w:t>
      </w:r>
      <w:r w:rsidRPr="009B294D">
        <w:rPr>
          <w:rFonts w:ascii="Calibri" w:eastAsia="MS Mincho" w:hAnsi="Calibri" w:cs="Calibri"/>
          <w:snapToGrid w:val="0"/>
          <w:lang w:eastAsia="en-US"/>
        </w:rPr>
        <w:t xml:space="preserve">) </w:t>
      </w:r>
      <w:r w:rsidRPr="009B294D">
        <w:rPr>
          <w:rFonts w:ascii="Calibri" w:hAnsi="Calibri" w:cs="Calibri"/>
        </w:rPr>
        <w:t xml:space="preserve">– </w:t>
      </w:r>
      <w:hyperlink w:anchor="APP5" w:history="1">
        <w:r>
          <w:rPr>
            <w:rStyle w:val="Hyperlink"/>
            <w:rFonts w:ascii="Calibri" w:hAnsi="Calibri" w:cs="Calibri"/>
          </w:rPr>
          <w:t>Appendix V</w:t>
        </w:r>
      </w:hyperlink>
    </w:p>
    <w:p w14:paraId="33C3C2E0" w14:textId="77777777" w:rsidR="006A7F45" w:rsidRPr="002B0E95" w:rsidRDefault="006A7F45" w:rsidP="006A7F45">
      <w:pPr>
        <w:numPr>
          <w:ilvl w:val="1"/>
          <w:numId w:val="13"/>
        </w:numPr>
        <w:jc w:val="both"/>
        <w:rPr>
          <w:rFonts w:ascii="Calibri" w:eastAsia="MS Mincho" w:hAnsi="Calibri" w:cs="Calibri"/>
          <w:i/>
          <w:snapToGrid w:val="0"/>
          <w:lang w:eastAsia="en-US"/>
        </w:rPr>
      </w:pPr>
      <w:r w:rsidRPr="009B294D">
        <w:rPr>
          <w:rFonts w:ascii="Calibri" w:eastAsia="MS Mincho" w:hAnsi="Calibri" w:cs="Calibri"/>
          <w:snapToGrid w:val="0"/>
          <w:lang w:eastAsia="en-US"/>
        </w:rPr>
        <w:t>Blue marlin (</w:t>
      </w:r>
      <w:r w:rsidRPr="009B294D">
        <w:rPr>
          <w:rFonts w:ascii="Calibri" w:eastAsia="MS Mincho" w:hAnsi="Calibri" w:cs="Calibri"/>
          <w:i/>
          <w:snapToGrid w:val="0"/>
          <w:lang w:eastAsia="en-US"/>
        </w:rPr>
        <w:t>Makaira nigricans</w:t>
      </w:r>
      <w:r w:rsidRPr="009B294D">
        <w:rPr>
          <w:rFonts w:ascii="Calibri" w:eastAsia="MS Mincho" w:hAnsi="Calibri" w:cs="Calibri"/>
          <w:snapToGrid w:val="0"/>
          <w:lang w:eastAsia="en-US"/>
        </w:rPr>
        <w:t xml:space="preserve">) </w:t>
      </w:r>
      <w:r w:rsidRPr="009B294D">
        <w:rPr>
          <w:rFonts w:ascii="Calibri" w:hAnsi="Calibri" w:cs="Calibri"/>
        </w:rPr>
        <w:t xml:space="preserve">– </w:t>
      </w:r>
      <w:hyperlink w:anchor="APP6" w:history="1">
        <w:r>
          <w:rPr>
            <w:rStyle w:val="Hyperlink"/>
            <w:rFonts w:ascii="Calibri" w:hAnsi="Calibri" w:cs="Calibri"/>
          </w:rPr>
          <w:t>Appendix VI</w:t>
        </w:r>
      </w:hyperlink>
    </w:p>
    <w:p w14:paraId="7817C84A" w14:textId="77777777" w:rsidR="006A7F45" w:rsidRPr="002B0E95" w:rsidRDefault="006A7F45" w:rsidP="006A7F45">
      <w:pPr>
        <w:numPr>
          <w:ilvl w:val="1"/>
          <w:numId w:val="13"/>
        </w:numPr>
        <w:jc w:val="both"/>
        <w:rPr>
          <w:rFonts w:ascii="Calibri" w:eastAsia="MS Mincho" w:hAnsi="Calibri" w:cs="Calibri"/>
          <w:snapToGrid w:val="0"/>
          <w:lang w:eastAsia="en-US"/>
        </w:rPr>
      </w:pPr>
      <w:r w:rsidRPr="002B0E95">
        <w:rPr>
          <w:rFonts w:ascii="Calibri" w:eastAsia="MS Mincho" w:hAnsi="Calibri" w:cs="Calibri"/>
          <w:snapToGrid w:val="0"/>
          <w:lang w:eastAsia="en-US"/>
        </w:rPr>
        <w:t>Striped marlin (</w:t>
      </w:r>
      <w:r w:rsidRPr="24FF6681">
        <w:rPr>
          <w:rFonts w:ascii="Calibri" w:eastAsia="MS Mincho" w:hAnsi="Calibri" w:cs="Calibri"/>
          <w:i/>
          <w:iCs/>
          <w:snapToGrid w:val="0"/>
          <w:lang w:eastAsia="en-US"/>
        </w:rPr>
        <w:t>Kajikia audax</w:t>
      </w:r>
      <w:r w:rsidRPr="002B0E95">
        <w:rPr>
          <w:rFonts w:ascii="Calibri" w:eastAsia="MS Mincho" w:hAnsi="Calibri" w:cs="Calibri"/>
          <w:snapToGrid w:val="0"/>
          <w:lang w:eastAsia="en-US"/>
        </w:rPr>
        <w:t xml:space="preserve">) </w:t>
      </w:r>
      <w:r w:rsidRPr="002B0E95">
        <w:rPr>
          <w:rFonts w:ascii="Calibri" w:hAnsi="Calibri" w:cs="Calibri"/>
        </w:rPr>
        <w:t xml:space="preserve">– </w:t>
      </w:r>
      <w:hyperlink w:anchor="APP7" w:history="1">
        <w:r w:rsidRPr="00DD4342">
          <w:rPr>
            <w:rStyle w:val="Hyperlink"/>
            <w:rFonts w:ascii="Calibri" w:hAnsi="Calibri" w:cs="Calibri"/>
          </w:rPr>
          <w:t>Appendix VII</w:t>
        </w:r>
      </w:hyperlink>
    </w:p>
    <w:p w14:paraId="15AE7644" w14:textId="44575290" w:rsidR="006A7F45" w:rsidRPr="00B036AB" w:rsidRDefault="006A7F45" w:rsidP="00B036AB">
      <w:pPr>
        <w:numPr>
          <w:ilvl w:val="1"/>
          <w:numId w:val="13"/>
        </w:numPr>
        <w:jc w:val="both"/>
        <w:rPr>
          <w:rFonts w:ascii="Calibri" w:eastAsia="MS Mincho" w:hAnsi="Calibri" w:cs="Calibri"/>
          <w:snapToGrid w:val="0"/>
          <w:lang w:eastAsia="en-US"/>
        </w:rPr>
      </w:pPr>
      <w:r w:rsidRPr="002B0E95">
        <w:rPr>
          <w:rFonts w:ascii="Calibri" w:eastAsia="MS Mincho" w:hAnsi="Calibri" w:cs="Calibri"/>
          <w:snapToGrid w:val="0"/>
          <w:lang w:eastAsia="en-US"/>
        </w:rPr>
        <w:t>Indo-Pacific sailfish (</w:t>
      </w:r>
      <w:r w:rsidRPr="002B0E95">
        <w:rPr>
          <w:rFonts w:ascii="Calibri" w:eastAsia="MS Mincho" w:hAnsi="Calibri" w:cs="Calibri"/>
          <w:i/>
          <w:snapToGrid w:val="0"/>
          <w:lang w:eastAsia="en-US"/>
        </w:rPr>
        <w:t>Istiophorus platypterus</w:t>
      </w:r>
      <w:r w:rsidRPr="002B0E95">
        <w:rPr>
          <w:rFonts w:ascii="Calibri" w:eastAsia="MS Mincho" w:hAnsi="Calibri" w:cs="Calibri"/>
          <w:snapToGrid w:val="0"/>
          <w:lang w:eastAsia="en-US"/>
        </w:rPr>
        <w:t xml:space="preserve">)  </w:t>
      </w:r>
      <w:r w:rsidRPr="002B0E95">
        <w:rPr>
          <w:rFonts w:ascii="Calibri" w:hAnsi="Calibri" w:cs="Calibri"/>
        </w:rPr>
        <w:t xml:space="preserve">– </w:t>
      </w:r>
      <w:hyperlink w:anchor="APP8" w:history="1">
        <w:r>
          <w:rPr>
            <w:rStyle w:val="Hyperlink"/>
            <w:rFonts w:ascii="Calibri" w:hAnsi="Calibri" w:cs="Calibri"/>
          </w:rPr>
          <w:t>Appendix VIII</w:t>
        </w:r>
      </w:hyperlink>
    </w:p>
    <w:p w14:paraId="60FBBF68" w14:textId="461C7CDF" w:rsidR="006A7F45" w:rsidRPr="00B934CC" w:rsidRDefault="00AC53BB" w:rsidP="006A7F45">
      <w:pPr>
        <w:pStyle w:val="ListParagraph"/>
        <w:spacing w:after="240"/>
        <w:jc w:val="both"/>
        <w:rPr>
          <w:highlight w:val="yellow"/>
        </w:rPr>
      </w:pPr>
      <w:r>
        <w:rPr>
          <w:noProof/>
        </w:rPr>
        <w:drawing>
          <wp:inline distT="0" distB="0" distL="0" distR="0" wp14:anchorId="4DEF6262" wp14:editId="77321C5E">
            <wp:extent cx="3200400" cy="3196800"/>
            <wp:effectExtent l="0" t="0" r="0" b="3810"/>
            <wp:docPr id="922253825" name="Picture 7" descr="A chart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253825" name="Picture 7" descr="A chart with different colored squares&#10;&#10;AI-generated content may be incorrect."/>
                    <pic:cNvPicPr/>
                  </pic:nvPicPr>
                  <pic:blipFill>
                    <a:blip r:embed="rId15"/>
                    <a:stretch>
                      <a:fillRect/>
                    </a:stretch>
                  </pic:blipFill>
                  <pic:spPr>
                    <a:xfrm>
                      <a:off x="0" y="0"/>
                      <a:ext cx="3200400" cy="3196800"/>
                    </a:xfrm>
                    <a:prstGeom prst="rect">
                      <a:avLst/>
                    </a:prstGeom>
                  </pic:spPr>
                </pic:pic>
              </a:graphicData>
            </a:graphic>
          </wp:inline>
        </w:drawing>
      </w:r>
    </w:p>
    <w:p w14:paraId="3F95EB8B" w14:textId="42BD14A7" w:rsidR="00D37B6A" w:rsidRPr="00454B8A" w:rsidRDefault="006A7F45" w:rsidP="00454B8A">
      <w:pPr>
        <w:pStyle w:val="IOTCReportNormalNumbered"/>
        <w:numPr>
          <w:ilvl w:val="0"/>
          <w:numId w:val="0"/>
        </w:numPr>
        <w:spacing w:after="240"/>
        <w:ind w:left="567" w:right="543"/>
        <w:rPr>
          <w:rFonts w:ascii="Calibri" w:hAnsi="Calibri" w:cs="Calibri"/>
          <w:b/>
          <w:bCs/>
          <w:color w:val="auto"/>
        </w:rPr>
      </w:pPr>
      <w:r w:rsidRPr="008E03F2">
        <w:rPr>
          <w:rFonts w:ascii="Calibri" w:hAnsi="Calibri" w:cs="Calibri"/>
          <w:b/>
          <w:bCs/>
          <w:color w:val="auto"/>
          <w:sz w:val="20"/>
        </w:rPr>
        <w:t xml:space="preserve">Fig. </w:t>
      </w:r>
      <w:r w:rsidR="00F84091">
        <w:rPr>
          <w:rFonts w:ascii="Calibri" w:hAnsi="Calibri" w:cs="Calibri"/>
          <w:b/>
          <w:bCs/>
          <w:color w:val="auto"/>
          <w:sz w:val="20"/>
        </w:rPr>
        <w:t>3</w:t>
      </w:r>
      <w:r w:rsidRPr="008E03F2">
        <w:rPr>
          <w:rFonts w:ascii="Calibri" w:hAnsi="Calibri" w:cs="Calibri"/>
          <w:b/>
          <w:bCs/>
          <w:color w:val="auto"/>
          <w:sz w:val="20"/>
        </w:rPr>
        <w:t>.</w:t>
      </w:r>
      <w:r w:rsidRPr="008E03F2">
        <w:rPr>
          <w:rFonts w:ascii="Calibri" w:hAnsi="Calibri" w:cs="Calibri"/>
          <w:color w:val="auto"/>
          <w:sz w:val="20"/>
        </w:rPr>
        <w:t xml:space="preserve"> Combined Kobe plot for swordfish (grey), Indo-pacific sailfish (cyan), black marlin (black), blue marlin (blue) and striped marlin (purple) showing the 2023, 2024, and 2025 estimates of current stock size (SB or B, species assessment dependent) and current fishing mortality (F) in relation to optimal spawning stock size and optimal fishing mortality. Cross bars illustrate the range of uncertainty from the model runs.</w:t>
      </w:r>
    </w:p>
    <w:sectPr w:rsidR="00D37B6A" w:rsidRPr="00454B8A" w:rsidSect="00640C7E">
      <w:type w:val="continuous"/>
      <w:pgSz w:w="11906" w:h="16838" w:code="9"/>
      <w:pgMar w:top="720" w:right="720" w:bottom="720" w:left="720" w:header="431" w:footer="28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D6D1CA" w14:textId="77777777" w:rsidR="00BD7482" w:rsidRDefault="00BD7482">
      <w:r>
        <w:separator/>
      </w:r>
    </w:p>
    <w:p w14:paraId="4D3B398E" w14:textId="77777777" w:rsidR="00BD7482" w:rsidRDefault="00BD7482"/>
  </w:endnote>
  <w:endnote w:type="continuationSeparator" w:id="0">
    <w:p w14:paraId="69267A7A" w14:textId="77777777" w:rsidR="00BD7482" w:rsidRDefault="00BD7482">
      <w:r>
        <w:continuationSeparator/>
      </w:r>
    </w:p>
    <w:p w14:paraId="04358B8A" w14:textId="77777777" w:rsidR="00BD7482" w:rsidRDefault="00BD7482"/>
  </w:endnote>
  <w:endnote w:type="continuationNotice" w:id="1">
    <w:p w14:paraId="77F713F3" w14:textId="77777777" w:rsidR="00BD7482" w:rsidRDefault="00BD74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ordia New">
    <w:panose1 w:val="020B0304020202020204"/>
    <w:charset w:val="DE"/>
    <w:family w:val="swiss"/>
    <w:pitch w:val="variable"/>
    <w:sig w:usb0="81000003" w:usb1="00000000" w:usb2="00000000" w:usb3="00000000" w:csb0="00010001" w:csb1="00000000"/>
  </w:font>
  <w:font w:name="MS PMincho">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PCL6)">
    <w:altName w:val="Times New Roman"/>
    <w:charset w:val="00"/>
    <w:family w:val="auto"/>
    <w:pitch w:val="variable"/>
    <w:sig w:usb0="E0002AE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imes">
    <w:altName w:val="Sylfae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PMEGME+TimesNewRoman">
    <w:altName w:val="Times New Roman"/>
    <w:panose1 w:val="00000000000000000000"/>
    <w:charset w:val="00"/>
    <w:family w:val="roman"/>
    <w:notTrueType/>
    <w:pitch w:val="default"/>
    <w:sig w:usb0="03000000"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Hei">
    <w:altName w:val="黑体"/>
    <w:panose1 w:val="02010609060101010101"/>
    <w:charset w:val="86"/>
    <w:family w:val="modern"/>
    <w:pitch w:val="fixed"/>
    <w:sig w:usb0="800002BF" w:usb1="38CF7CFA" w:usb2="00000016" w:usb3="00000000" w:csb0="00040001" w:csb1="00000000"/>
  </w:font>
  <w:font w:name="?????? Pro W3">
    <w:altName w:val="Yu Gothic"/>
    <w:panose1 w:val="00000000000000000000"/>
    <w:charset w:val="80"/>
    <w:family w:val="auto"/>
    <w:notTrueType/>
    <w:pitch w:val="variable"/>
    <w:sig w:usb0="00000001"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 w:name="Gulim">
    <w:altName w:val="굴림"/>
    <w:panose1 w:val="020B0600000101010101"/>
    <w:charset w:val="81"/>
    <w:family w:val="swiss"/>
    <w:pitch w:val="variable"/>
    <w:sig w:usb0="B00002AF" w:usb1="69D77CFB" w:usb2="00000030" w:usb3="00000000" w:csb0="0008009F" w:csb1="00000000"/>
  </w:font>
  <w:font w:name="Liberation Serif">
    <w:altName w:val="Times New Roman"/>
    <w:charset w:val="01"/>
    <w:family w:val="roman"/>
    <w:pitch w:val="variable"/>
  </w:font>
  <w:font w:name="Noto Sans CJK SC Regular">
    <w:altName w:val="Calibri"/>
    <w:charset w:val="00"/>
    <w:family w:val="auto"/>
    <w:pitch w:val="variable"/>
  </w:font>
  <w:font w:name="FreeSans">
    <w:altName w:val="Times New Roman"/>
    <w:charset w:val="01"/>
    <w:family w:val="auto"/>
    <w:pitch w:val="variable"/>
  </w:font>
  <w:font w:name="PMingLiU">
    <w:altName w:val="新細明體"/>
    <w:panose1 w:val="02010601000101010101"/>
    <w:charset w:val="88"/>
    <w:family w:val="roman"/>
    <w:pitch w:val="variable"/>
    <w:sig w:usb0="A00002FF" w:usb1="28CFFCFA" w:usb2="00000016" w:usb3="00000000" w:csb0="00100001"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36018" w14:textId="6D95717F" w:rsidR="005E594A" w:rsidRPr="006A24A8" w:rsidRDefault="00AC53BB" w:rsidP="00C35014">
    <w:pPr>
      <w:pStyle w:val="Footer"/>
      <w:pBdr>
        <w:top w:val="single" w:sz="4" w:space="1" w:color="auto"/>
      </w:pBdr>
      <w:tabs>
        <w:tab w:val="clear" w:pos="4320"/>
        <w:tab w:val="clear" w:pos="8640"/>
        <w:tab w:val="center" w:pos="4153"/>
        <w:tab w:val="right" w:pos="9072"/>
      </w:tabs>
      <w:jc w:val="center"/>
      <w:rPr>
        <w:rFonts w:ascii="Calibri" w:hAnsi="Calibri" w:cs="Calibri"/>
        <w:lang w:eastAsia="en-US"/>
      </w:rPr>
    </w:pPr>
    <w:sdt>
      <w:sdtPr>
        <w:rPr>
          <w:rFonts w:ascii="Calibri" w:hAnsi="Calibri" w:cs="Calibri"/>
          <w:lang w:eastAsia="en-US"/>
        </w:rPr>
        <w:id w:val="-1474592430"/>
        <w:docPartObj>
          <w:docPartGallery w:val="Page Numbers (Top of Page)"/>
          <w:docPartUnique/>
        </w:docPartObj>
      </w:sdtPr>
      <w:sdtEndPr/>
      <w:sdtContent>
        <w:r w:rsidR="005E594A" w:rsidRPr="006A24A8">
          <w:rPr>
            <w:rFonts w:ascii="Calibri" w:hAnsi="Calibri" w:cs="Calibri"/>
            <w:lang w:eastAsia="en-US"/>
          </w:rPr>
          <w:t xml:space="preserve">Page </w:t>
        </w:r>
        <w:r w:rsidR="005E594A" w:rsidRPr="006A24A8">
          <w:rPr>
            <w:rFonts w:ascii="Calibri" w:hAnsi="Calibri" w:cs="Calibri"/>
            <w:b/>
            <w:bCs/>
            <w:sz w:val="24"/>
            <w:szCs w:val="24"/>
            <w:lang w:eastAsia="en-US"/>
          </w:rPr>
          <w:fldChar w:fldCharType="begin"/>
        </w:r>
        <w:r w:rsidR="005E594A" w:rsidRPr="006A24A8">
          <w:rPr>
            <w:rFonts w:ascii="Calibri" w:hAnsi="Calibri" w:cs="Calibri"/>
            <w:b/>
            <w:bCs/>
            <w:lang w:eastAsia="en-US"/>
          </w:rPr>
          <w:instrText xml:space="preserve"> PAGE </w:instrText>
        </w:r>
        <w:r w:rsidR="005E594A" w:rsidRPr="006A24A8">
          <w:rPr>
            <w:rFonts w:ascii="Calibri" w:hAnsi="Calibri" w:cs="Calibri"/>
            <w:b/>
            <w:bCs/>
            <w:sz w:val="24"/>
            <w:szCs w:val="24"/>
            <w:lang w:eastAsia="en-US"/>
          </w:rPr>
          <w:fldChar w:fldCharType="separate"/>
        </w:r>
        <w:r w:rsidR="005E594A">
          <w:rPr>
            <w:rFonts w:ascii="Calibri" w:hAnsi="Calibri" w:cs="Calibri"/>
            <w:b/>
            <w:bCs/>
            <w:noProof/>
            <w:lang w:eastAsia="en-US"/>
          </w:rPr>
          <w:t>7</w:t>
        </w:r>
        <w:r w:rsidR="005E594A" w:rsidRPr="006A24A8">
          <w:rPr>
            <w:rFonts w:ascii="Calibri" w:hAnsi="Calibri" w:cs="Calibri"/>
            <w:b/>
            <w:bCs/>
            <w:sz w:val="24"/>
            <w:szCs w:val="24"/>
            <w:lang w:eastAsia="en-US"/>
          </w:rPr>
          <w:fldChar w:fldCharType="end"/>
        </w:r>
        <w:r w:rsidR="005E594A" w:rsidRPr="006A24A8">
          <w:rPr>
            <w:rFonts w:ascii="Calibri" w:hAnsi="Calibri" w:cs="Calibri"/>
            <w:b/>
            <w:bCs/>
            <w:sz w:val="24"/>
            <w:szCs w:val="24"/>
            <w:lang w:eastAsia="en-US"/>
          </w:rPr>
          <w:t xml:space="preserve"> </w:t>
        </w:r>
        <w:r w:rsidR="005E594A" w:rsidRPr="006A24A8">
          <w:rPr>
            <w:rFonts w:ascii="Calibri" w:hAnsi="Calibri" w:cs="Calibri"/>
            <w:lang w:eastAsia="en-US"/>
          </w:rPr>
          <w:t xml:space="preserve">of </w:t>
        </w:r>
        <w:r w:rsidR="005E594A" w:rsidRPr="006A24A8">
          <w:rPr>
            <w:rFonts w:ascii="Calibri" w:hAnsi="Calibri" w:cs="Calibri"/>
            <w:b/>
            <w:bCs/>
            <w:sz w:val="24"/>
            <w:szCs w:val="24"/>
            <w:lang w:eastAsia="en-US"/>
          </w:rPr>
          <w:fldChar w:fldCharType="begin"/>
        </w:r>
        <w:r w:rsidR="005E594A" w:rsidRPr="006A24A8">
          <w:rPr>
            <w:rFonts w:ascii="Calibri" w:hAnsi="Calibri" w:cs="Calibri"/>
            <w:b/>
            <w:bCs/>
            <w:lang w:eastAsia="en-US"/>
          </w:rPr>
          <w:instrText xml:space="preserve"> NUMPAGES  </w:instrText>
        </w:r>
        <w:r w:rsidR="005E594A" w:rsidRPr="006A24A8">
          <w:rPr>
            <w:rFonts w:ascii="Calibri" w:hAnsi="Calibri" w:cs="Calibri"/>
            <w:b/>
            <w:bCs/>
            <w:sz w:val="24"/>
            <w:szCs w:val="24"/>
            <w:lang w:eastAsia="en-US"/>
          </w:rPr>
          <w:fldChar w:fldCharType="separate"/>
        </w:r>
        <w:r w:rsidR="005E594A">
          <w:rPr>
            <w:rFonts w:ascii="Calibri" w:hAnsi="Calibri" w:cs="Calibri"/>
            <w:b/>
            <w:bCs/>
            <w:noProof/>
            <w:lang w:eastAsia="en-US"/>
          </w:rPr>
          <w:t>68</w:t>
        </w:r>
        <w:r w:rsidR="005E594A" w:rsidRPr="006A24A8">
          <w:rPr>
            <w:rFonts w:ascii="Calibri" w:hAnsi="Calibri" w:cs="Calibri"/>
            <w:b/>
            <w:bCs/>
            <w:sz w:val="24"/>
            <w:szCs w:val="24"/>
            <w:lang w:eastAsia="en-US"/>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3FDB9" w14:textId="4F83611E" w:rsidR="005E594A" w:rsidRDefault="00AC53BB" w:rsidP="00B53865">
    <w:pPr>
      <w:pStyle w:val="Footer"/>
      <w:pBdr>
        <w:top w:val="single" w:sz="4" w:space="1" w:color="auto"/>
      </w:pBdr>
      <w:tabs>
        <w:tab w:val="clear" w:pos="4320"/>
        <w:tab w:val="clear" w:pos="8640"/>
        <w:tab w:val="center" w:pos="4153"/>
        <w:tab w:val="right" w:pos="9072"/>
      </w:tabs>
      <w:jc w:val="center"/>
      <w:rPr>
        <w:lang w:eastAsia="en-US"/>
      </w:rPr>
    </w:pPr>
    <w:sdt>
      <w:sdtPr>
        <w:rPr>
          <w:lang w:eastAsia="en-US"/>
        </w:rPr>
        <w:id w:val="-2091297932"/>
        <w:docPartObj>
          <w:docPartGallery w:val="Page Numbers (Top of Page)"/>
          <w:docPartUnique/>
        </w:docPartObj>
      </w:sdtPr>
      <w:sdtEndPr/>
      <w:sdtContent>
        <w:r w:rsidR="005E594A" w:rsidRPr="008842C4">
          <w:rPr>
            <w:lang w:eastAsia="en-US"/>
          </w:rPr>
          <w:t xml:space="preserve">Page </w:t>
        </w:r>
        <w:r w:rsidR="005E594A" w:rsidRPr="008842C4">
          <w:rPr>
            <w:b/>
            <w:bCs/>
            <w:sz w:val="24"/>
            <w:szCs w:val="24"/>
            <w:lang w:eastAsia="en-US"/>
          </w:rPr>
          <w:fldChar w:fldCharType="begin"/>
        </w:r>
        <w:r w:rsidR="005E594A" w:rsidRPr="008842C4">
          <w:rPr>
            <w:b/>
            <w:bCs/>
            <w:lang w:eastAsia="en-US"/>
          </w:rPr>
          <w:instrText xml:space="preserve"> PAGE </w:instrText>
        </w:r>
        <w:r w:rsidR="005E594A" w:rsidRPr="008842C4">
          <w:rPr>
            <w:b/>
            <w:bCs/>
            <w:sz w:val="24"/>
            <w:szCs w:val="24"/>
            <w:lang w:eastAsia="en-US"/>
          </w:rPr>
          <w:fldChar w:fldCharType="separate"/>
        </w:r>
        <w:r w:rsidR="005E594A">
          <w:rPr>
            <w:b/>
            <w:bCs/>
            <w:noProof/>
            <w:lang w:eastAsia="en-US"/>
          </w:rPr>
          <w:t>8</w:t>
        </w:r>
        <w:r w:rsidR="005E594A" w:rsidRPr="008842C4">
          <w:rPr>
            <w:b/>
            <w:bCs/>
            <w:sz w:val="24"/>
            <w:szCs w:val="24"/>
            <w:lang w:eastAsia="en-US"/>
          </w:rPr>
          <w:fldChar w:fldCharType="end"/>
        </w:r>
        <w:r w:rsidR="005E594A">
          <w:rPr>
            <w:b/>
            <w:bCs/>
            <w:sz w:val="24"/>
            <w:szCs w:val="24"/>
            <w:lang w:eastAsia="en-US"/>
          </w:rPr>
          <w:t xml:space="preserve"> </w:t>
        </w:r>
        <w:r w:rsidR="005E594A" w:rsidRPr="00982D46">
          <w:rPr>
            <w:lang w:eastAsia="en-US"/>
          </w:rPr>
          <w:t>of</w:t>
        </w:r>
        <w:r w:rsidR="005E594A">
          <w:rPr>
            <w:lang w:eastAsia="en-US"/>
          </w:rPr>
          <w:t xml:space="preserve"> </w:t>
        </w:r>
        <w:r w:rsidR="005E594A" w:rsidRPr="008842C4">
          <w:rPr>
            <w:b/>
            <w:bCs/>
            <w:sz w:val="24"/>
            <w:szCs w:val="24"/>
            <w:lang w:eastAsia="en-US"/>
          </w:rPr>
          <w:fldChar w:fldCharType="begin"/>
        </w:r>
        <w:r w:rsidR="005E594A" w:rsidRPr="008842C4">
          <w:rPr>
            <w:b/>
            <w:bCs/>
            <w:lang w:eastAsia="en-US"/>
          </w:rPr>
          <w:instrText xml:space="preserve"> NUMPAGES  </w:instrText>
        </w:r>
        <w:r w:rsidR="005E594A" w:rsidRPr="008842C4">
          <w:rPr>
            <w:b/>
            <w:bCs/>
            <w:sz w:val="24"/>
            <w:szCs w:val="24"/>
            <w:lang w:eastAsia="en-US"/>
          </w:rPr>
          <w:fldChar w:fldCharType="separate"/>
        </w:r>
        <w:r w:rsidR="005E594A">
          <w:rPr>
            <w:b/>
            <w:bCs/>
            <w:noProof/>
            <w:lang w:eastAsia="en-US"/>
          </w:rPr>
          <w:t>68</w:t>
        </w:r>
        <w:r w:rsidR="005E594A" w:rsidRPr="008842C4">
          <w:rPr>
            <w:b/>
            <w:bCs/>
            <w:sz w:val="24"/>
            <w:szCs w:val="24"/>
            <w:lang w:eastAsia="en-US"/>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w:hAnsi="Calibri" w:cs="Calibri"/>
      </w:rPr>
      <w:id w:val="1719311345"/>
      <w:docPartObj>
        <w:docPartGallery w:val="Page Numbers (Bottom of Page)"/>
        <w:docPartUnique/>
      </w:docPartObj>
    </w:sdtPr>
    <w:sdtEndPr/>
    <w:sdtContent>
      <w:sdt>
        <w:sdtPr>
          <w:rPr>
            <w:rFonts w:ascii="Calibri" w:hAnsi="Calibri" w:cs="Calibri"/>
          </w:rPr>
          <w:id w:val="-1147197498"/>
          <w:docPartObj>
            <w:docPartGallery w:val="Page Numbers (Top of Page)"/>
            <w:docPartUnique/>
          </w:docPartObj>
        </w:sdtPr>
        <w:sdtEndPr/>
        <w:sdtContent>
          <w:sdt>
            <w:sdtPr>
              <w:rPr>
                <w:rFonts w:ascii="Calibri" w:hAnsi="Calibri" w:cs="Calibri"/>
              </w:rPr>
              <w:id w:val="413747742"/>
              <w:docPartObj>
                <w:docPartGallery w:val="Page Numbers (Bottom of Page)"/>
                <w:docPartUnique/>
              </w:docPartObj>
            </w:sdtPr>
            <w:sdtEndPr/>
            <w:sdtContent>
              <w:sdt>
                <w:sdtPr>
                  <w:rPr>
                    <w:rFonts w:ascii="Calibri" w:hAnsi="Calibri" w:cs="Calibri"/>
                  </w:rPr>
                  <w:id w:val="-1246950108"/>
                  <w:docPartObj>
                    <w:docPartGallery w:val="Page Numbers (Top of Page)"/>
                    <w:docPartUnique/>
                  </w:docPartObj>
                </w:sdtPr>
                <w:sdtEndPr/>
                <w:sdtContent>
                  <w:p w14:paraId="6B1CC816" w14:textId="77777777" w:rsidR="005E594A" w:rsidRPr="006A24A8" w:rsidRDefault="00AC53BB" w:rsidP="0060441B">
                    <w:pPr>
                      <w:pStyle w:val="Footer"/>
                      <w:pBdr>
                        <w:top w:val="single" w:sz="4" w:space="1" w:color="auto"/>
                      </w:pBdr>
                      <w:tabs>
                        <w:tab w:val="clear" w:pos="4320"/>
                        <w:tab w:val="clear" w:pos="8640"/>
                        <w:tab w:val="center" w:pos="4153"/>
                        <w:tab w:val="right" w:pos="9072"/>
                      </w:tabs>
                      <w:jc w:val="center"/>
                      <w:rPr>
                        <w:rFonts w:ascii="Calibri" w:hAnsi="Calibri" w:cs="Calibri"/>
                        <w:lang w:eastAsia="en-US"/>
                      </w:rPr>
                    </w:pPr>
                    <w:sdt>
                      <w:sdtPr>
                        <w:rPr>
                          <w:rFonts w:ascii="Calibri" w:hAnsi="Calibri" w:cs="Calibri"/>
                          <w:lang w:eastAsia="en-US"/>
                        </w:rPr>
                        <w:id w:val="1979416033"/>
                        <w:docPartObj>
                          <w:docPartGallery w:val="Page Numbers (Top of Page)"/>
                          <w:docPartUnique/>
                        </w:docPartObj>
                      </w:sdtPr>
                      <w:sdtEndPr/>
                      <w:sdtContent>
                        <w:r w:rsidR="005E594A" w:rsidRPr="006A24A8">
                          <w:rPr>
                            <w:rFonts w:ascii="Calibri" w:hAnsi="Calibri" w:cs="Calibri"/>
                            <w:lang w:eastAsia="en-US"/>
                          </w:rPr>
                          <w:t xml:space="preserve">Page </w:t>
                        </w:r>
                        <w:r w:rsidR="005E594A" w:rsidRPr="006A24A8">
                          <w:rPr>
                            <w:rFonts w:ascii="Calibri" w:hAnsi="Calibri" w:cs="Calibri"/>
                            <w:b/>
                            <w:bCs/>
                            <w:sz w:val="24"/>
                            <w:szCs w:val="24"/>
                            <w:lang w:eastAsia="en-US"/>
                          </w:rPr>
                          <w:fldChar w:fldCharType="begin"/>
                        </w:r>
                        <w:r w:rsidR="005E594A" w:rsidRPr="006A24A8">
                          <w:rPr>
                            <w:rFonts w:ascii="Calibri" w:hAnsi="Calibri" w:cs="Calibri"/>
                            <w:b/>
                            <w:bCs/>
                            <w:lang w:eastAsia="en-US"/>
                          </w:rPr>
                          <w:instrText xml:space="preserve"> PAGE </w:instrText>
                        </w:r>
                        <w:r w:rsidR="005E594A" w:rsidRPr="006A24A8">
                          <w:rPr>
                            <w:rFonts w:ascii="Calibri" w:hAnsi="Calibri" w:cs="Calibri"/>
                            <w:b/>
                            <w:bCs/>
                            <w:sz w:val="24"/>
                            <w:szCs w:val="24"/>
                            <w:lang w:eastAsia="en-US"/>
                          </w:rPr>
                          <w:fldChar w:fldCharType="separate"/>
                        </w:r>
                        <w:r w:rsidR="005E594A">
                          <w:rPr>
                            <w:rFonts w:ascii="Calibri" w:hAnsi="Calibri" w:cs="Calibri"/>
                            <w:b/>
                            <w:bCs/>
                            <w:noProof/>
                            <w:lang w:eastAsia="en-US"/>
                          </w:rPr>
                          <w:t>16</w:t>
                        </w:r>
                        <w:r w:rsidR="005E594A" w:rsidRPr="006A24A8">
                          <w:rPr>
                            <w:rFonts w:ascii="Calibri" w:hAnsi="Calibri" w:cs="Calibri"/>
                            <w:b/>
                            <w:bCs/>
                            <w:sz w:val="24"/>
                            <w:szCs w:val="24"/>
                            <w:lang w:eastAsia="en-US"/>
                          </w:rPr>
                          <w:fldChar w:fldCharType="end"/>
                        </w:r>
                        <w:r w:rsidR="005E594A" w:rsidRPr="006A24A8">
                          <w:rPr>
                            <w:rFonts w:ascii="Calibri" w:hAnsi="Calibri" w:cs="Calibri"/>
                            <w:b/>
                            <w:bCs/>
                            <w:sz w:val="24"/>
                            <w:szCs w:val="24"/>
                            <w:lang w:eastAsia="en-US"/>
                          </w:rPr>
                          <w:t xml:space="preserve"> </w:t>
                        </w:r>
                        <w:r w:rsidR="005E594A" w:rsidRPr="006A24A8">
                          <w:rPr>
                            <w:rFonts w:ascii="Calibri" w:hAnsi="Calibri" w:cs="Calibri"/>
                            <w:lang w:eastAsia="en-US"/>
                          </w:rPr>
                          <w:t xml:space="preserve">of </w:t>
                        </w:r>
                        <w:r w:rsidR="005E594A" w:rsidRPr="006A24A8">
                          <w:rPr>
                            <w:rFonts w:ascii="Calibri" w:hAnsi="Calibri" w:cs="Calibri"/>
                            <w:b/>
                            <w:bCs/>
                            <w:sz w:val="24"/>
                            <w:szCs w:val="24"/>
                            <w:lang w:eastAsia="en-US"/>
                          </w:rPr>
                          <w:fldChar w:fldCharType="begin"/>
                        </w:r>
                        <w:r w:rsidR="005E594A" w:rsidRPr="006A24A8">
                          <w:rPr>
                            <w:rFonts w:ascii="Calibri" w:hAnsi="Calibri" w:cs="Calibri"/>
                            <w:b/>
                            <w:bCs/>
                            <w:lang w:eastAsia="en-US"/>
                          </w:rPr>
                          <w:instrText xml:space="preserve"> NUMPAGES  </w:instrText>
                        </w:r>
                        <w:r w:rsidR="005E594A" w:rsidRPr="006A24A8">
                          <w:rPr>
                            <w:rFonts w:ascii="Calibri" w:hAnsi="Calibri" w:cs="Calibri"/>
                            <w:b/>
                            <w:bCs/>
                            <w:sz w:val="24"/>
                            <w:szCs w:val="24"/>
                            <w:lang w:eastAsia="en-US"/>
                          </w:rPr>
                          <w:fldChar w:fldCharType="separate"/>
                        </w:r>
                        <w:r w:rsidR="005E594A">
                          <w:rPr>
                            <w:rFonts w:ascii="Calibri" w:hAnsi="Calibri" w:cs="Calibri"/>
                            <w:b/>
                            <w:bCs/>
                            <w:noProof/>
                            <w:lang w:eastAsia="en-US"/>
                          </w:rPr>
                          <w:t>68</w:t>
                        </w:r>
                        <w:r w:rsidR="005E594A" w:rsidRPr="006A24A8">
                          <w:rPr>
                            <w:rFonts w:ascii="Calibri" w:hAnsi="Calibri" w:cs="Calibri"/>
                            <w:b/>
                            <w:bCs/>
                            <w:sz w:val="24"/>
                            <w:szCs w:val="24"/>
                            <w:lang w:eastAsia="en-US"/>
                          </w:rPr>
                          <w:fldChar w:fldCharType="end"/>
                        </w:r>
                      </w:sdtContent>
                    </w:sdt>
                  </w:p>
                </w:sdtContent>
              </w:sdt>
            </w:sdtContent>
          </w:sdt>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D2CEC" w14:textId="77777777" w:rsidR="005E594A" w:rsidRDefault="00AC53BB" w:rsidP="0060441B">
    <w:pPr>
      <w:pStyle w:val="Footer"/>
      <w:pBdr>
        <w:top w:val="single" w:sz="4" w:space="1" w:color="auto"/>
      </w:pBdr>
      <w:tabs>
        <w:tab w:val="clear" w:pos="4320"/>
        <w:tab w:val="clear" w:pos="8640"/>
        <w:tab w:val="center" w:pos="4153"/>
        <w:tab w:val="right" w:pos="9072"/>
      </w:tabs>
      <w:jc w:val="center"/>
      <w:rPr>
        <w:lang w:eastAsia="en-US"/>
      </w:rPr>
    </w:pPr>
    <w:sdt>
      <w:sdtPr>
        <w:rPr>
          <w:lang w:eastAsia="en-US"/>
        </w:rPr>
        <w:id w:val="-368069180"/>
        <w:docPartObj>
          <w:docPartGallery w:val="Page Numbers (Top of Page)"/>
          <w:docPartUnique/>
        </w:docPartObj>
      </w:sdtPr>
      <w:sdtEndPr/>
      <w:sdtContent>
        <w:r w:rsidR="005E594A" w:rsidRPr="008842C4">
          <w:rPr>
            <w:lang w:eastAsia="en-US"/>
          </w:rPr>
          <w:t xml:space="preserve">Page </w:t>
        </w:r>
        <w:r w:rsidR="005E594A" w:rsidRPr="008842C4">
          <w:rPr>
            <w:b/>
            <w:bCs/>
            <w:sz w:val="24"/>
            <w:szCs w:val="24"/>
            <w:lang w:eastAsia="en-US"/>
          </w:rPr>
          <w:fldChar w:fldCharType="begin"/>
        </w:r>
        <w:r w:rsidR="005E594A" w:rsidRPr="008842C4">
          <w:rPr>
            <w:b/>
            <w:bCs/>
            <w:lang w:eastAsia="en-US"/>
          </w:rPr>
          <w:instrText xml:space="preserve"> PAGE </w:instrText>
        </w:r>
        <w:r w:rsidR="005E594A" w:rsidRPr="008842C4">
          <w:rPr>
            <w:b/>
            <w:bCs/>
            <w:sz w:val="24"/>
            <w:szCs w:val="24"/>
            <w:lang w:eastAsia="en-US"/>
          </w:rPr>
          <w:fldChar w:fldCharType="separate"/>
        </w:r>
        <w:r w:rsidR="005E594A">
          <w:rPr>
            <w:b/>
            <w:bCs/>
            <w:noProof/>
            <w:lang w:eastAsia="en-US"/>
          </w:rPr>
          <w:t>88</w:t>
        </w:r>
        <w:r w:rsidR="005E594A" w:rsidRPr="008842C4">
          <w:rPr>
            <w:b/>
            <w:bCs/>
            <w:sz w:val="24"/>
            <w:szCs w:val="24"/>
            <w:lang w:eastAsia="en-US"/>
          </w:rPr>
          <w:fldChar w:fldCharType="end"/>
        </w:r>
        <w:r w:rsidR="005E594A" w:rsidRPr="00982D46">
          <w:rPr>
            <w:lang w:eastAsia="en-US"/>
          </w:rPr>
          <w:t>of</w:t>
        </w:r>
        <w:r w:rsidR="005E594A" w:rsidRPr="008842C4">
          <w:rPr>
            <w:b/>
            <w:bCs/>
            <w:sz w:val="24"/>
            <w:szCs w:val="24"/>
            <w:lang w:eastAsia="en-US"/>
          </w:rPr>
          <w:fldChar w:fldCharType="begin"/>
        </w:r>
        <w:r w:rsidR="005E594A" w:rsidRPr="008842C4">
          <w:rPr>
            <w:b/>
            <w:bCs/>
            <w:lang w:eastAsia="en-US"/>
          </w:rPr>
          <w:instrText xml:space="preserve"> NUMPAGES  </w:instrText>
        </w:r>
        <w:r w:rsidR="005E594A" w:rsidRPr="008842C4">
          <w:rPr>
            <w:b/>
            <w:bCs/>
            <w:sz w:val="24"/>
            <w:szCs w:val="24"/>
            <w:lang w:eastAsia="en-US"/>
          </w:rPr>
          <w:fldChar w:fldCharType="separate"/>
        </w:r>
        <w:r w:rsidR="005E594A">
          <w:rPr>
            <w:b/>
            <w:bCs/>
            <w:noProof/>
            <w:lang w:eastAsia="en-US"/>
          </w:rPr>
          <w:t>94</w:t>
        </w:r>
        <w:r w:rsidR="005E594A" w:rsidRPr="008842C4">
          <w:rPr>
            <w:b/>
            <w:bCs/>
            <w:sz w:val="24"/>
            <w:szCs w:val="24"/>
            <w:lang w:eastAsia="en-US"/>
          </w:rPr>
          <w:fldChar w:fldCharType="end"/>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57B74" w14:textId="667E8A42" w:rsidR="005E594A" w:rsidRPr="002B27A9" w:rsidRDefault="005E594A" w:rsidP="00B61BC6">
    <w:pPr>
      <w:pStyle w:val="Footer"/>
      <w:pBdr>
        <w:top w:val="single" w:sz="4" w:space="1" w:color="auto"/>
      </w:pBdr>
      <w:jc w:val="center"/>
      <w:rPr>
        <w:rFonts w:ascii="Calibri" w:hAnsi="Calibri" w:cs="Calibri"/>
      </w:rPr>
    </w:pPr>
    <w:r w:rsidRPr="002B27A9">
      <w:rPr>
        <w:rFonts w:ascii="Calibri" w:hAnsi="Calibri" w:cs="Calibri"/>
      </w:rPr>
      <w:t xml:space="preserve">Page </w:t>
    </w:r>
    <w:r w:rsidRPr="002B27A9">
      <w:rPr>
        <w:rFonts w:ascii="Calibri" w:hAnsi="Calibri" w:cs="Calibri"/>
        <w:b/>
        <w:bCs/>
      </w:rPr>
      <w:fldChar w:fldCharType="begin"/>
    </w:r>
    <w:r w:rsidRPr="002B27A9">
      <w:rPr>
        <w:rFonts w:ascii="Calibri" w:hAnsi="Calibri" w:cs="Calibri"/>
        <w:b/>
        <w:bCs/>
      </w:rPr>
      <w:instrText xml:space="preserve"> PAGE </w:instrText>
    </w:r>
    <w:r w:rsidRPr="002B27A9">
      <w:rPr>
        <w:rFonts w:ascii="Calibri" w:hAnsi="Calibri" w:cs="Calibri"/>
        <w:b/>
        <w:bCs/>
      </w:rPr>
      <w:fldChar w:fldCharType="separate"/>
    </w:r>
    <w:r>
      <w:rPr>
        <w:rFonts w:ascii="Calibri" w:hAnsi="Calibri" w:cs="Calibri"/>
        <w:b/>
        <w:bCs/>
        <w:noProof/>
      </w:rPr>
      <w:t>68</w:t>
    </w:r>
    <w:r w:rsidRPr="002B27A9">
      <w:rPr>
        <w:rFonts w:ascii="Calibri" w:hAnsi="Calibri" w:cs="Calibri"/>
        <w:b/>
        <w:bCs/>
      </w:rPr>
      <w:fldChar w:fldCharType="end"/>
    </w:r>
    <w:r w:rsidRPr="002B27A9">
      <w:rPr>
        <w:rFonts w:ascii="Calibri" w:hAnsi="Calibri" w:cs="Calibri"/>
      </w:rPr>
      <w:t xml:space="preserve"> of </w:t>
    </w:r>
    <w:r w:rsidRPr="002B27A9">
      <w:rPr>
        <w:rFonts w:ascii="Calibri" w:hAnsi="Calibri" w:cs="Calibri"/>
        <w:b/>
        <w:bCs/>
      </w:rPr>
      <w:fldChar w:fldCharType="begin"/>
    </w:r>
    <w:r w:rsidRPr="002B27A9">
      <w:rPr>
        <w:rFonts w:ascii="Calibri" w:hAnsi="Calibri" w:cs="Calibri"/>
        <w:b/>
        <w:bCs/>
      </w:rPr>
      <w:instrText xml:space="preserve"> NUMPAGES  </w:instrText>
    </w:r>
    <w:r w:rsidRPr="002B27A9">
      <w:rPr>
        <w:rFonts w:ascii="Calibri" w:hAnsi="Calibri" w:cs="Calibri"/>
        <w:b/>
        <w:bCs/>
      </w:rPr>
      <w:fldChar w:fldCharType="separate"/>
    </w:r>
    <w:r>
      <w:rPr>
        <w:rFonts w:ascii="Calibri" w:hAnsi="Calibri" w:cs="Calibri"/>
        <w:b/>
        <w:bCs/>
        <w:noProof/>
      </w:rPr>
      <w:t>68</w:t>
    </w:r>
    <w:r w:rsidRPr="002B27A9">
      <w:rPr>
        <w:rFonts w:ascii="Calibri" w:hAnsi="Calibri" w:cs="Calibri"/>
        <w:b/>
        <w:bCs/>
      </w:rPr>
      <w:fldChar w:fldCharType="end"/>
    </w:r>
  </w:p>
  <w:p w14:paraId="52B35A10" w14:textId="77777777" w:rsidR="005E594A" w:rsidRDefault="005E594A"/>
  <w:p w14:paraId="2498254D" w14:textId="77777777" w:rsidR="005E594A" w:rsidRDefault="005E594A"/>
  <w:p w14:paraId="18FA508E" w14:textId="77777777" w:rsidR="00D23AA6" w:rsidRDefault="00D23AA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27620" w14:textId="77777777" w:rsidR="00BD7482" w:rsidRDefault="00BD7482">
      <w:r>
        <w:separator/>
      </w:r>
    </w:p>
    <w:p w14:paraId="59EAA03C" w14:textId="77777777" w:rsidR="00BD7482" w:rsidRDefault="00BD7482"/>
  </w:footnote>
  <w:footnote w:type="continuationSeparator" w:id="0">
    <w:p w14:paraId="646F5631" w14:textId="77777777" w:rsidR="00BD7482" w:rsidRDefault="00BD7482">
      <w:r>
        <w:continuationSeparator/>
      </w:r>
    </w:p>
    <w:p w14:paraId="1E4A7CAE" w14:textId="77777777" w:rsidR="00BD7482" w:rsidRDefault="00BD7482"/>
  </w:footnote>
  <w:footnote w:type="continuationNotice" w:id="1">
    <w:p w14:paraId="05EA419E" w14:textId="77777777" w:rsidR="00BD7482" w:rsidRDefault="00BD748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09E15" w14:textId="4983A807" w:rsidR="005E594A" w:rsidRPr="002B27A9" w:rsidRDefault="005E594A" w:rsidP="002B27A9">
    <w:pPr>
      <w:pBdr>
        <w:bottom w:val="single" w:sz="4" w:space="1" w:color="auto"/>
      </w:pBdr>
      <w:spacing w:after="240"/>
      <w:jc w:val="right"/>
      <w:rPr>
        <w:rFonts w:ascii="Calibri" w:hAnsi="Calibri" w:cs="Calibri"/>
      </w:rPr>
    </w:pPr>
    <w:r w:rsidRPr="002B27A9">
      <w:rPr>
        <w:rFonts w:ascii="Calibri" w:hAnsi="Calibri" w:cs="Calibri"/>
        <w:sz w:val="28"/>
        <w:szCs w:val="28"/>
        <w:lang w:eastAsia="en-US"/>
      </w:rPr>
      <w:t>IOTC–202</w:t>
    </w:r>
    <w:r w:rsidR="00561974">
      <w:rPr>
        <w:rFonts w:ascii="Calibri" w:hAnsi="Calibri" w:cs="Calibri"/>
        <w:sz w:val="28"/>
        <w:szCs w:val="28"/>
        <w:lang w:eastAsia="en-US"/>
      </w:rPr>
      <w:t>5</w:t>
    </w:r>
    <w:r w:rsidRPr="002B27A9">
      <w:rPr>
        <w:rFonts w:ascii="Calibri" w:hAnsi="Calibri" w:cs="Calibri"/>
        <w:sz w:val="28"/>
        <w:szCs w:val="28"/>
        <w:lang w:eastAsia="en-US"/>
      </w:rPr>
      <w:t>–WPB</w:t>
    </w:r>
    <w:r w:rsidR="00DB339D">
      <w:rPr>
        <w:rFonts w:ascii="Calibri" w:hAnsi="Calibri" w:cs="Calibri"/>
        <w:sz w:val="28"/>
        <w:szCs w:val="28"/>
        <w:lang w:eastAsia="en-US"/>
      </w:rPr>
      <w:t>2</w:t>
    </w:r>
    <w:r w:rsidR="00561974">
      <w:rPr>
        <w:rFonts w:ascii="Calibri" w:hAnsi="Calibri" w:cs="Calibri"/>
        <w:sz w:val="28"/>
        <w:szCs w:val="28"/>
        <w:lang w:eastAsia="en-US"/>
      </w:rPr>
      <w:t>3</w:t>
    </w:r>
    <w:r w:rsidRPr="002B27A9">
      <w:rPr>
        <w:rFonts w:ascii="Calibri" w:hAnsi="Calibri" w:cs="Calibri"/>
        <w:sz w:val="28"/>
        <w:szCs w:val="28"/>
        <w:lang w:eastAsia="en-US"/>
      </w:rPr>
      <w:t>–R[E]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27FBC" w14:textId="307459B5" w:rsidR="005E594A" w:rsidRPr="00957A92" w:rsidRDefault="005E594A" w:rsidP="00CD5E4A">
    <w:pPr>
      <w:pBdr>
        <w:bottom w:val="single" w:sz="4" w:space="1" w:color="auto"/>
      </w:pBdr>
      <w:tabs>
        <w:tab w:val="center" w:pos="4320"/>
        <w:tab w:val="right" w:pos="8640"/>
      </w:tabs>
      <w:jc w:val="right"/>
      <w:rPr>
        <w:rFonts w:ascii="Calibri" w:hAnsi="Calibri" w:cs="Calibri"/>
        <w:sz w:val="28"/>
        <w:szCs w:val="28"/>
        <w:lang w:eastAsia="en-US"/>
      </w:rPr>
    </w:pPr>
    <w:r w:rsidRPr="00BD768D">
      <w:rPr>
        <w:noProof/>
        <w:lang w:val="en-ZA" w:eastAsia="en-ZA"/>
      </w:rPr>
      <w:drawing>
        <wp:inline distT="0" distB="0" distL="0" distR="0" wp14:anchorId="087189A9" wp14:editId="06BADE15">
          <wp:extent cx="6645910" cy="618490"/>
          <wp:effectExtent l="0" t="0" r="2540" b="0"/>
          <wp:docPr id="682" name="Picture 682" descr="cid:image001.jpg@01D314FA.8A60D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1.jpg@01D314FA.8A60DE2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6645910" cy="618490"/>
                  </a:xfrm>
                  <a:prstGeom prst="rect">
                    <a:avLst/>
                  </a:prstGeom>
                  <a:noFill/>
                  <a:ln>
                    <a:noFill/>
                  </a:ln>
                </pic:spPr>
              </pic:pic>
            </a:graphicData>
          </a:graphic>
        </wp:inline>
      </w:drawing>
    </w:r>
    <w:r w:rsidRPr="00957A92">
      <w:rPr>
        <w:rFonts w:ascii="Calibri" w:hAnsi="Calibri" w:cs="Calibri"/>
        <w:sz w:val="28"/>
        <w:szCs w:val="28"/>
        <w:lang w:eastAsia="en-US"/>
      </w:rPr>
      <w:t>IOTC–202</w:t>
    </w:r>
    <w:r w:rsidR="00767287">
      <w:rPr>
        <w:rFonts w:ascii="Calibri" w:hAnsi="Calibri" w:cs="Calibri"/>
        <w:sz w:val="28"/>
        <w:szCs w:val="28"/>
        <w:lang w:eastAsia="en-US"/>
      </w:rPr>
      <w:t>5</w:t>
    </w:r>
    <w:r w:rsidRPr="00957A92">
      <w:rPr>
        <w:rFonts w:ascii="Calibri" w:hAnsi="Calibri" w:cs="Calibri"/>
        <w:sz w:val="28"/>
        <w:szCs w:val="28"/>
        <w:lang w:eastAsia="en-US"/>
      </w:rPr>
      <w:t>–WPB</w:t>
    </w:r>
    <w:r w:rsidR="00DB339D">
      <w:rPr>
        <w:rFonts w:ascii="Calibri" w:hAnsi="Calibri" w:cs="Calibri"/>
        <w:sz w:val="28"/>
        <w:szCs w:val="28"/>
        <w:lang w:eastAsia="en-US"/>
      </w:rPr>
      <w:t>2</w:t>
    </w:r>
    <w:r w:rsidR="00767287">
      <w:rPr>
        <w:rFonts w:ascii="Calibri" w:hAnsi="Calibri" w:cs="Calibri"/>
        <w:sz w:val="28"/>
        <w:szCs w:val="28"/>
        <w:lang w:eastAsia="en-US"/>
      </w:rPr>
      <w:t>3</w:t>
    </w:r>
    <w:r w:rsidRPr="00957A92">
      <w:rPr>
        <w:rFonts w:ascii="Calibri" w:hAnsi="Calibri" w:cs="Calibri"/>
        <w:sz w:val="28"/>
        <w:szCs w:val="28"/>
        <w:lang w:eastAsia="en-US"/>
      </w:rPr>
      <w:t>–R[E]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6C1AF" w14:textId="75E31191" w:rsidR="005E594A" w:rsidRPr="00957A92" w:rsidRDefault="005E594A" w:rsidP="00957A92">
    <w:pPr>
      <w:pBdr>
        <w:bottom w:val="single" w:sz="4" w:space="1" w:color="auto"/>
      </w:pBdr>
      <w:tabs>
        <w:tab w:val="center" w:pos="4320"/>
        <w:tab w:val="right" w:pos="8640"/>
      </w:tabs>
      <w:jc w:val="right"/>
      <w:rPr>
        <w:rFonts w:ascii="Calibri" w:hAnsi="Calibri" w:cs="Calibri"/>
        <w:sz w:val="28"/>
        <w:szCs w:val="28"/>
        <w:lang w:eastAsia="en-US"/>
      </w:rPr>
    </w:pPr>
    <w:r w:rsidRPr="00957A92">
      <w:rPr>
        <w:rFonts w:ascii="Calibri" w:hAnsi="Calibri" w:cs="Calibri"/>
        <w:sz w:val="28"/>
        <w:szCs w:val="28"/>
        <w:lang w:eastAsia="en-US"/>
      </w:rPr>
      <w:t>IOTC–202</w:t>
    </w:r>
    <w:r w:rsidR="00480A65">
      <w:rPr>
        <w:rFonts w:ascii="Calibri" w:hAnsi="Calibri" w:cs="Calibri"/>
        <w:sz w:val="28"/>
        <w:szCs w:val="28"/>
        <w:lang w:eastAsia="en-US"/>
      </w:rPr>
      <w:t>5</w:t>
    </w:r>
    <w:r w:rsidRPr="00957A92">
      <w:rPr>
        <w:rFonts w:ascii="Calibri" w:hAnsi="Calibri" w:cs="Calibri"/>
        <w:sz w:val="28"/>
        <w:szCs w:val="28"/>
        <w:lang w:eastAsia="en-US"/>
      </w:rPr>
      <w:t>–WPB</w:t>
    </w:r>
    <w:r w:rsidR="001256E6">
      <w:rPr>
        <w:rFonts w:ascii="Calibri" w:hAnsi="Calibri" w:cs="Calibri"/>
        <w:sz w:val="28"/>
        <w:szCs w:val="28"/>
        <w:lang w:eastAsia="en-US"/>
      </w:rPr>
      <w:t>2</w:t>
    </w:r>
    <w:r w:rsidR="00480A65">
      <w:rPr>
        <w:rFonts w:ascii="Calibri" w:hAnsi="Calibri" w:cs="Calibri"/>
        <w:sz w:val="28"/>
        <w:szCs w:val="28"/>
        <w:lang w:eastAsia="en-US"/>
      </w:rPr>
      <w:t>3</w:t>
    </w:r>
    <w:r w:rsidRPr="00957A92">
      <w:rPr>
        <w:rFonts w:ascii="Calibri" w:hAnsi="Calibri" w:cs="Calibri"/>
        <w:sz w:val="28"/>
        <w:szCs w:val="28"/>
        <w:lang w:eastAsia="en-US"/>
      </w:rPr>
      <w:t>–R[E</w:t>
    </w:r>
    <w:r>
      <w:rPr>
        <w:rFonts w:ascii="Calibri" w:hAnsi="Calibri" w:cs="Calibri"/>
        <w:sz w:val="28"/>
        <w:szCs w:val="28"/>
        <w:lang w:eastAsia="en-US"/>
      </w:rP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898A3" w14:textId="77777777" w:rsidR="005E594A" w:rsidRDefault="005E594A" w:rsidP="008842C4">
    <w:pPr>
      <w:pBdr>
        <w:bottom w:val="single" w:sz="4" w:space="1" w:color="auto"/>
      </w:pBdr>
      <w:tabs>
        <w:tab w:val="center" w:pos="4320"/>
        <w:tab w:val="right" w:pos="8640"/>
      </w:tabs>
      <w:jc w:val="center"/>
      <w:rPr>
        <w:lang w:eastAsia="en-US"/>
      </w:rPr>
    </w:pPr>
    <w:r w:rsidRPr="008842C4">
      <w:rPr>
        <w:noProof/>
        <w:lang w:val="en-ZA" w:eastAsia="en-ZA"/>
      </w:rPr>
      <w:drawing>
        <wp:inline distT="0" distB="0" distL="0" distR="0" wp14:anchorId="795CCF71" wp14:editId="788F1A75">
          <wp:extent cx="6575728" cy="778788"/>
          <wp:effectExtent l="0" t="0" r="0" b="2540"/>
          <wp:docPr id="1377667207" name="Picture 1377667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OTCLogoCMYKLetterHeadGreySale.jpg"/>
                  <pic:cNvPicPr/>
                </pic:nvPicPr>
                <pic:blipFill>
                  <a:blip r:embed="rId1">
                    <a:extLst>
                      <a:ext uri="{28A0092B-C50C-407E-A947-70E740481C1C}">
                        <a14:useLocalDpi xmlns:a14="http://schemas.microsoft.com/office/drawing/2010/main" val="0"/>
                      </a:ext>
                    </a:extLst>
                  </a:blip>
                  <a:stretch>
                    <a:fillRect/>
                  </a:stretch>
                </pic:blipFill>
                <pic:spPr>
                  <a:xfrm>
                    <a:off x="0" y="0"/>
                    <a:ext cx="6586903" cy="780112"/>
                  </a:xfrm>
                  <a:prstGeom prst="rect">
                    <a:avLst/>
                  </a:prstGeom>
                </pic:spPr>
              </pic:pic>
            </a:graphicData>
          </a:graphic>
        </wp:inline>
      </w:drawing>
    </w:r>
  </w:p>
  <w:p w14:paraId="06E4990F" w14:textId="0370468D" w:rsidR="005E594A" w:rsidRPr="008842C4" w:rsidRDefault="005E594A" w:rsidP="008842C4">
    <w:pPr>
      <w:pBdr>
        <w:bottom w:val="single" w:sz="4" w:space="1" w:color="auto"/>
      </w:pBdr>
      <w:tabs>
        <w:tab w:val="center" w:pos="4320"/>
        <w:tab w:val="right" w:pos="8640"/>
      </w:tabs>
      <w:jc w:val="right"/>
      <w:rPr>
        <w:sz w:val="28"/>
        <w:szCs w:val="28"/>
        <w:lang w:eastAsia="en-US"/>
      </w:rPr>
    </w:pPr>
    <w:r w:rsidRPr="008842C4">
      <w:rPr>
        <w:sz w:val="28"/>
        <w:szCs w:val="28"/>
        <w:lang w:eastAsia="en-US"/>
      </w:rPr>
      <w:t>IOTC–201</w:t>
    </w:r>
    <w:r>
      <w:rPr>
        <w:sz w:val="28"/>
        <w:szCs w:val="28"/>
        <w:lang w:eastAsia="en-US"/>
      </w:rPr>
      <w:t>9</w:t>
    </w:r>
    <w:r w:rsidRPr="008842C4">
      <w:rPr>
        <w:sz w:val="28"/>
        <w:szCs w:val="28"/>
        <w:lang w:eastAsia="en-US"/>
      </w:rPr>
      <w:t>–WPB</w:t>
    </w:r>
    <w:r>
      <w:rPr>
        <w:sz w:val="28"/>
        <w:szCs w:val="28"/>
        <w:lang w:eastAsia="en-US"/>
      </w:rPr>
      <w:t>17</w:t>
    </w:r>
    <w:r w:rsidRPr="008842C4">
      <w:rPr>
        <w:sz w:val="28"/>
        <w:szCs w:val="28"/>
        <w:lang w:eastAsia="en-US"/>
      </w:rPr>
      <w:t>–R[E]</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09644" w14:textId="5A463748" w:rsidR="005E594A" w:rsidRPr="00957A92" w:rsidRDefault="005E594A" w:rsidP="00957A92">
    <w:pPr>
      <w:pBdr>
        <w:bottom w:val="single" w:sz="4" w:space="1" w:color="auto"/>
      </w:pBdr>
      <w:tabs>
        <w:tab w:val="center" w:pos="4320"/>
        <w:tab w:val="right" w:pos="8640"/>
      </w:tabs>
      <w:spacing w:after="240"/>
      <w:jc w:val="right"/>
      <w:rPr>
        <w:rFonts w:ascii="Calibri" w:hAnsi="Calibri" w:cs="Calibri"/>
        <w:sz w:val="28"/>
        <w:szCs w:val="28"/>
        <w:lang w:eastAsia="en-US"/>
      </w:rPr>
    </w:pPr>
    <w:r w:rsidRPr="00957A92">
      <w:rPr>
        <w:rFonts w:ascii="Calibri" w:hAnsi="Calibri" w:cs="Calibri"/>
        <w:sz w:val="28"/>
        <w:szCs w:val="28"/>
        <w:lang w:eastAsia="en-US"/>
      </w:rPr>
      <w:t>IOTC–202</w:t>
    </w:r>
    <w:r w:rsidR="00480A65">
      <w:rPr>
        <w:rFonts w:ascii="Calibri" w:hAnsi="Calibri" w:cs="Calibri"/>
        <w:sz w:val="28"/>
        <w:szCs w:val="28"/>
        <w:lang w:eastAsia="en-US"/>
      </w:rPr>
      <w:t>5</w:t>
    </w:r>
    <w:r w:rsidRPr="00957A92">
      <w:rPr>
        <w:rFonts w:ascii="Calibri" w:hAnsi="Calibri" w:cs="Calibri"/>
        <w:sz w:val="28"/>
        <w:szCs w:val="28"/>
        <w:lang w:eastAsia="en-US"/>
      </w:rPr>
      <w:t>–WPB</w:t>
    </w:r>
    <w:r w:rsidR="00E64C70">
      <w:rPr>
        <w:rFonts w:ascii="Calibri" w:hAnsi="Calibri" w:cs="Calibri"/>
        <w:sz w:val="28"/>
        <w:szCs w:val="28"/>
        <w:lang w:eastAsia="en-US"/>
      </w:rPr>
      <w:t>2</w:t>
    </w:r>
    <w:r w:rsidR="00480A65">
      <w:rPr>
        <w:rFonts w:ascii="Calibri" w:hAnsi="Calibri" w:cs="Calibri"/>
        <w:sz w:val="28"/>
        <w:szCs w:val="28"/>
        <w:lang w:eastAsia="en-US"/>
      </w:rPr>
      <w:t>3</w:t>
    </w:r>
    <w:r w:rsidRPr="00957A92">
      <w:rPr>
        <w:rFonts w:ascii="Calibri" w:hAnsi="Calibri" w:cs="Calibri"/>
        <w:sz w:val="28"/>
        <w:szCs w:val="28"/>
        <w:lang w:eastAsia="en-US"/>
      </w:rPr>
      <w:t>–R[E]</w:t>
    </w:r>
  </w:p>
  <w:p w14:paraId="1742624C" w14:textId="77777777" w:rsidR="00D23AA6" w:rsidRDefault="00D23AA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5F361CAE"/>
    <w:lvl w:ilvl="0">
      <w:start w:val="1"/>
      <w:numFmt w:val="bullet"/>
      <w:pStyle w:val="NoteLevel11"/>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C20B1C"/>
    <w:multiLevelType w:val="multilevel"/>
    <w:tmpl w:val="B3CC18E4"/>
    <w:name w:val="WW8Num19"/>
    <w:lvl w:ilvl="0">
      <w:start w:val="1"/>
      <w:numFmt w:val="decimal"/>
      <w:lvlText w:val="%1."/>
      <w:lvlJc w:val="left"/>
      <w:pPr>
        <w:tabs>
          <w:tab w:val="num" w:pos="288"/>
        </w:tabs>
        <w:ind w:left="288" w:hanging="288"/>
      </w:pPr>
      <w:rPr>
        <w:rFonts w:hint="default"/>
        <w:b w:val="0"/>
        <w:i w:val="0"/>
      </w:rPr>
    </w:lvl>
    <w:lvl w:ilvl="1">
      <w:start w:val="1"/>
      <w:numFmt w:val="bullet"/>
      <w:lvlText w:val=""/>
      <w:lvlJc w:val="left"/>
      <w:pPr>
        <w:tabs>
          <w:tab w:val="num" w:pos="648"/>
        </w:tabs>
        <w:ind w:left="1008" w:hanging="432"/>
      </w:pPr>
      <w:rPr>
        <w:rFonts w:ascii="Symbol" w:hAnsi="Symbol" w:hint="default"/>
      </w:rPr>
    </w:lvl>
    <w:lvl w:ilvl="2">
      <w:start w:val="1"/>
      <w:numFmt w:val="decimal"/>
      <w:lvlText w:val="%1.%2.%3"/>
      <w:lvlJc w:val="left"/>
      <w:pPr>
        <w:tabs>
          <w:tab w:val="num" w:pos="1152"/>
        </w:tabs>
        <w:ind w:left="1152" w:hanging="360"/>
      </w:pPr>
      <w:rPr>
        <w:rFonts w:hint="default"/>
      </w:rPr>
    </w:lvl>
    <w:lvl w:ilvl="3">
      <w:start w:val="1"/>
      <w:numFmt w:val="decimal"/>
      <w:lvlText w:val="%1.%2.%3.%4"/>
      <w:lvlJc w:val="left"/>
      <w:pPr>
        <w:tabs>
          <w:tab w:val="num" w:pos="1296"/>
        </w:tabs>
        <w:ind w:left="1296" w:hanging="864"/>
      </w:pPr>
      <w:rPr>
        <w:rFonts w:hint="default"/>
      </w:rPr>
    </w:lvl>
    <w:lvl w:ilvl="4">
      <w:start w:val="1"/>
      <w:numFmt w:val="decimal"/>
      <w:lvlText w:val="%1.%2.%3.%4.%5"/>
      <w:lvlJc w:val="left"/>
      <w:pPr>
        <w:tabs>
          <w:tab w:val="num" w:pos="1440"/>
        </w:tabs>
        <w:ind w:left="1440" w:hanging="1008"/>
      </w:pPr>
      <w:rPr>
        <w:rFonts w:hint="default"/>
      </w:rPr>
    </w:lvl>
    <w:lvl w:ilvl="5">
      <w:start w:val="1"/>
      <w:numFmt w:val="decimal"/>
      <w:lvlText w:val="%1.%2.%3.%4.%5.%6"/>
      <w:lvlJc w:val="left"/>
      <w:pPr>
        <w:tabs>
          <w:tab w:val="num" w:pos="1584"/>
        </w:tabs>
        <w:ind w:left="1584" w:hanging="1152"/>
      </w:pPr>
      <w:rPr>
        <w:rFonts w:hint="default"/>
      </w:rPr>
    </w:lvl>
    <w:lvl w:ilvl="6">
      <w:start w:val="1"/>
      <w:numFmt w:val="decimal"/>
      <w:lvlText w:val="%1.%2.%3.%4.%5.%6.%7"/>
      <w:lvlJc w:val="left"/>
      <w:pPr>
        <w:tabs>
          <w:tab w:val="num" w:pos="1728"/>
        </w:tabs>
        <w:ind w:left="1728" w:hanging="1296"/>
      </w:pPr>
      <w:rPr>
        <w:rFonts w:hint="default"/>
      </w:rPr>
    </w:lvl>
    <w:lvl w:ilvl="7">
      <w:start w:val="1"/>
      <w:numFmt w:val="decimal"/>
      <w:lvlText w:val="%1.%2.%3.%4.%5.%6.%7.%8"/>
      <w:lvlJc w:val="left"/>
      <w:pPr>
        <w:tabs>
          <w:tab w:val="num" w:pos="1872"/>
        </w:tabs>
        <w:ind w:left="1872" w:hanging="1440"/>
      </w:pPr>
      <w:rPr>
        <w:rFonts w:hint="default"/>
      </w:rPr>
    </w:lvl>
    <w:lvl w:ilvl="8">
      <w:start w:val="1"/>
      <w:numFmt w:val="decimal"/>
      <w:lvlText w:val="%1.%2.%3.%4.%5.%6.%7.%8.%9"/>
      <w:lvlJc w:val="left"/>
      <w:pPr>
        <w:tabs>
          <w:tab w:val="num" w:pos="2016"/>
        </w:tabs>
        <w:ind w:left="2016" w:hanging="1584"/>
      </w:pPr>
      <w:rPr>
        <w:rFonts w:hint="default"/>
      </w:rPr>
    </w:lvl>
  </w:abstractNum>
  <w:abstractNum w:abstractNumId="2" w15:restartNumberingAfterBreak="0">
    <w:nsid w:val="029F4DBA"/>
    <w:multiLevelType w:val="multilevel"/>
    <w:tmpl w:val="247C1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EA1644"/>
    <w:multiLevelType w:val="multilevel"/>
    <w:tmpl w:val="E2847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D21D40"/>
    <w:multiLevelType w:val="hybridMultilevel"/>
    <w:tmpl w:val="49440ABA"/>
    <w:name w:val="List Dash__1"/>
    <w:lvl w:ilvl="0" w:tplc="E8743AEC">
      <w:start w:val="1"/>
      <w:numFmt w:val="decimal"/>
      <w:lvlText w:val="%1."/>
      <w:lvlJc w:val="left"/>
      <w:pPr>
        <w:ind w:left="720" w:hanging="360"/>
      </w:pPr>
      <w:rPr>
        <w:rFonts w:hint="default"/>
      </w:rPr>
    </w:lvl>
    <w:lvl w:ilvl="1" w:tplc="CDD4F760">
      <w:start w:val="1"/>
      <w:numFmt w:val="bullet"/>
      <w:lvlText w:val=""/>
      <w:lvlJc w:val="left"/>
      <w:pPr>
        <w:ind w:left="1440" w:hanging="360"/>
      </w:pPr>
      <w:rPr>
        <w:rFonts w:ascii="Symbol" w:hAnsi="Symbol" w:hint="default"/>
      </w:rPr>
    </w:lvl>
    <w:lvl w:ilvl="2" w:tplc="DD4C3EE0" w:tentative="1">
      <w:start w:val="1"/>
      <w:numFmt w:val="lowerRoman"/>
      <w:lvlText w:val="%3."/>
      <w:lvlJc w:val="right"/>
      <w:pPr>
        <w:ind w:left="2160" w:hanging="180"/>
      </w:pPr>
    </w:lvl>
    <w:lvl w:ilvl="3" w:tplc="97E6DEBE" w:tentative="1">
      <w:start w:val="1"/>
      <w:numFmt w:val="decimal"/>
      <w:lvlText w:val="%4."/>
      <w:lvlJc w:val="left"/>
      <w:pPr>
        <w:ind w:left="2880" w:hanging="360"/>
      </w:pPr>
    </w:lvl>
    <w:lvl w:ilvl="4" w:tplc="A91E5BAA" w:tentative="1">
      <w:start w:val="1"/>
      <w:numFmt w:val="lowerLetter"/>
      <w:lvlText w:val="%5."/>
      <w:lvlJc w:val="left"/>
      <w:pPr>
        <w:ind w:left="3600" w:hanging="360"/>
      </w:pPr>
    </w:lvl>
    <w:lvl w:ilvl="5" w:tplc="0888A32C" w:tentative="1">
      <w:start w:val="1"/>
      <w:numFmt w:val="lowerRoman"/>
      <w:lvlText w:val="%6."/>
      <w:lvlJc w:val="right"/>
      <w:pPr>
        <w:ind w:left="4320" w:hanging="180"/>
      </w:pPr>
    </w:lvl>
    <w:lvl w:ilvl="6" w:tplc="427010E2" w:tentative="1">
      <w:start w:val="1"/>
      <w:numFmt w:val="decimal"/>
      <w:lvlText w:val="%7."/>
      <w:lvlJc w:val="left"/>
      <w:pPr>
        <w:ind w:left="5040" w:hanging="360"/>
      </w:pPr>
    </w:lvl>
    <w:lvl w:ilvl="7" w:tplc="1A42ACDA" w:tentative="1">
      <w:start w:val="1"/>
      <w:numFmt w:val="lowerLetter"/>
      <w:lvlText w:val="%8."/>
      <w:lvlJc w:val="left"/>
      <w:pPr>
        <w:ind w:left="5760" w:hanging="360"/>
      </w:pPr>
    </w:lvl>
    <w:lvl w:ilvl="8" w:tplc="C4022A0C" w:tentative="1">
      <w:start w:val="1"/>
      <w:numFmt w:val="lowerRoman"/>
      <w:lvlText w:val="%9."/>
      <w:lvlJc w:val="right"/>
      <w:pPr>
        <w:ind w:left="6480" w:hanging="180"/>
      </w:pPr>
    </w:lvl>
  </w:abstractNum>
  <w:abstractNum w:abstractNumId="5" w15:restartNumberingAfterBreak="0">
    <w:nsid w:val="0BE172A7"/>
    <w:multiLevelType w:val="multilevel"/>
    <w:tmpl w:val="84AE9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0D7C77"/>
    <w:multiLevelType w:val="multilevel"/>
    <w:tmpl w:val="5D363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C426728"/>
    <w:multiLevelType w:val="hybridMultilevel"/>
    <w:tmpl w:val="5CBCFFAC"/>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8" w15:restartNumberingAfterBreak="0">
    <w:nsid w:val="0DD028B4"/>
    <w:multiLevelType w:val="multilevel"/>
    <w:tmpl w:val="5C70B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DD560E8"/>
    <w:multiLevelType w:val="multilevel"/>
    <w:tmpl w:val="EA8EC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4D85881"/>
    <w:multiLevelType w:val="hybridMultilevel"/>
    <w:tmpl w:val="DA128498"/>
    <w:lvl w:ilvl="0" w:tplc="2000000F">
      <w:start w:val="1"/>
      <w:numFmt w:val="decimal"/>
      <w:lvlText w:val="%1."/>
      <w:lvlJc w:val="left"/>
      <w:pPr>
        <w:ind w:left="1080" w:hanging="360"/>
      </w:pPr>
    </w:lvl>
    <w:lvl w:ilvl="1" w:tplc="20000019">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1" w15:restartNumberingAfterBreak="0">
    <w:nsid w:val="161554A0"/>
    <w:multiLevelType w:val="multilevel"/>
    <w:tmpl w:val="6DC4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90A4450"/>
    <w:multiLevelType w:val="singleLevel"/>
    <w:tmpl w:val="8086127E"/>
    <w:lvl w:ilvl="0">
      <w:start w:val="1"/>
      <w:numFmt w:val="bullet"/>
      <w:lvlRestart w:val="0"/>
      <w:pStyle w:val="Tiret3"/>
      <w:lvlText w:val="–"/>
      <w:lvlJc w:val="left"/>
      <w:pPr>
        <w:tabs>
          <w:tab w:val="num" w:pos="2551"/>
        </w:tabs>
        <w:ind w:left="2551" w:hanging="567"/>
      </w:pPr>
    </w:lvl>
  </w:abstractNum>
  <w:abstractNum w:abstractNumId="13" w15:restartNumberingAfterBreak="0">
    <w:nsid w:val="191E50B5"/>
    <w:multiLevelType w:val="singleLevel"/>
    <w:tmpl w:val="567E8574"/>
    <w:name w:val="Tiret 3__1"/>
    <w:lvl w:ilvl="0">
      <w:start w:val="1"/>
      <w:numFmt w:val="bullet"/>
      <w:lvlRestart w:val="0"/>
      <w:pStyle w:val="Tiret4"/>
      <w:lvlText w:val="–"/>
      <w:lvlJc w:val="left"/>
      <w:pPr>
        <w:tabs>
          <w:tab w:val="num" w:pos="3118"/>
        </w:tabs>
        <w:ind w:left="3118" w:hanging="567"/>
      </w:pPr>
    </w:lvl>
  </w:abstractNum>
  <w:abstractNum w:abstractNumId="14" w15:restartNumberingAfterBreak="0">
    <w:nsid w:val="1B0831B6"/>
    <w:multiLevelType w:val="singleLevel"/>
    <w:tmpl w:val="CA640072"/>
    <w:name w:val="Tiret 4__1"/>
    <w:lvl w:ilvl="0">
      <w:start w:val="1"/>
      <w:numFmt w:val="bullet"/>
      <w:lvlRestart w:val="0"/>
      <w:pStyle w:val="ListDash3"/>
      <w:lvlText w:val="–"/>
      <w:lvlJc w:val="left"/>
      <w:pPr>
        <w:tabs>
          <w:tab w:val="num" w:pos="1134"/>
        </w:tabs>
        <w:ind w:left="1134" w:hanging="283"/>
      </w:pPr>
      <w:rPr>
        <w:rFonts w:ascii="Times New Roman" w:hAnsi="Times New Roman"/>
      </w:rPr>
    </w:lvl>
  </w:abstractNum>
  <w:abstractNum w:abstractNumId="15" w15:restartNumberingAfterBreak="0">
    <w:nsid w:val="1C11645A"/>
    <w:multiLevelType w:val="multilevel"/>
    <w:tmpl w:val="2CE25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D6567FF"/>
    <w:multiLevelType w:val="multilevel"/>
    <w:tmpl w:val="19D448DA"/>
    <w:lvl w:ilvl="0">
      <w:start w:val="1"/>
      <w:numFmt w:val="decimal"/>
      <w:pStyle w:val="IOTCAgendaH1"/>
      <w:lvlText w:val="%1."/>
      <w:lvlJc w:val="left"/>
      <w:pPr>
        <w:ind w:left="360" w:hanging="360"/>
      </w:pPr>
      <w:rPr>
        <w:rFonts w:hint="default"/>
      </w:rPr>
    </w:lvl>
    <w:lvl w:ilvl="1">
      <w:start w:val="1"/>
      <w:numFmt w:val="decimal"/>
      <w:pStyle w:val="IOTCsubheading2"/>
      <w:isLgl/>
      <w:lvlText w:val="%1.%2"/>
      <w:lvlJc w:val="left"/>
      <w:pPr>
        <w:ind w:left="1500" w:hanging="1050"/>
      </w:pPr>
      <w:rPr>
        <w:rFonts w:ascii="Calibri" w:hAnsi="Calibri" w:cs="Calibri" w:hint="default"/>
        <w:color w:val="000000" w:themeColor="text1"/>
        <w:sz w:val="22"/>
        <w:szCs w:val="22"/>
        <w:lang w:val="en-GB"/>
      </w:rPr>
    </w:lvl>
    <w:lvl w:ilvl="2">
      <w:start w:val="1"/>
      <w:numFmt w:val="decimal"/>
      <w:isLgl/>
      <w:lvlText w:val="%1.%2.%3"/>
      <w:lvlJc w:val="left"/>
      <w:pPr>
        <w:ind w:left="1950" w:hanging="1050"/>
      </w:pPr>
      <w:rPr>
        <w:rFonts w:hint="default"/>
        <w:color w:val="auto"/>
      </w:rPr>
    </w:lvl>
    <w:lvl w:ilvl="3">
      <w:start w:val="1"/>
      <w:numFmt w:val="decimal"/>
      <w:isLgl/>
      <w:lvlText w:val="%1.%2.%3.%4"/>
      <w:lvlJc w:val="left"/>
      <w:pPr>
        <w:ind w:left="2400" w:hanging="105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330" w:hanging="1080"/>
      </w:pPr>
      <w:rPr>
        <w:rFonts w:hint="default"/>
      </w:rPr>
    </w:lvl>
    <w:lvl w:ilvl="6">
      <w:start w:val="1"/>
      <w:numFmt w:val="decimal"/>
      <w:isLgl/>
      <w:lvlText w:val="%1.%2.%3.%4.%5.%6.%7"/>
      <w:lvlJc w:val="left"/>
      <w:pPr>
        <w:ind w:left="4140" w:hanging="1440"/>
      </w:pPr>
      <w:rPr>
        <w:rFonts w:hint="default"/>
      </w:rPr>
    </w:lvl>
    <w:lvl w:ilvl="7">
      <w:start w:val="1"/>
      <w:numFmt w:val="decimal"/>
      <w:isLgl/>
      <w:lvlText w:val="%1.%2.%3.%4.%5.%6.%7.%8"/>
      <w:lvlJc w:val="left"/>
      <w:pPr>
        <w:ind w:left="4590" w:hanging="1440"/>
      </w:pPr>
      <w:rPr>
        <w:rFonts w:hint="default"/>
      </w:rPr>
    </w:lvl>
    <w:lvl w:ilvl="8">
      <w:start w:val="1"/>
      <w:numFmt w:val="decimal"/>
      <w:isLgl/>
      <w:lvlText w:val="%1.%2.%3.%4.%5.%6.%7.%8.%9"/>
      <w:lvlJc w:val="left"/>
      <w:pPr>
        <w:ind w:left="5040" w:hanging="1440"/>
      </w:pPr>
      <w:rPr>
        <w:rFonts w:hint="default"/>
      </w:rPr>
    </w:lvl>
  </w:abstractNum>
  <w:abstractNum w:abstractNumId="17" w15:restartNumberingAfterBreak="0">
    <w:nsid w:val="1E9313B6"/>
    <w:multiLevelType w:val="multilevel"/>
    <w:tmpl w:val="AD427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3483E8F"/>
    <w:multiLevelType w:val="multilevel"/>
    <w:tmpl w:val="D9BC8A60"/>
    <w:lvl w:ilvl="0">
      <w:start w:val="48"/>
      <w:numFmt w:val="decimal"/>
      <w:lvlText w:val="%1."/>
      <w:lvlJc w:val="left"/>
      <w:pPr>
        <w:ind w:left="720" w:hanging="360"/>
      </w:pPr>
      <w:rPr>
        <w:rFonts w:ascii="Calibri" w:hAnsi="Calibri" w:cs="Calibri" w:hint="default"/>
        <w:b w:val="0"/>
        <w:bCs w:val="0"/>
        <w:color w:val="auto"/>
        <w:sz w:val="22"/>
        <w:szCs w:val="22"/>
      </w:rPr>
    </w:lvl>
    <w:lvl w:ilvl="1">
      <w:start w:val="2"/>
      <w:numFmt w:val="decimal"/>
      <w:isLgl/>
      <w:lvlText w:val="%1.%2"/>
      <w:lvlJc w:val="left"/>
      <w:pPr>
        <w:ind w:left="855" w:hanging="495"/>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237B6C6F"/>
    <w:multiLevelType w:val="multilevel"/>
    <w:tmpl w:val="528AC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854549A"/>
    <w:multiLevelType w:val="hybridMultilevel"/>
    <w:tmpl w:val="9C42F834"/>
    <w:name w:val="List Dash 3__1"/>
    <w:lvl w:ilvl="0" w:tplc="F22C3962">
      <w:start w:val="1"/>
      <w:numFmt w:val="bullet"/>
      <w:lvlText w:val=""/>
      <w:lvlJc w:val="left"/>
      <w:pPr>
        <w:tabs>
          <w:tab w:val="num" w:pos="360"/>
        </w:tabs>
        <w:ind w:left="360" w:hanging="360"/>
      </w:pPr>
      <w:rPr>
        <w:rFonts w:ascii="Symbol" w:hAnsi="Symbol" w:hint="default"/>
        <w:sz w:val="16"/>
      </w:rPr>
    </w:lvl>
    <w:lvl w:ilvl="1" w:tplc="D44CDE88" w:tentative="1">
      <w:start w:val="1"/>
      <w:numFmt w:val="bullet"/>
      <w:lvlText w:val="o"/>
      <w:lvlJc w:val="left"/>
      <w:pPr>
        <w:tabs>
          <w:tab w:val="num" w:pos="1440"/>
        </w:tabs>
        <w:ind w:left="1440" w:hanging="360"/>
      </w:pPr>
      <w:rPr>
        <w:rFonts w:ascii="Courier New" w:hAnsi="Courier New" w:hint="default"/>
      </w:rPr>
    </w:lvl>
    <w:lvl w:ilvl="2" w:tplc="A662AA42" w:tentative="1">
      <w:start w:val="1"/>
      <w:numFmt w:val="bullet"/>
      <w:lvlText w:val=""/>
      <w:lvlJc w:val="left"/>
      <w:pPr>
        <w:tabs>
          <w:tab w:val="num" w:pos="2160"/>
        </w:tabs>
        <w:ind w:left="2160" w:hanging="360"/>
      </w:pPr>
      <w:rPr>
        <w:rFonts w:ascii="Wingdings" w:hAnsi="Wingdings" w:hint="default"/>
      </w:rPr>
    </w:lvl>
    <w:lvl w:ilvl="3" w:tplc="36FCEB2E" w:tentative="1">
      <w:start w:val="1"/>
      <w:numFmt w:val="bullet"/>
      <w:lvlText w:val=""/>
      <w:lvlJc w:val="left"/>
      <w:pPr>
        <w:tabs>
          <w:tab w:val="num" w:pos="2880"/>
        </w:tabs>
        <w:ind w:left="2880" w:hanging="360"/>
      </w:pPr>
      <w:rPr>
        <w:rFonts w:ascii="Symbol" w:hAnsi="Symbol" w:hint="default"/>
      </w:rPr>
    </w:lvl>
    <w:lvl w:ilvl="4" w:tplc="D41E2B42" w:tentative="1">
      <w:start w:val="1"/>
      <w:numFmt w:val="bullet"/>
      <w:lvlText w:val="o"/>
      <w:lvlJc w:val="left"/>
      <w:pPr>
        <w:tabs>
          <w:tab w:val="num" w:pos="3600"/>
        </w:tabs>
        <w:ind w:left="3600" w:hanging="360"/>
      </w:pPr>
      <w:rPr>
        <w:rFonts w:ascii="Courier New" w:hAnsi="Courier New" w:hint="default"/>
      </w:rPr>
    </w:lvl>
    <w:lvl w:ilvl="5" w:tplc="105ACD0E" w:tentative="1">
      <w:start w:val="1"/>
      <w:numFmt w:val="bullet"/>
      <w:lvlText w:val=""/>
      <w:lvlJc w:val="left"/>
      <w:pPr>
        <w:tabs>
          <w:tab w:val="num" w:pos="4320"/>
        </w:tabs>
        <w:ind w:left="4320" w:hanging="360"/>
      </w:pPr>
      <w:rPr>
        <w:rFonts w:ascii="Wingdings" w:hAnsi="Wingdings" w:hint="default"/>
      </w:rPr>
    </w:lvl>
    <w:lvl w:ilvl="6" w:tplc="393E4796" w:tentative="1">
      <w:start w:val="1"/>
      <w:numFmt w:val="bullet"/>
      <w:lvlText w:val=""/>
      <w:lvlJc w:val="left"/>
      <w:pPr>
        <w:tabs>
          <w:tab w:val="num" w:pos="5040"/>
        </w:tabs>
        <w:ind w:left="5040" w:hanging="360"/>
      </w:pPr>
      <w:rPr>
        <w:rFonts w:ascii="Symbol" w:hAnsi="Symbol" w:hint="default"/>
      </w:rPr>
    </w:lvl>
    <w:lvl w:ilvl="7" w:tplc="B1B855C6" w:tentative="1">
      <w:start w:val="1"/>
      <w:numFmt w:val="bullet"/>
      <w:lvlText w:val="o"/>
      <w:lvlJc w:val="left"/>
      <w:pPr>
        <w:tabs>
          <w:tab w:val="num" w:pos="5760"/>
        </w:tabs>
        <w:ind w:left="5760" w:hanging="360"/>
      </w:pPr>
      <w:rPr>
        <w:rFonts w:ascii="Courier New" w:hAnsi="Courier New" w:hint="default"/>
      </w:rPr>
    </w:lvl>
    <w:lvl w:ilvl="8" w:tplc="F18C2C06"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B2A2D77"/>
    <w:multiLevelType w:val="hybridMultilevel"/>
    <w:tmpl w:val="815C4B64"/>
    <w:name w:val="WW8Num4"/>
    <w:lvl w:ilvl="0" w:tplc="B6985B2E">
      <w:start w:val="1"/>
      <w:numFmt w:val="decimal"/>
      <w:lvlText w:val="%1."/>
      <w:lvlJc w:val="left"/>
      <w:pPr>
        <w:tabs>
          <w:tab w:val="num" w:pos="360"/>
        </w:tabs>
        <w:ind w:left="216" w:hanging="216"/>
      </w:pPr>
      <w:rPr>
        <w:rFonts w:hint="default"/>
        <w:b w:val="0"/>
        <w:i w:val="0"/>
        <w:sz w:val="20"/>
        <w:szCs w:val="20"/>
      </w:rPr>
    </w:lvl>
    <w:lvl w:ilvl="1" w:tplc="F4342BB6">
      <w:start w:val="1"/>
      <w:numFmt w:val="lowerLetter"/>
      <w:lvlText w:val="%2."/>
      <w:lvlJc w:val="left"/>
      <w:pPr>
        <w:tabs>
          <w:tab w:val="num" w:pos="-5040"/>
        </w:tabs>
        <w:ind w:left="-5040" w:hanging="360"/>
      </w:pPr>
    </w:lvl>
    <w:lvl w:ilvl="2" w:tplc="51743B4A">
      <w:start w:val="1"/>
      <w:numFmt w:val="lowerRoman"/>
      <w:lvlText w:val="%3."/>
      <w:lvlJc w:val="right"/>
      <w:pPr>
        <w:tabs>
          <w:tab w:val="num" w:pos="113"/>
        </w:tabs>
        <w:ind w:left="113" w:firstLine="0"/>
      </w:pPr>
      <w:rPr>
        <w:rFonts w:hint="default"/>
      </w:rPr>
    </w:lvl>
    <w:lvl w:ilvl="3" w:tplc="0B948A1E" w:tentative="1">
      <w:start w:val="1"/>
      <w:numFmt w:val="decimal"/>
      <w:lvlText w:val="%4."/>
      <w:lvlJc w:val="left"/>
      <w:pPr>
        <w:tabs>
          <w:tab w:val="num" w:pos="-3600"/>
        </w:tabs>
        <w:ind w:left="-3600" w:hanging="360"/>
      </w:pPr>
    </w:lvl>
    <w:lvl w:ilvl="4" w:tplc="4D1C824A" w:tentative="1">
      <w:start w:val="1"/>
      <w:numFmt w:val="lowerLetter"/>
      <w:lvlText w:val="%5."/>
      <w:lvlJc w:val="left"/>
      <w:pPr>
        <w:tabs>
          <w:tab w:val="num" w:pos="-2880"/>
        </w:tabs>
        <w:ind w:left="-2880" w:hanging="360"/>
      </w:pPr>
    </w:lvl>
    <w:lvl w:ilvl="5" w:tplc="E8A21084" w:tentative="1">
      <w:start w:val="1"/>
      <w:numFmt w:val="lowerRoman"/>
      <w:lvlText w:val="%6."/>
      <w:lvlJc w:val="right"/>
      <w:pPr>
        <w:tabs>
          <w:tab w:val="num" w:pos="-2160"/>
        </w:tabs>
        <w:ind w:left="-2160" w:hanging="180"/>
      </w:pPr>
    </w:lvl>
    <w:lvl w:ilvl="6" w:tplc="F0628040" w:tentative="1">
      <w:start w:val="1"/>
      <w:numFmt w:val="decimal"/>
      <w:lvlText w:val="%7."/>
      <w:lvlJc w:val="left"/>
      <w:pPr>
        <w:tabs>
          <w:tab w:val="num" w:pos="-1440"/>
        </w:tabs>
        <w:ind w:left="-1440" w:hanging="360"/>
      </w:pPr>
    </w:lvl>
    <w:lvl w:ilvl="7" w:tplc="827A254C" w:tentative="1">
      <w:start w:val="1"/>
      <w:numFmt w:val="lowerLetter"/>
      <w:lvlText w:val="%8."/>
      <w:lvlJc w:val="left"/>
      <w:pPr>
        <w:tabs>
          <w:tab w:val="num" w:pos="-720"/>
        </w:tabs>
        <w:ind w:left="-720" w:hanging="360"/>
      </w:pPr>
    </w:lvl>
    <w:lvl w:ilvl="8" w:tplc="290C3AAC" w:tentative="1">
      <w:start w:val="1"/>
      <w:numFmt w:val="lowerRoman"/>
      <w:lvlText w:val="%9."/>
      <w:lvlJc w:val="right"/>
      <w:pPr>
        <w:tabs>
          <w:tab w:val="num" w:pos="0"/>
        </w:tabs>
        <w:ind w:left="0" w:hanging="180"/>
      </w:pPr>
    </w:lvl>
  </w:abstractNum>
  <w:abstractNum w:abstractNumId="22" w15:restartNumberingAfterBreak="0">
    <w:nsid w:val="2C1D19DB"/>
    <w:multiLevelType w:val="multilevel"/>
    <w:tmpl w:val="8C38C720"/>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520" w:hanging="360"/>
      </w:pPr>
      <w:rPr>
        <w:rFonts w:hint="default"/>
      </w:rPr>
    </w:lvl>
    <w:lvl w:ilvl="4">
      <w:start w:val="1"/>
      <w:numFmt w:val="decimal"/>
      <w:lvlText w:val="%1.%2.%3.%4.%5"/>
      <w:lvlJc w:val="left"/>
      <w:pPr>
        <w:ind w:left="3240" w:hanging="360"/>
      </w:pPr>
      <w:rPr>
        <w:rFonts w:hint="default"/>
      </w:rPr>
    </w:lvl>
    <w:lvl w:ilvl="5">
      <w:start w:val="1"/>
      <w:numFmt w:val="decimal"/>
      <w:lvlText w:val="%1.%2.%3.%4.%5.%6"/>
      <w:lvlJc w:val="left"/>
      <w:pPr>
        <w:ind w:left="3960" w:hanging="360"/>
      </w:pPr>
      <w:rPr>
        <w:rFonts w:hint="default"/>
      </w:rPr>
    </w:lvl>
    <w:lvl w:ilvl="6">
      <w:start w:val="1"/>
      <w:numFmt w:val="decimal"/>
      <w:lvlText w:val="%1.%2.%3.%4.%5.%6.%7"/>
      <w:lvlJc w:val="left"/>
      <w:pPr>
        <w:ind w:left="4680" w:hanging="360"/>
      </w:pPr>
      <w:rPr>
        <w:rFonts w:hint="default"/>
      </w:rPr>
    </w:lvl>
    <w:lvl w:ilvl="7">
      <w:start w:val="1"/>
      <w:numFmt w:val="decimal"/>
      <w:lvlText w:val="%1.%2.%3.%4.%5.%6.%7.%8"/>
      <w:lvlJc w:val="left"/>
      <w:pPr>
        <w:ind w:left="5400" w:hanging="360"/>
      </w:pPr>
      <w:rPr>
        <w:rFonts w:hint="default"/>
      </w:rPr>
    </w:lvl>
    <w:lvl w:ilvl="8">
      <w:start w:val="1"/>
      <w:numFmt w:val="decimal"/>
      <w:lvlText w:val="%1.%2.%3.%4.%5.%6.%7.%8.%9"/>
      <w:lvlJc w:val="left"/>
      <w:pPr>
        <w:ind w:left="6120" w:hanging="360"/>
      </w:pPr>
      <w:rPr>
        <w:rFonts w:hint="default"/>
      </w:rPr>
    </w:lvl>
  </w:abstractNum>
  <w:abstractNum w:abstractNumId="23" w15:restartNumberingAfterBreak="0">
    <w:nsid w:val="2C6B308E"/>
    <w:multiLevelType w:val="multilevel"/>
    <w:tmpl w:val="146A659C"/>
    <w:lvl w:ilvl="0">
      <w:start w:val="1"/>
      <w:numFmt w:val="decimal"/>
      <w:lvlRestart w:val="0"/>
      <w:pStyle w:val="ListNumber1"/>
      <w:lvlText w:val="(%1)"/>
      <w:lvlJc w:val="left"/>
      <w:pPr>
        <w:tabs>
          <w:tab w:val="num" w:pos="1560"/>
        </w:tabs>
        <w:ind w:left="1560" w:hanging="709"/>
      </w:pPr>
      <w:rPr>
        <w:rFonts w:cs="Times New Roman"/>
      </w:rPr>
    </w:lvl>
    <w:lvl w:ilvl="1">
      <w:start w:val="1"/>
      <w:numFmt w:val="lowerLetter"/>
      <w:pStyle w:val="ListNumber1Level2"/>
      <w:lvlText w:val="(%2)"/>
      <w:lvlJc w:val="left"/>
      <w:pPr>
        <w:tabs>
          <w:tab w:val="num" w:pos="2268"/>
        </w:tabs>
        <w:ind w:left="2268" w:hanging="708"/>
      </w:pPr>
      <w:rPr>
        <w:rFonts w:cs="Times New Roman"/>
      </w:rPr>
    </w:lvl>
    <w:lvl w:ilvl="2">
      <w:start w:val="1"/>
      <w:numFmt w:val="bullet"/>
      <w:pStyle w:val="ListNumber1Level3"/>
      <w:lvlText w:val="–"/>
      <w:lvlJc w:val="left"/>
      <w:pPr>
        <w:tabs>
          <w:tab w:val="num" w:pos="2977"/>
        </w:tabs>
        <w:ind w:left="2977" w:hanging="709"/>
      </w:pPr>
      <w:rPr>
        <w:rFonts w:ascii="Times New Roman" w:hAnsi="Times New Roman"/>
      </w:rPr>
    </w:lvl>
    <w:lvl w:ilvl="3">
      <w:start w:val="1"/>
      <w:numFmt w:val="bullet"/>
      <w:pStyle w:val="ListNumber1Level4"/>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15:restartNumberingAfterBreak="0">
    <w:nsid w:val="2CF157E8"/>
    <w:multiLevelType w:val="multilevel"/>
    <w:tmpl w:val="4EB4C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D8760F6"/>
    <w:multiLevelType w:val="multilevel"/>
    <w:tmpl w:val="12CEB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E537536"/>
    <w:multiLevelType w:val="hybridMultilevel"/>
    <w:tmpl w:val="C15A0E08"/>
    <w:name w:val="List Dash 2__1"/>
    <w:lvl w:ilvl="0" w:tplc="84FC30F4">
      <w:start w:val="1"/>
      <w:numFmt w:val="bullet"/>
      <w:lvlText w:val="-"/>
      <w:lvlJc w:val="left"/>
      <w:pPr>
        <w:tabs>
          <w:tab w:val="num" w:pos="1098"/>
        </w:tabs>
        <w:ind w:left="1098" w:hanging="360"/>
      </w:pPr>
      <w:rPr>
        <w:rFonts w:ascii="Times New Roman" w:hAnsi="Times New Roman" w:hint="default"/>
      </w:rPr>
    </w:lvl>
    <w:lvl w:ilvl="1" w:tplc="6BDC60E4" w:tentative="1">
      <w:start w:val="1"/>
      <w:numFmt w:val="bullet"/>
      <w:lvlText w:val="o"/>
      <w:lvlJc w:val="left"/>
      <w:pPr>
        <w:ind w:left="1818" w:hanging="360"/>
      </w:pPr>
      <w:rPr>
        <w:rFonts w:ascii="Courier New" w:hAnsi="Courier New" w:hint="default"/>
      </w:rPr>
    </w:lvl>
    <w:lvl w:ilvl="2" w:tplc="889430DA" w:tentative="1">
      <w:start w:val="1"/>
      <w:numFmt w:val="bullet"/>
      <w:lvlText w:val=""/>
      <w:lvlJc w:val="left"/>
      <w:pPr>
        <w:ind w:left="2538" w:hanging="360"/>
      </w:pPr>
      <w:rPr>
        <w:rFonts w:ascii="Wingdings" w:hAnsi="Wingdings" w:hint="default"/>
      </w:rPr>
    </w:lvl>
    <w:lvl w:ilvl="3" w:tplc="6390F050" w:tentative="1">
      <w:start w:val="1"/>
      <w:numFmt w:val="bullet"/>
      <w:lvlText w:val=""/>
      <w:lvlJc w:val="left"/>
      <w:pPr>
        <w:ind w:left="3258" w:hanging="360"/>
      </w:pPr>
      <w:rPr>
        <w:rFonts w:ascii="Symbol" w:hAnsi="Symbol" w:hint="default"/>
      </w:rPr>
    </w:lvl>
    <w:lvl w:ilvl="4" w:tplc="F746E212" w:tentative="1">
      <w:start w:val="1"/>
      <w:numFmt w:val="bullet"/>
      <w:lvlText w:val="o"/>
      <w:lvlJc w:val="left"/>
      <w:pPr>
        <w:ind w:left="3978" w:hanging="360"/>
      </w:pPr>
      <w:rPr>
        <w:rFonts w:ascii="Courier New" w:hAnsi="Courier New" w:hint="default"/>
      </w:rPr>
    </w:lvl>
    <w:lvl w:ilvl="5" w:tplc="56A0B956" w:tentative="1">
      <w:start w:val="1"/>
      <w:numFmt w:val="bullet"/>
      <w:lvlText w:val=""/>
      <w:lvlJc w:val="left"/>
      <w:pPr>
        <w:ind w:left="4698" w:hanging="360"/>
      </w:pPr>
      <w:rPr>
        <w:rFonts w:ascii="Wingdings" w:hAnsi="Wingdings" w:hint="default"/>
      </w:rPr>
    </w:lvl>
    <w:lvl w:ilvl="6" w:tplc="990CF48A" w:tentative="1">
      <w:start w:val="1"/>
      <w:numFmt w:val="bullet"/>
      <w:lvlText w:val=""/>
      <w:lvlJc w:val="left"/>
      <w:pPr>
        <w:ind w:left="5418" w:hanging="360"/>
      </w:pPr>
      <w:rPr>
        <w:rFonts w:ascii="Symbol" w:hAnsi="Symbol" w:hint="default"/>
      </w:rPr>
    </w:lvl>
    <w:lvl w:ilvl="7" w:tplc="E2800A88" w:tentative="1">
      <w:start w:val="1"/>
      <w:numFmt w:val="bullet"/>
      <w:lvlText w:val="o"/>
      <w:lvlJc w:val="left"/>
      <w:pPr>
        <w:ind w:left="6138" w:hanging="360"/>
      </w:pPr>
      <w:rPr>
        <w:rFonts w:ascii="Courier New" w:hAnsi="Courier New" w:hint="default"/>
      </w:rPr>
    </w:lvl>
    <w:lvl w:ilvl="8" w:tplc="6E74BDCC" w:tentative="1">
      <w:start w:val="1"/>
      <w:numFmt w:val="bullet"/>
      <w:lvlText w:val=""/>
      <w:lvlJc w:val="left"/>
      <w:pPr>
        <w:ind w:left="6858" w:hanging="360"/>
      </w:pPr>
      <w:rPr>
        <w:rFonts w:ascii="Wingdings" w:hAnsi="Wingdings" w:hint="default"/>
      </w:rPr>
    </w:lvl>
  </w:abstractNum>
  <w:abstractNum w:abstractNumId="27" w15:restartNumberingAfterBreak="0">
    <w:nsid w:val="2E830308"/>
    <w:multiLevelType w:val="hybridMultilevel"/>
    <w:tmpl w:val="E42A9F6E"/>
    <w:name w:val="List Number 1__1"/>
    <w:lvl w:ilvl="0" w:tplc="776CF156">
      <w:start w:val="1"/>
      <w:numFmt w:val="decimal"/>
      <w:lvlText w:val="%1."/>
      <w:lvlJc w:val="left"/>
      <w:pPr>
        <w:tabs>
          <w:tab w:val="num" w:pos="720"/>
        </w:tabs>
        <w:ind w:left="720" w:hanging="360"/>
      </w:pPr>
      <w:rPr>
        <w:rFonts w:hint="default"/>
      </w:rPr>
    </w:lvl>
    <w:lvl w:ilvl="1" w:tplc="2900459E">
      <w:start w:val="1"/>
      <w:numFmt w:val="lowerLetter"/>
      <w:lvlText w:val="%2."/>
      <w:lvlJc w:val="left"/>
      <w:pPr>
        <w:tabs>
          <w:tab w:val="num" w:pos="1440"/>
        </w:tabs>
        <w:ind w:left="1440" w:hanging="360"/>
      </w:pPr>
    </w:lvl>
    <w:lvl w:ilvl="2" w:tplc="2CFC407E" w:tentative="1">
      <w:start w:val="1"/>
      <w:numFmt w:val="lowerRoman"/>
      <w:lvlText w:val="%3."/>
      <w:lvlJc w:val="right"/>
      <w:pPr>
        <w:tabs>
          <w:tab w:val="num" w:pos="2160"/>
        </w:tabs>
        <w:ind w:left="2160" w:hanging="180"/>
      </w:pPr>
    </w:lvl>
    <w:lvl w:ilvl="3" w:tplc="ACE089B6" w:tentative="1">
      <w:start w:val="1"/>
      <w:numFmt w:val="decimal"/>
      <w:lvlText w:val="%4."/>
      <w:lvlJc w:val="left"/>
      <w:pPr>
        <w:tabs>
          <w:tab w:val="num" w:pos="2880"/>
        </w:tabs>
        <w:ind w:left="2880" w:hanging="360"/>
      </w:pPr>
    </w:lvl>
    <w:lvl w:ilvl="4" w:tplc="93FA64B8" w:tentative="1">
      <w:start w:val="1"/>
      <w:numFmt w:val="lowerLetter"/>
      <w:lvlText w:val="%5."/>
      <w:lvlJc w:val="left"/>
      <w:pPr>
        <w:tabs>
          <w:tab w:val="num" w:pos="3600"/>
        </w:tabs>
        <w:ind w:left="3600" w:hanging="360"/>
      </w:pPr>
    </w:lvl>
    <w:lvl w:ilvl="5" w:tplc="65F835C2" w:tentative="1">
      <w:start w:val="1"/>
      <w:numFmt w:val="lowerRoman"/>
      <w:lvlText w:val="%6."/>
      <w:lvlJc w:val="right"/>
      <w:pPr>
        <w:tabs>
          <w:tab w:val="num" w:pos="4320"/>
        </w:tabs>
        <w:ind w:left="4320" w:hanging="180"/>
      </w:pPr>
    </w:lvl>
    <w:lvl w:ilvl="6" w:tplc="9F9A56A4" w:tentative="1">
      <w:start w:val="1"/>
      <w:numFmt w:val="decimal"/>
      <w:lvlText w:val="%7."/>
      <w:lvlJc w:val="left"/>
      <w:pPr>
        <w:tabs>
          <w:tab w:val="num" w:pos="5040"/>
        </w:tabs>
        <w:ind w:left="5040" w:hanging="360"/>
      </w:pPr>
    </w:lvl>
    <w:lvl w:ilvl="7" w:tplc="2E26F3F0" w:tentative="1">
      <w:start w:val="1"/>
      <w:numFmt w:val="lowerLetter"/>
      <w:lvlText w:val="%8."/>
      <w:lvlJc w:val="left"/>
      <w:pPr>
        <w:tabs>
          <w:tab w:val="num" w:pos="5760"/>
        </w:tabs>
        <w:ind w:left="5760" w:hanging="360"/>
      </w:pPr>
    </w:lvl>
    <w:lvl w:ilvl="8" w:tplc="FAA67C74" w:tentative="1">
      <w:start w:val="1"/>
      <w:numFmt w:val="lowerRoman"/>
      <w:lvlText w:val="%9."/>
      <w:lvlJc w:val="right"/>
      <w:pPr>
        <w:tabs>
          <w:tab w:val="num" w:pos="6480"/>
        </w:tabs>
        <w:ind w:left="6480" w:hanging="180"/>
      </w:pPr>
    </w:lvl>
  </w:abstractNum>
  <w:abstractNum w:abstractNumId="28" w15:restartNumberingAfterBreak="0">
    <w:nsid w:val="33F31D01"/>
    <w:multiLevelType w:val="multilevel"/>
    <w:tmpl w:val="D4FEC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5997BBF"/>
    <w:multiLevelType w:val="multilevel"/>
    <w:tmpl w:val="4FBAF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6243BF4"/>
    <w:multiLevelType w:val="singleLevel"/>
    <w:tmpl w:val="50AA1D72"/>
    <w:lvl w:ilvl="0">
      <w:start w:val="1"/>
      <w:numFmt w:val="bullet"/>
      <w:lvlRestart w:val="0"/>
      <w:pStyle w:val="Tiret0"/>
      <w:lvlText w:val="–"/>
      <w:lvlJc w:val="left"/>
      <w:pPr>
        <w:tabs>
          <w:tab w:val="num" w:pos="850"/>
        </w:tabs>
        <w:ind w:left="850" w:hanging="850"/>
      </w:pPr>
    </w:lvl>
  </w:abstractNum>
  <w:abstractNum w:abstractNumId="31" w15:restartNumberingAfterBreak="0">
    <w:nsid w:val="38956E90"/>
    <w:multiLevelType w:val="hybridMultilevel"/>
    <w:tmpl w:val="CA8AB984"/>
    <w:lvl w:ilvl="0" w:tplc="08090001">
      <w:start w:val="1"/>
      <w:numFmt w:val="bullet"/>
      <w:lvlText w:val=""/>
      <w:lvlJc w:val="left"/>
      <w:pPr>
        <w:ind w:left="990" w:hanging="360"/>
      </w:pPr>
      <w:rPr>
        <w:rFonts w:ascii="Symbol" w:hAnsi="Symbol" w:hint="default"/>
      </w:rPr>
    </w:lvl>
    <w:lvl w:ilvl="1" w:tplc="08090003" w:tentative="1">
      <w:start w:val="1"/>
      <w:numFmt w:val="bullet"/>
      <w:lvlText w:val="o"/>
      <w:lvlJc w:val="left"/>
      <w:pPr>
        <w:ind w:left="1710" w:hanging="360"/>
      </w:pPr>
      <w:rPr>
        <w:rFonts w:ascii="Courier New" w:hAnsi="Courier New" w:cs="Courier New" w:hint="default"/>
      </w:rPr>
    </w:lvl>
    <w:lvl w:ilvl="2" w:tplc="08090005" w:tentative="1">
      <w:start w:val="1"/>
      <w:numFmt w:val="bullet"/>
      <w:lvlText w:val=""/>
      <w:lvlJc w:val="left"/>
      <w:pPr>
        <w:ind w:left="2430" w:hanging="360"/>
      </w:pPr>
      <w:rPr>
        <w:rFonts w:ascii="Wingdings" w:hAnsi="Wingdings" w:hint="default"/>
      </w:rPr>
    </w:lvl>
    <w:lvl w:ilvl="3" w:tplc="08090001" w:tentative="1">
      <w:start w:val="1"/>
      <w:numFmt w:val="bullet"/>
      <w:lvlText w:val=""/>
      <w:lvlJc w:val="left"/>
      <w:pPr>
        <w:ind w:left="3150" w:hanging="360"/>
      </w:pPr>
      <w:rPr>
        <w:rFonts w:ascii="Symbol" w:hAnsi="Symbol" w:hint="default"/>
      </w:rPr>
    </w:lvl>
    <w:lvl w:ilvl="4" w:tplc="08090003" w:tentative="1">
      <w:start w:val="1"/>
      <w:numFmt w:val="bullet"/>
      <w:lvlText w:val="o"/>
      <w:lvlJc w:val="left"/>
      <w:pPr>
        <w:ind w:left="3870" w:hanging="360"/>
      </w:pPr>
      <w:rPr>
        <w:rFonts w:ascii="Courier New" w:hAnsi="Courier New" w:cs="Courier New" w:hint="default"/>
      </w:rPr>
    </w:lvl>
    <w:lvl w:ilvl="5" w:tplc="08090005" w:tentative="1">
      <w:start w:val="1"/>
      <w:numFmt w:val="bullet"/>
      <w:lvlText w:val=""/>
      <w:lvlJc w:val="left"/>
      <w:pPr>
        <w:ind w:left="4590" w:hanging="360"/>
      </w:pPr>
      <w:rPr>
        <w:rFonts w:ascii="Wingdings" w:hAnsi="Wingdings" w:hint="default"/>
      </w:rPr>
    </w:lvl>
    <w:lvl w:ilvl="6" w:tplc="08090001" w:tentative="1">
      <w:start w:val="1"/>
      <w:numFmt w:val="bullet"/>
      <w:lvlText w:val=""/>
      <w:lvlJc w:val="left"/>
      <w:pPr>
        <w:ind w:left="5310" w:hanging="360"/>
      </w:pPr>
      <w:rPr>
        <w:rFonts w:ascii="Symbol" w:hAnsi="Symbol" w:hint="default"/>
      </w:rPr>
    </w:lvl>
    <w:lvl w:ilvl="7" w:tplc="08090003" w:tentative="1">
      <w:start w:val="1"/>
      <w:numFmt w:val="bullet"/>
      <w:lvlText w:val="o"/>
      <w:lvlJc w:val="left"/>
      <w:pPr>
        <w:ind w:left="6030" w:hanging="360"/>
      </w:pPr>
      <w:rPr>
        <w:rFonts w:ascii="Courier New" w:hAnsi="Courier New" w:cs="Courier New" w:hint="default"/>
      </w:rPr>
    </w:lvl>
    <w:lvl w:ilvl="8" w:tplc="08090005" w:tentative="1">
      <w:start w:val="1"/>
      <w:numFmt w:val="bullet"/>
      <w:lvlText w:val=""/>
      <w:lvlJc w:val="left"/>
      <w:pPr>
        <w:ind w:left="6750" w:hanging="360"/>
      </w:pPr>
      <w:rPr>
        <w:rFonts w:ascii="Wingdings" w:hAnsi="Wingdings" w:hint="default"/>
      </w:rPr>
    </w:lvl>
  </w:abstractNum>
  <w:abstractNum w:abstractNumId="32" w15:restartNumberingAfterBreak="0">
    <w:nsid w:val="3C176FA5"/>
    <w:multiLevelType w:val="multilevel"/>
    <w:tmpl w:val="BAEA2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E5D2C48"/>
    <w:multiLevelType w:val="hybridMultilevel"/>
    <w:tmpl w:val="E6AA9A3E"/>
    <w:name w:val="Tiret 0__1"/>
    <w:lvl w:ilvl="0" w:tplc="8D965EA2">
      <w:start w:val="1"/>
      <w:numFmt w:val="decimal"/>
      <w:lvlText w:val="%1)"/>
      <w:lvlJc w:val="left"/>
      <w:pPr>
        <w:tabs>
          <w:tab w:val="num" w:pos="1080"/>
        </w:tabs>
        <w:ind w:left="720"/>
      </w:pPr>
      <w:rPr>
        <w:rFonts w:hint="default"/>
      </w:rPr>
    </w:lvl>
    <w:lvl w:ilvl="1" w:tplc="EBD0274E">
      <w:start w:val="1"/>
      <w:numFmt w:val="lowerLetter"/>
      <w:lvlText w:val="%2."/>
      <w:lvlJc w:val="left"/>
      <w:pPr>
        <w:tabs>
          <w:tab w:val="num" w:pos="2160"/>
        </w:tabs>
        <w:ind w:left="2160" w:hanging="360"/>
      </w:pPr>
    </w:lvl>
    <w:lvl w:ilvl="2" w:tplc="4E8CA2BA" w:tentative="1">
      <w:start w:val="1"/>
      <w:numFmt w:val="lowerRoman"/>
      <w:lvlText w:val="%3."/>
      <w:lvlJc w:val="right"/>
      <w:pPr>
        <w:tabs>
          <w:tab w:val="num" w:pos="2880"/>
        </w:tabs>
        <w:ind w:left="2880" w:hanging="180"/>
      </w:pPr>
    </w:lvl>
    <w:lvl w:ilvl="3" w:tplc="3C9A681E" w:tentative="1">
      <w:start w:val="1"/>
      <w:numFmt w:val="decimal"/>
      <w:lvlText w:val="%4."/>
      <w:lvlJc w:val="left"/>
      <w:pPr>
        <w:tabs>
          <w:tab w:val="num" w:pos="3600"/>
        </w:tabs>
        <w:ind w:left="3600" w:hanging="360"/>
      </w:pPr>
    </w:lvl>
    <w:lvl w:ilvl="4" w:tplc="E7AEBB1C" w:tentative="1">
      <w:start w:val="1"/>
      <w:numFmt w:val="lowerLetter"/>
      <w:lvlText w:val="%5."/>
      <w:lvlJc w:val="left"/>
      <w:pPr>
        <w:tabs>
          <w:tab w:val="num" w:pos="4320"/>
        </w:tabs>
        <w:ind w:left="4320" w:hanging="360"/>
      </w:pPr>
    </w:lvl>
    <w:lvl w:ilvl="5" w:tplc="BFF21B28" w:tentative="1">
      <w:start w:val="1"/>
      <w:numFmt w:val="lowerRoman"/>
      <w:lvlText w:val="%6."/>
      <w:lvlJc w:val="right"/>
      <w:pPr>
        <w:tabs>
          <w:tab w:val="num" w:pos="5040"/>
        </w:tabs>
        <w:ind w:left="5040" w:hanging="180"/>
      </w:pPr>
    </w:lvl>
    <w:lvl w:ilvl="6" w:tplc="1CEC1464" w:tentative="1">
      <w:start w:val="1"/>
      <w:numFmt w:val="decimal"/>
      <w:lvlText w:val="%7."/>
      <w:lvlJc w:val="left"/>
      <w:pPr>
        <w:tabs>
          <w:tab w:val="num" w:pos="5760"/>
        </w:tabs>
        <w:ind w:left="5760" w:hanging="360"/>
      </w:pPr>
    </w:lvl>
    <w:lvl w:ilvl="7" w:tplc="962ED832" w:tentative="1">
      <w:start w:val="1"/>
      <w:numFmt w:val="lowerLetter"/>
      <w:lvlText w:val="%8."/>
      <w:lvlJc w:val="left"/>
      <w:pPr>
        <w:tabs>
          <w:tab w:val="num" w:pos="6480"/>
        </w:tabs>
        <w:ind w:left="6480" w:hanging="360"/>
      </w:pPr>
    </w:lvl>
    <w:lvl w:ilvl="8" w:tplc="8B8CDD8E" w:tentative="1">
      <w:start w:val="1"/>
      <w:numFmt w:val="lowerRoman"/>
      <w:lvlText w:val="%9."/>
      <w:lvlJc w:val="right"/>
      <w:pPr>
        <w:tabs>
          <w:tab w:val="num" w:pos="7200"/>
        </w:tabs>
        <w:ind w:left="7200" w:hanging="180"/>
      </w:pPr>
    </w:lvl>
  </w:abstractNum>
  <w:abstractNum w:abstractNumId="34" w15:restartNumberingAfterBreak="0">
    <w:nsid w:val="41CE3546"/>
    <w:multiLevelType w:val="multilevel"/>
    <w:tmpl w:val="1DF48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32931D9"/>
    <w:multiLevelType w:val="hybridMultilevel"/>
    <w:tmpl w:val="DA128498"/>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6" w15:restartNumberingAfterBreak="0">
    <w:nsid w:val="43A42426"/>
    <w:multiLevelType w:val="multilevel"/>
    <w:tmpl w:val="1F566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40652BD"/>
    <w:multiLevelType w:val="multilevel"/>
    <w:tmpl w:val="D9EA9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54E7BD1"/>
    <w:multiLevelType w:val="multilevel"/>
    <w:tmpl w:val="AFCC9342"/>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sz w:val="22"/>
        <w:szCs w:val="22"/>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46450DDC"/>
    <w:multiLevelType w:val="multilevel"/>
    <w:tmpl w:val="E53E3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792609D"/>
    <w:multiLevelType w:val="multilevel"/>
    <w:tmpl w:val="5DA628A4"/>
    <w:lvl w:ilvl="0">
      <w:start w:val="1"/>
      <w:numFmt w:val="bullet"/>
      <w:pStyle w:val="Heading1"/>
      <w:lvlText w:val="o"/>
      <w:lvlJc w:val="left"/>
      <w:pPr>
        <w:ind w:left="-288" w:hanging="432"/>
      </w:pPr>
      <w:rPr>
        <w:rFonts w:ascii="Courier New" w:hAnsi="Courier New" w:cs="Courier New" w:hint="default"/>
      </w:rPr>
    </w:lvl>
    <w:lvl w:ilvl="1">
      <w:start w:val="1"/>
      <w:numFmt w:val="decimal"/>
      <w:pStyle w:val="Heading2"/>
      <w:lvlText w:val="%1.%2"/>
      <w:lvlJc w:val="left"/>
      <w:pPr>
        <w:ind w:left="-144" w:hanging="576"/>
      </w:pPr>
    </w:lvl>
    <w:lvl w:ilvl="2">
      <w:start w:val="1"/>
      <w:numFmt w:val="decimal"/>
      <w:pStyle w:val="Heading3"/>
      <w:lvlText w:val="%1.%2.%3"/>
      <w:lvlJc w:val="left"/>
      <w:pPr>
        <w:ind w:left="0" w:hanging="720"/>
      </w:pPr>
    </w:lvl>
    <w:lvl w:ilvl="3">
      <w:start w:val="1"/>
      <w:numFmt w:val="decimal"/>
      <w:pStyle w:val="Heading4"/>
      <w:lvlText w:val="%1.%2.%3.%4"/>
      <w:lvlJc w:val="left"/>
      <w:pPr>
        <w:ind w:left="144" w:hanging="864"/>
      </w:pPr>
    </w:lvl>
    <w:lvl w:ilvl="4">
      <w:start w:val="1"/>
      <w:numFmt w:val="decimal"/>
      <w:pStyle w:val="Heading5"/>
      <w:lvlText w:val="%1.%2.%3.%4.%5"/>
      <w:lvlJc w:val="left"/>
      <w:pPr>
        <w:ind w:left="288" w:hanging="1008"/>
      </w:pPr>
    </w:lvl>
    <w:lvl w:ilvl="5">
      <w:start w:val="1"/>
      <w:numFmt w:val="decimal"/>
      <w:pStyle w:val="Heading6"/>
      <w:lvlText w:val="%1.%2.%3.%4.%5.%6"/>
      <w:lvlJc w:val="left"/>
      <w:pPr>
        <w:ind w:left="432" w:hanging="1152"/>
      </w:pPr>
    </w:lvl>
    <w:lvl w:ilvl="6">
      <w:start w:val="1"/>
      <w:numFmt w:val="decimal"/>
      <w:pStyle w:val="Heading7"/>
      <w:lvlText w:val="%1.%2.%3.%4.%5.%6.%7"/>
      <w:lvlJc w:val="left"/>
      <w:pPr>
        <w:ind w:left="576" w:hanging="1296"/>
      </w:pPr>
    </w:lvl>
    <w:lvl w:ilvl="7">
      <w:start w:val="1"/>
      <w:numFmt w:val="decimal"/>
      <w:pStyle w:val="Heading8"/>
      <w:lvlText w:val="%1.%2.%3.%4.%5.%6.%7.%8"/>
      <w:lvlJc w:val="left"/>
      <w:pPr>
        <w:ind w:left="720" w:hanging="1440"/>
      </w:pPr>
    </w:lvl>
    <w:lvl w:ilvl="8">
      <w:start w:val="1"/>
      <w:numFmt w:val="decimal"/>
      <w:pStyle w:val="Heading9"/>
      <w:lvlText w:val="%1.%2.%3.%4.%5.%6.%7.%8.%9"/>
      <w:lvlJc w:val="left"/>
      <w:pPr>
        <w:ind w:left="864" w:hanging="1584"/>
      </w:pPr>
    </w:lvl>
  </w:abstractNum>
  <w:abstractNum w:abstractNumId="41" w15:restartNumberingAfterBreak="0">
    <w:nsid w:val="4B4970B6"/>
    <w:multiLevelType w:val="hybridMultilevel"/>
    <w:tmpl w:val="AB14D280"/>
    <w:lvl w:ilvl="0" w:tplc="233E4E38">
      <w:start w:val="1"/>
      <w:numFmt w:val="bullet"/>
      <w:lvlText w:val=""/>
      <w:lvlJc w:val="left"/>
      <w:pPr>
        <w:ind w:left="1080" w:hanging="360"/>
      </w:pPr>
      <w:rPr>
        <w:rFonts w:ascii="Symbol" w:hAnsi="Symbol" w:hint="default"/>
        <w:color w:val="auto"/>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2" w15:restartNumberingAfterBreak="0">
    <w:nsid w:val="4D3C350B"/>
    <w:multiLevelType w:val="singleLevel"/>
    <w:tmpl w:val="250A7C5C"/>
    <w:lvl w:ilvl="0">
      <w:start w:val="1"/>
      <w:numFmt w:val="bullet"/>
      <w:lvlRestart w:val="0"/>
      <w:pStyle w:val="Tiret1"/>
      <w:lvlText w:val="–"/>
      <w:lvlJc w:val="left"/>
      <w:pPr>
        <w:tabs>
          <w:tab w:val="num" w:pos="1417"/>
        </w:tabs>
        <w:ind w:left="1417" w:hanging="567"/>
      </w:pPr>
    </w:lvl>
  </w:abstractNum>
  <w:abstractNum w:abstractNumId="43" w15:restartNumberingAfterBreak="0">
    <w:nsid w:val="4DC42292"/>
    <w:multiLevelType w:val="multilevel"/>
    <w:tmpl w:val="E71CC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F565E88"/>
    <w:multiLevelType w:val="hybridMultilevel"/>
    <w:tmpl w:val="C7106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FB87B62"/>
    <w:multiLevelType w:val="multilevel"/>
    <w:tmpl w:val="4BAEE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51724393"/>
    <w:multiLevelType w:val="multilevel"/>
    <w:tmpl w:val="3B242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51AF7C77"/>
    <w:multiLevelType w:val="multilevel"/>
    <w:tmpl w:val="0BE219D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8" w15:restartNumberingAfterBreak="0">
    <w:nsid w:val="55904715"/>
    <w:multiLevelType w:val="multilevel"/>
    <w:tmpl w:val="5E5EB1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bCs/>
        <w:sz w:val="22"/>
        <w:szCs w:val="22"/>
      </w:rPr>
    </w:lvl>
    <w:lvl w:ilvl="2">
      <w:start w:val="1"/>
      <w:numFmt w:val="decimal"/>
      <w:lvlText w:val="%1.%2.%3."/>
      <w:lvlJc w:val="left"/>
      <w:pPr>
        <w:ind w:left="1224" w:hanging="504"/>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56F00B9D"/>
    <w:multiLevelType w:val="hybridMultilevel"/>
    <w:tmpl w:val="BA62E84E"/>
    <w:lvl w:ilvl="0" w:tplc="08090001">
      <w:start w:val="1"/>
      <w:numFmt w:val="bullet"/>
      <w:lvlText w:val=""/>
      <w:lvlJc w:val="left"/>
      <w:pPr>
        <w:ind w:left="990" w:hanging="360"/>
      </w:pPr>
      <w:rPr>
        <w:rFonts w:ascii="Symbol" w:hAnsi="Symbol" w:hint="default"/>
      </w:rPr>
    </w:lvl>
    <w:lvl w:ilvl="1" w:tplc="08090003" w:tentative="1">
      <w:start w:val="1"/>
      <w:numFmt w:val="bullet"/>
      <w:lvlText w:val="o"/>
      <w:lvlJc w:val="left"/>
      <w:pPr>
        <w:ind w:left="1710" w:hanging="360"/>
      </w:pPr>
      <w:rPr>
        <w:rFonts w:ascii="Courier New" w:hAnsi="Courier New" w:cs="Courier New" w:hint="default"/>
      </w:rPr>
    </w:lvl>
    <w:lvl w:ilvl="2" w:tplc="08090005" w:tentative="1">
      <w:start w:val="1"/>
      <w:numFmt w:val="bullet"/>
      <w:lvlText w:val=""/>
      <w:lvlJc w:val="left"/>
      <w:pPr>
        <w:ind w:left="2430" w:hanging="360"/>
      </w:pPr>
      <w:rPr>
        <w:rFonts w:ascii="Wingdings" w:hAnsi="Wingdings" w:hint="default"/>
      </w:rPr>
    </w:lvl>
    <w:lvl w:ilvl="3" w:tplc="08090001" w:tentative="1">
      <w:start w:val="1"/>
      <w:numFmt w:val="bullet"/>
      <w:lvlText w:val=""/>
      <w:lvlJc w:val="left"/>
      <w:pPr>
        <w:ind w:left="3150" w:hanging="360"/>
      </w:pPr>
      <w:rPr>
        <w:rFonts w:ascii="Symbol" w:hAnsi="Symbol" w:hint="default"/>
      </w:rPr>
    </w:lvl>
    <w:lvl w:ilvl="4" w:tplc="08090003" w:tentative="1">
      <w:start w:val="1"/>
      <w:numFmt w:val="bullet"/>
      <w:lvlText w:val="o"/>
      <w:lvlJc w:val="left"/>
      <w:pPr>
        <w:ind w:left="3870" w:hanging="360"/>
      </w:pPr>
      <w:rPr>
        <w:rFonts w:ascii="Courier New" w:hAnsi="Courier New" w:cs="Courier New" w:hint="default"/>
      </w:rPr>
    </w:lvl>
    <w:lvl w:ilvl="5" w:tplc="08090005" w:tentative="1">
      <w:start w:val="1"/>
      <w:numFmt w:val="bullet"/>
      <w:lvlText w:val=""/>
      <w:lvlJc w:val="left"/>
      <w:pPr>
        <w:ind w:left="4590" w:hanging="360"/>
      </w:pPr>
      <w:rPr>
        <w:rFonts w:ascii="Wingdings" w:hAnsi="Wingdings" w:hint="default"/>
      </w:rPr>
    </w:lvl>
    <w:lvl w:ilvl="6" w:tplc="08090001" w:tentative="1">
      <w:start w:val="1"/>
      <w:numFmt w:val="bullet"/>
      <w:lvlText w:val=""/>
      <w:lvlJc w:val="left"/>
      <w:pPr>
        <w:ind w:left="5310" w:hanging="360"/>
      </w:pPr>
      <w:rPr>
        <w:rFonts w:ascii="Symbol" w:hAnsi="Symbol" w:hint="default"/>
      </w:rPr>
    </w:lvl>
    <w:lvl w:ilvl="7" w:tplc="08090003" w:tentative="1">
      <w:start w:val="1"/>
      <w:numFmt w:val="bullet"/>
      <w:lvlText w:val="o"/>
      <w:lvlJc w:val="left"/>
      <w:pPr>
        <w:ind w:left="6030" w:hanging="360"/>
      </w:pPr>
      <w:rPr>
        <w:rFonts w:ascii="Courier New" w:hAnsi="Courier New" w:cs="Courier New" w:hint="default"/>
      </w:rPr>
    </w:lvl>
    <w:lvl w:ilvl="8" w:tplc="08090005" w:tentative="1">
      <w:start w:val="1"/>
      <w:numFmt w:val="bullet"/>
      <w:lvlText w:val=""/>
      <w:lvlJc w:val="left"/>
      <w:pPr>
        <w:ind w:left="6750" w:hanging="360"/>
      </w:pPr>
      <w:rPr>
        <w:rFonts w:ascii="Wingdings" w:hAnsi="Wingdings" w:hint="default"/>
      </w:rPr>
    </w:lvl>
  </w:abstractNum>
  <w:abstractNum w:abstractNumId="50" w15:restartNumberingAfterBreak="0">
    <w:nsid w:val="57F47F54"/>
    <w:multiLevelType w:val="hybridMultilevel"/>
    <w:tmpl w:val="34AE6832"/>
    <w:name w:val="Tiret 1__1"/>
    <w:lvl w:ilvl="0" w:tplc="9552142E">
      <w:start w:val="1"/>
      <w:numFmt w:val="bullet"/>
      <w:lvlText w:val=""/>
      <w:lvlJc w:val="left"/>
      <w:pPr>
        <w:ind w:left="1350" w:hanging="360"/>
      </w:pPr>
      <w:rPr>
        <w:rFonts w:ascii="Symbol" w:hAnsi="Symbol" w:hint="default"/>
      </w:rPr>
    </w:lvl>
    <w:lvl w:ilvl="1" w:tplc="8C16A778" w:tentative="1">
      <w:start w:val="1"/>
      <w:numFmt w:val="bullet"/>
      <w:lvlText w:val="o"/>
      <w:lvlJc w:val="left"/>
      <w:pPr>
        <w:ind w:left="2070" w:hanging="360"/>
      </w:pPr>
      <w:rPr>
        <w:rFonts w:ascii="Courier New" w:hAnsi="Courier New" w:cs="Arial" w:hint="default"/>
      </w:rPr>
    </w:lvl>
    <w:lvl w:ilvl="2" w:tplc="1B8E61D8" w:tentative="1">
      <w:start w:val="1"/>
      <w:numFmt w:val="bullet"/>
      <w:lvlText w:val=""/>
      <w:lvlJc w:val="left"/>
      <w:pPr>
        <w:ind w:left="2790" w:hanging="360"/>
      </w:pPr>
      <w:rPr>
        <w:rFonts w:ascii="Wingdings" w:hAnsi="Wingdings" w:hint="default"/>
      </w:rPr>
    </w:lvl>
    <w:lvl w:ilvl="3" w:tplc="FA1ED9E0" w:tentative="1">
      <w:start w:val="1"/>
      <w:numFmt w:val="bullet"/>
      <w:lvlText w:val=""/>
      <w:lvlJc w:val="left"/>
      <w:pPr>
        <w:ind w:left="3510" w:hanging="360"/>
      </w:pPr>
      <w:rPr>
        <w:rFonts w:ascii="Symbol" w:hAnsi="Symbol" w:hint="default"/>
      </w:rPr>
    </w:lvl>
    <w:lvl w:ilvl="4" w:tplc="02BAD5CC" w:tentative="1">
      <w:start w:val="1"/>
      <w:numFmt w:val="bullet"/>
      <w:lvlText w:val="o"/>
      <w:lvlJc w:val="left"/>
      <w:pPr>
        <w:ind w:left="4230" w:hanging="360"/>
      </w:pPr>
      <w:rPr>
        <w:rFonts w:ascii="Courier New" w:hAnsi="Courier New" w:cs="Arial" w:hint="default"/>
      </w:rPr>
    </w:lvl>
    <w:lvl w:ilvl="5" w:tplc="A7AE47BE" w:tentative="1">
      <w:start w:val="1"/>
      <w:numFmt w:val="bullet"/>
      <w:lvlText w:val=""/>
      <w:lvlJc w:val="left"/>
      <w:pPr>
        <w:ind w:left="4950" w:hanging="360"/>
      </w:pPr>
      <w:rPr>
        <w:rFonts w:ascii="Wingdings" w:hAnsi="Wingdings" w:hint="default"/>
      </w:rPr>
    </w:lvl>
    <w:lvl w:ilvl="6" w:tplc="A0043142" w:tentative="1">
      <w:start w:val="1"/>
      <w:numFmt w:val="bullet"/>
      <w:lvlText w:val=""/>
      <w:lvlJc w:val="left"/>
      <w:pPr>
        <w:ind w:left="5670" w:hanging="360"/>
      </w:pPr>
      <w:rPr>
        <w:rFonts w:ascii="Symbol" w:hAnsi="Symbol" w:hint="default"/>
      </w:rPr>
    </w:lvl>
    <w:lvl w:ilvl="7" w:tplc="1B70F914" w:tentative="1">
      <w:start w:val="1"/>
      <w:numFmt w:val="bullet"/>
      <w:lvlText w:val="o"/>
      <w:lvlJc w:val="left"/>
      <w:pPr>
        <w:ind w:left="6390" w:hanging="360"/>
      </w:pPr>
      <w:rPr>
        <w:rFonts w:ascii="Courier New" w:hAnsi="Courier New" w:cs="Arial" w:hint="default"/>
      </w:rPr>
    </w:lvl>
    <w:lvl w:ilvl="8" w:tplc="1542055A" w:tentative="1">
      <w:start w:val="1"/>
      <w:numFmt w:val="bullet"/>
      <w:lvlText w:val=""/>
      <w:lvlJc w:val="left"/>
      <w:pPr>
        <w:ind w:left="7110" w:hanging="360"/>
      </w:pPr>
      <w:rPr>
        <w:rFonts w:ascii="Wingdings" w:hAnsi="Wingdings" w:hint="default"/>
      </w:rPr>
    </w:lvl>
  </w:abstractNum>
  <w:abstractNum w:abstractNumId="51" w15:restartNumberingAfterBreak="0">
    <w:nsid w:val="5934623A"/>
    <w:multiLevelType w:val="hybridMultilevel"/>
    <w:tmpl w:val="1ADCC718"/>
    <w:lvl w:ilvl="0" w:tplc="08090001">
      <w:start w:val="1"/>
      <w:numFmt w:val="bullet"/>
      <w:lvlText w:val=""/>
      <w:lvlJc w:val="left"/>
      <w:pPr>
        <w:ind w:left="900" w:hanging="360"/>
      </w:pPr>
      <w:rPr>
        <w:rFonts w:ascii="Symbol" w:hAnsi="Symbol" w:hint="default"/>
      </w:rPr>
    </w:lvl>
    <w:lvl w:ilvl="1" w:tplc="08090019">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52" w15:restartNumberingAfterBreak="0">
    <w:nsid w:val="59D17600"/>
    <w:multiLevelType w:val="hybridMultilevel"/>
    <w:tmpl w:val="6F30E9F8"/>
    <w:lvl w:ilvl="0" w:tplc="04090001">
      <w:start w:val="1"/>
      <w:numFmt w:val="bullet"/>
      <w:lvlText w:val=""/>
      <w:lvlJc w:val="left"/>
      <w:pPr>
        <w:ind w:left="1080" w:hanging="360"/>
      </w:pPr>
      <w:rPr>
        <w:rFonts w:ascii="Symbol" w:hAnsi="Symbol" w:hint="default"/>
      </w:r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3" w15:restartNumberingAfterBreak="0">
    <w:nsid w:val="5CA72DCB"/>
    <w:multiLevelType w:val="hybridMultilevel"/>
    <w:tmpl w:val="B58A1290"/>
    <w:name w:val="NumPar__1"/>
    <w:lvl w:ilvl="0" w:tplc="AEEE767A">
      <w:start w:val="1"/>
      <w:numFmt w:val="lowerLetter"/>
      <w:lvlText w:val="%1)"/>
      <w:lvlJc w:val="left"/>
      <w:pPr>
        <w:tabs>
          <w:tab w:val="num" w:pos="360"/>
        </w:tabs>
        <w:ind w:left="360" w:hanging="360"/>
      </w:pPr>
      <w:rPr>
        <w:rFonts w:hint="default"/>
      </w:rPr>
    </w:lvl>
    <w:lvl w:ilvl="1" w:tplc="C5783256" w:tentative="1">
      <w:start w:val="1"/>
      <w:numFmt w:val="lowerLetter"/>
      <w:lvlText w:val="%2."/>
      <w:lvlJc w:val="left"/>
      <w:pPr>
        <w:tabs>
          <w:tab w:val="num" w:pos="1080"/>
        </w:tabs>
        <w:ind w:left="1080" w:hanging="360"/>
      </w:pPr>
    </w:lvl>
    <w:lvl w:ilvl="2" w:tplc="560444C4" w:tentative="1">
      <w:start w:val="1"/>
      <w:numFmt w:val="lowerRoman"/>
      <w:lvlText w:val="%3."/>
      <w:lvlJc w:val="right"/>
      <w:pPr>
        <w:tabs>
          <w:tab w:val="num" w:pos="1800"/>
        </w:tabs>
        <w:ind w:left="1800" w:hanging="180"/>
      </w:pPr>
    </w:lvl>
    <w:lvl w:ilvl="3" w:tplc="8BD04128" w:tentative="1">
      <w:start w:val="1"/>
      <w:numFmt w:val="decimal"/>
      <w:lvlText w:val="%4."/>
      <w:lvlJc w:val="left"/>
      <w:pPr>
        <w:tabs>
          <w:tab w:val="num" w:pos="2520"/>
        </w:tabs>
        <w:ind w:left="2520" w:hanging="360"/>
      </w:pPr>
    </w:lvl>
    <w:lvl w:ilvl="4" w:tplc="F1C6EB6E" w:tentative="1">
      <w:start w:val="1"/>
      <w:numFmt w:val="lowerLetter"/>
      <w:lvlText w:val="%5."/>
      <w:lvlJc w:val="left"/>
      <w:pPr>
        <w:tabs>
          <w:tab w:val="num" w:pos="3240"/>
        </w:tabs>
        <w:ind w:left="3240" w:hanging="360"/>
      </w:pPr>
    </w:lvl>
    <w:lvl w:ilvl="5" w:tplc="6CB6F3E6" w:tentative="1">
      <w:start w:val="1"/>
      <w:numFmt w:val="lowerRoman"/>
      <w:lvlText w:val="%6."/>
      <w:lvlJc w:val="right"/>
      <w:pPr>
        <w:tabs>
          <w:tab w:val="num" w:pos="3960"/>
        </w:tabs>
        <w:ind w:left="3960" w:hanging="180"/>
      </w:pPr>
    </w:lvl>
    <w:lvl w:ilvl="6" w:tplc="5DB8C198" w:tentative="1">
      <w:start w:val="1"/>
      <w:numFmt w:val="decimal"/>
      <w:lvlText w:val="%7."/>
      <w:lvlJc w:val="left"/>
      <w:pPr>
        <w:tabs>
          <w:tab w:val="num" w:pos="4680"/>
        </w:tabs>
        <w:ind w:left="4680" w:hanging="360"/>
      </w:pPr>
    </w:lvl>
    <w:lvl w:ilvl="7" w:tplc="78C0C530" w:tentative="1">
      <w:start w:val="1"/>
      <w:numFmt w:val="lowerLetter"/>
      <w:lvlText w:val="%8."/>
      <w:lvlJc w:val="left"/>
      <w:pPr>
        <w:tabs>
          <w:tab w:val="num" w:pos="5400"/>
        </w:tabs>
        <w:ind w:left="5400" w:hanging="360"/>
      </w:pPr>
    </w:lvl>
    <w:lvl w:ilvl="8" w:tplc="46FCAF94" w:tentative="1">
      <w:start w:val="1"/>
      <w:numFmt w:val="lowerRoman"/>
      <w:lvlText w:val="%9."/>
      <w:lvlJc w:val="right"/>
      <w:pPr>
        <w:tabs>
          <w:tab w:val="num" w:pos="6120"/>
        </w:tabs>
        <w:ind w:left="6120" w:hanging="180"/>
      </w:pPr>
    </w:lvl>
  </w:abstractNum>
  <w:abstractNum w:abstractNumId="54" w15:restartNumberingAfterBreak="0">
    <w:nsid w:val="5E702C65"/>
    <w:multiLevelType w:val="hybridMultilevel"/>
    <w:tmpl w:val="B7B637D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5" w15:restartNumberingAfterBreak="0">
    <w:nsid w:val="609206DA"/>
    <w:multiLevelType w:val="hybridMultilevel"/>
    <w:tmpl w:val="968C1856"/>
    <w:lvl w:ilvl="0" w:tplc="226E5548">
      <w:start w:val="1"/>
      <w:numFmt w:val="decimal"/>
      <w:pStyle w:val="Body"/>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15:restartNumberingAfterBreak="0">
    <w:nsid w:val="60992281"/>
    <w:multiLevelType w:val="multilevel"/>
    <w:tmpl w:val="D4021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62546D11"/>
    <w:multiLevelType w:val="singleLevel"/>
    <w:tmpl w:val="5732AE88"/>
    <w:lvl w:ilvl="0">
      <w:start w:val="1"/>
      <w:numFmt w:val="decimal"/>
      <w:lvlRestart w:val="0"/>
      <w:pStyle w:val="Considrant"/>
      <w:lvlText w:val="(%1)"/>
      <w:lvlJc w:val="left"/>
      <w:pPr>
        <w:tabs>
          <w:tab w:val="num" w:pos="709"/>
        </w:tabs>
        <w:ind w:left="709" w:hanging="709"/>
      </w:pPr>
      <w:rPr>
        <w:rFonts w:cs="Times New Roman"/>
      </w:rPr>
    </w:lvl>
  </w:abstractNum>
  <w:abstractNum w:abstractNumId="58" w15:restartNumberingAfterBreak="0">
    <w:nsid w:val="626B5EDC"/>
    <w:multiLevelType w:val="hybridMultilevel"/>
    <w:tmpl w:val="BA98033E"/>
    <w:lvl w:ilvl="0" w:tplc="6756BD96">
      <w:numFmt w:val="bullet"/>
      <w:lvlText w:val=""/>
      <w:lvlJc w:val="left"/>
      <w:pPr>
        <w:ind w:left="1080" w:hanging="360"/>
      </w:pPr>
      <w:rPr>
        <w:rFonts w:ascii="Symbol" w:eastAsiaTheme="minorHAnsi" w:hAnsi="Symbol" w:cstheme="minorBidi"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59" w15:restartNumberingAfterBreak="0">
    <w:nsid w:val="63FF774E"/>
    <w:multiLevelType w:val="multilevel"/>
    <w:tmpl w:val="81E23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64A67F27"/>
    <w:multiLevelType w:val="multilevel"/>
    <w:tmpl w:val="9F8A0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64BA6E5F"/>
    <w:multiLevelType w:val="hybridMultilevel"/>
    <w:tmpl w:val="F53A7B9E"/>
    <w:name w:val="List Number 2__1"/>
    <w:lvl w:ilvl="0" w:tplc="F6FE35D4">
      <w:start w:val="1"/>
      <w:numFmt w:val="decimal"/>
      <w:lvlText w:val="%1."/>
      <w:lvlJc w:val="left"/>
      <w:pPr>
        <w:tabs>
          <w:tab w:val="num" w:pos="720"/>
        </w:tabs>
        <w:ind w:left="720" w:hanging="360"/>
      </w:pPr>
    </w:lvl>
    <w:lvl w:ilvl="1" w:tplc="86F272C2" w:tentative="1">
      <w:start w:val="1"/>
      <w:numFmt w:val="lowerLetter"/>
      <w:lvlText w:val="%2."/>
      <w:lvlJc w:val="left"/>
      <w:pPr>
        <w:tabs>
          <w:tab w:val="num" w:pos="1440"/>
        </w:tabs>
        <w:ind w:left="1440" w:hanging="360"/>
      </w:pPr>
    </w:lvl>
    <w:lvl w:ilvl="2" w:tplc="F3A6DE0A" w:tentative="1">
      <w:start w:val="1"/>
      <w:numFmt w:val="lowerRoman"/>
      <w:lvlText w:val="%3."/>
      <w:lvlJc w:val="right"/>
      <w:pPr>
        <w:tabs>
          <w:tab w:val="num" w:pos="2160"/>
        </w:tabs>
        <w:ind w:left="2160" w:hanging="180"/>
      </w:pPr>
    </w:lvl>
    <w:lvl w:ilvl="3" w:tplc="B44662F4" w:tentative="1">
      <w:start w:val="1"/>
      <w:numFmt w:val="decimal"/>
      <w:lvlText w:val="%4."/>
      <w:lvlJc w:val="left"/>
      <w:pPr>
        <w:tabs>
          <w:tab w:val="num" w:pos="2880"/>
        </w:tabs>
        <w:ind w:left="2880" w:hanging="360"/>
      </w:pPr>
    </w:lvl>
    <w:lvl w:ilvl="4" w:tplc="BDAE533A" w:tentative="1">
      <w:start w:val="1"/>
      <w:numFmt w:val="lowerLetter"/>
      <w:lvlText w:val="%5."/>
      <w:lvlJc w:val="left"/>
      <w:pPr>
        <w:tabs>
          <w:tab w:val="num" w:pos="3600"/>
        </w:tabs>
        <w:ind w:left="3600" w:hanging="360"/>
      </w:pPr>
    </w:lvl>
    <w:lvl w:ilvl="5" w:tplc="63E4A1C6" w:tentative="1">
      <w:start w:val="1"/>
      <w:numFmt w:val="lowerRoman"/>
      <w:lvlText w:val="%6."/>
      <w:lvlJc w:val="right"/>
      <w:pPr>
        <w:tabs>
          <w:tab w:val="num" w:pos="4320"/>
        </w:tabs>
        <w:ind w:left="4320" w:hanging="180"/>
      </w:pPr>
    </w:lvl>
    <w:lvl w:ilvl="6" w:tplc="BB8C8D30" w:tentative="1">
      <w:start w:val="1"/>
      <w:numFmt w:val="decimal"/>
      <w:lvlText w:val="%7."/>
      <w:lvlJc w:val="left"/>
      <w:pPr>
        <w:tabs>
          <w:tab w:val="num" w:pos="5040"/>
        </w:tabs>
        <w:ind w:left="5040" w:hanging="360"/>
      </w:pPr>
    </w:lvl>
    <w:lvl w:ilvl="7" w:tplc="1700BBDE" w:tentative="1">
      <w:start w:val="1"/>
      <w:numFmt w:val="lowerLetter"/>
      <w:lvlText w:val="%8."/>
      <w:lvlJc w:val="left"/>
      <w:pPr>
        <w:tabs>
          <w:tab w:val="num" w:pos="5760"/>
        </w:tabs>
        <w:ind w:left="5760" w:hanging="360"/>
      </w:pPr>
    </w:lvl>
    <w:lvl w:ilvl="8" w:tplc="A3F6808C" w:tentative="1">
      <w:start w:val="1"/>
      <w:numFmt w:val="lowerRoman"/>
      <w:lvlText w:val="%9."/>
      <w:lvlJc w:val="right"/>
      <w:pPr>
        <w:tabs>
          <w:tab w:val="num" w:pos="6480"/>
        </w:tabs>
        <w:ind w:left="6480" w:hanging="180"/>
      </w:pPr>
    </w:lvl>
  </w:abstractNum>
  <w:abstractNum w:abstractNumId="62" w15:restartNumberingAfterBreak="0">
    <w:nsid w:val="65570495"/>
    <w:multiLevelType w:val="hybridMultilevel"/>
    <w:tmpl w:val="0FB84226"/>
    <w:name w:val="Considérant__2"/>
    <w:lvl w:ilvl="0" w:tplc="E70A269C">
      <w:start w:val="1"/>
      <w:numFmt w:val="decimal"/>
      <w:lvlText w:val="%1."/>
      <w:lvlJc w:val="left"/>
      <w:pPr>
        <w:tabs>
          <w:tab w:val="num" w:pos="360"/>
        </w:tabs>
        <w:ind w:left="360" w:hanging="360"/>
      </w:pPr>
    </w:lvl>
    <w:lvl w:ilvl="1" w:tplc="7BFE205C" w:tentative="1">
      <w:start w:val="1"/>
      <w:numFmt w:val="lowerLetter"/>
      <w:lvlText w:val="%2."/>
      <w:lvlJc w:val="left"/>
      <w:pPr>
        <w:tabs>
          <w:tab w:val="num" w:pos="1080"/>
        </w:tabs>
        <w:ind w:left="1080" w:hanging="360"/>
      </w:pPr>
    </w:lvl>
    <w:lvl w:ilvl="2" w:tplc="EB4C4DA2" w:tentative="1">
      <w:start w:val="1"/>
      <w:numFmt w:val="lowerRoman"/>
      <w:lvlText w:val="%3."/>
      <w:lvlJc w:val="right"/>
      <w:pPr>
        <w:tabs>
          <w:tab w:val="num" w:pos="1800"/>
        </w:tabs>
        <w:ind w:left="1800" w:hanging="180"/>
      </w:pPr>
    </w:lvl>
    <w:lvl w:ilvl="3" w:tplc="C47ECA9A" w:tentative="1">
      <w:start w:val="1"/>
      <w:numFmt w:val="decimal"/>
      <w:lvlText w:val="%4."/>
      <w:lvlJc w:val="left"/>
      <w:pPr>
        <w:tabs>
          <w:tab w:val="num" w:pos="2520"/>
        </w:tabs>
        <w:ind w:left="2520" w:hanging="360"/>
      </w:pPr>
    </w:lvl>
    <w:lvl w:ilvl="4" w:tplc="EBCEBB8C" w:tentative="1">
      <w:start w:val="1"/>
      <w:numFmt w:val="lowerLetter"/>
      <w:lvlText w:val="%5."/>
      <w:lvlJc w:val="left"/>
      <w:pPr>
        <w:tabs>
          <w:tab w:val="num" w:pos="3240"/>
        </w:tabs>
        <w:ind w:left="3240" w:hanging="360"/>
      </w:pPr>
    </w:lvl>
    <w:lvl w:ilvl="5" w:tplc="8BAEF5B0" w:tentative="1">
      <w:start w:val="1"/>
      <w:numFmt w:val="lowerRoman"/>
      <w:lvlText w:val="%6."/>
      <w:lvlJc w:val="right"/>
      <w:pPr>
        <w:tabs>
          <w:tab w:val="num" w:pos="3960"/>
        </w:tabs>
        <w:ind w:left="3960" w:hanging="180"/>
      </w:pPr>
    </w:lvl>
    <w:lvl w:ilvl="6" w:tplc="0F6054DA" w:tentative="1">
      <w:start w:val="1"/>
      <w:numFmt w:val="decimal"/>
      <w:lvlText w:val="%7."/>
      <w:lvlJc w:val="left"/>
      <w:pPr>
        <w:tabs>
          <w:tab w:val="num" w:pos="4680"/>
        </w:tabs>
        <w:ind w:left="4680" w:hanging="360"/>
      </w:pPr>
    </w:lvl>
    <w:lvl w:ilvl="7" w:tplc="C2B8C396" w:tentative="1">
      <w:start w:val="1"/>
      <w:numFmt w:val="lowerLetter"/>
      <w:lvlText w:val="%8."/>
      <w:lvlJc w:val="left"/>
      <w:pPr>
        <w:tabs>
          <w:tab w:val="num" w:pos="5400"/>
        </w:tabs>
        <w:ind w:left="5400" w:hanging="360"/>
      </w:pPr>
    </w:lvl>
    <w:lvl w:ilvl="8" w:tplc="DF3222EC" w:tentative="1">
      <w:start w:val="1"/>
      <w:numFmt w:val="lowerRoman"/>
      <w:lvlText w:val="%9."/>
      <w:lvlJc w:val="right"/>
      <w:pPr>
        <w:tabs>
          <w:tab w:val="num" w:pos="6120"/>
        </w:tabs>
        <w:ind w:left="6120" w:hanging="180"/>
      </w:pPr>
    </w:lvl>
  </w:abstractNum>
  <w:abstractNum w:abstractNumId="63" w15:restartNumberingAfterBreak="0">
    <w:nsid w:val="66911647"/>
    <w:multiLevelType w:val="multilevel"/>
    <w:tmpl w:val="916EA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66B9228A"/>
    <w:multiLevelType w:val="multilevel"/>
    <w:tmpl w:val="A1F25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697918A0"/>
    <w:multiLevelType w:val="hybridMultilevel"/>
    <w:tmpl w:val="DA128498"/>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6" w15:restartNumberingAfterBreak="0">
    <w:nsid w:val="6CAE13A3"/>
    <w:multiLevelType w:val="singleLevel"/>
    <w:tmpl w:val="06BE07AC"/>
    <w:lvl w:ilvl="0">
      <w:start w:val="1"/>
      <w:numFmt w:val="bullet"/>
      <w:lvlRestart w:val="0"/>
      <w:pStyle w:val="Tiret2"/>
      <w:lvlText w:val="–"/>
      <w:lvlJc w:val="left"/>
      <w:pPr>
        <w:tabs>
          <w:tab w:val="num" w:pos="1984"/>
        </w:tabs>
        <w:ind w:left="1984" w:hanging="567"/>
      </w:pPr>
    </w:lvl>
  </w:abstractNum>
  <w:abstractNum w:abstractNumId="67" w15:restartNumberingAfterBreak="0">
    <w:nsid w:val="702100A5"/>
    <w:multiLevelType w:val="hybridMultilevel"/>
    <w:tmpl w:val="37D2D988"/>
    <w:lvl w:ilvl="0" w:tplc="04090001">
      <w:start w:val="1"/>
      <w:numFmt w:val="bullet"/>
      <w:lvlText w:val=""/>
      <w:lvlJc w:val="left"/>
      <w:pPr>
        <w:ind w:left="18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58C3C16"/>
    <w:multiLevelType w:val="multilevel"/>
    <w:tmpl w:val="CFCEB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75AA5793"/>
    <w:multiLevelType w:val="singleLevel"/>
    <w:tmpl w:val="EB8AA5DA"/>
    <w:name w:val="Tiret 2__1"/>
    <w:lvl w:ilvl="0">
      <w:start w:val="1"/>
      <w:numFmt w:val="upperRoman"/>
      <w:lvlText w:val="APPENDIX %1"/>
      <w:lvlJc w:val="left"/>
      <w:pPr>
        <w:tabs>
          <w:tab w:val="num" w:pos="360"/>
        </w:tabs>
        <w:ind w:left="360" w:hanging="360"/>
      </w:pPr>
      <w:rPr>
        <w:rFonts w:ascii="Times New Roman Bold" w:hAnsi="Times New Roman Bold" w:hint="default"/>
        <w:b/>
        <w:i w:val="0"/>
      </w:rPr>
    </w:lvl>
  </w:abstractNum>
  <w:abstractNum w:abstractNumId="70" w15:restartNumberingAfterBreak="0">
    <w:nsid w:val="76A15B12"/>
    <w:multiLevelType w:val="multilevel"/>
    <w:tmpl w:val="273ED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8936E0F"/>
    <w:multiLevelType w:val="hybridMultilevel"/>
    <w:tmpl w:val="1532A1F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2" w15:restartNumberingAfterBreak="0">
    <w:nsid w:val="7AE16FDF"/>
    <w:multiLevelType w:val="hybridMultilevel"/>
    <w:tmpl w:val="3ACE7DE0"/>
    <w:lvl w:ilvl="0" w:tplc="78DACB50">
      <w:start w:val="1"/>
      <w:numFmt w:val="decimal"/>
      <w:pStyle w:val="IOTCReportNormalNumbered"/>
      <w:lvlText w:val="%1."/>
      <w:lvlJc w:val="left"/>
      <w:pPr>
        <w:ind w:left="772" w:hanging="502"/>
      </w:pPr>
      <w:rPr>
        <w:rFonts w:ascii="Calibri" w:hAnsi="Calibri" w:cs="Calibri" w:hint="default"/>
        <w:b w:val="0"/>
        <w:i w:val="0"/>
        <w:color w:val="auto"/>
        <w:sz w:val="22"/>
        <w:szCs w:val="22"/>
        <w:lang w:val="en-GB"/>
      </w:rPr>
    </w:lvl>
    <w:lvl w:ilvl="1" w:tplc="3D82F7AA">
      <w:start w:val="1"/>
      <w:numFmt w:val="bullet"/>
      <w:lvlText w:val=""/>
      <w:lvlJc w:val="left"/>
      <w:pPr>
        <w:ind w:left="1492" w:hanging="360"/>
      </w:pPr>
      <w:rPr>
        <w:rFonts w:ascii="Symbol" w:hAnsi="Symbol" w:hint="default"/>
        <w:color w:val="auto"/>
      </w:rPr>
    </w:lvl>
    <w:lvl w:ilvl="2" w:tplc="0C090017">
      <w:start w:val="1"/>
      <w:numFmt w:val="lowerLetter"/>
      <w:lvlText w:val="%3)"/>
      <w:lvlJc w:val="left"/>
      <w:pPr>
        <w:ind w:left="2212" w:hanging="180"/>
      </w:pPr>
    </w:lvl>
    <w:lvl w:ilvl="3" w:tplc="08090017">
      <w:start w:val="1"/>
      <w:numFmt w:val="decimal"/>
      <w:lvlText w:val="%4."/>
      <w:lvlJc w:val="left"/>
      <w:pPr>
        <w:ind w:left="2932" w:hanging="360"/>
      </w:pPr>
    </w:lvl>
    <w:lvl w:ilvl="4" w:tplc="08090019" w:tentative="1">
      <w:start w:val="1"/>
      <w:numFmt w:val="lowerLetter"/>
      <w:lvlText w:val="%5."/>
      <w:lvlJc w:val="left"/>
      <w:pPr>
        <w:ind w:left="3652" w:hanging="360"/>
      </w:pPr>
    </w:lvl>
    <w:lvl w:ilvl="5" w:tplc="0809001B" w:tentative="1">
      <w:start w:val="1"/>
      <w:numFmt w:val="lowerRoman"/>
      <w:lvlText w:val="%6."/>
      <w:lvlJc w:val="right"/>
      <w:pPr>
        <w:ind w:left="4372" w:hanging="180"/>
      </w:pPr>
    </w:lvl>
    <w:lvl w:ilvl="6" w:tplc="0809000F">
      <w:start w:val="1"/>
      <w:numFmt w:val="decimal"/>
      <w:lvlText w:val="%7."/>
      <w:lvlJc w:val="left"/>
      <w:pPr>
        <w:ind w:left="5092" w:hanging="360"/>
      </w:pPr>
    </w:lvl>
    <w:lvl w:ilvl="7" w:tplc="08090019" w:tentative="1">
      <w:start w:val="1"/>
      <w:numFmt w:val="lowerLetter"/>
      <w:lvlText w:val="%8."/>
      <w:lvlJc w:val="left"/>
      <w:pPr>
        <w:ind w:left="5812" w:hanging="360"/>
      </w:pPr>
    </w:lvl>
    <w:lvl w:ilvl="8" w:tplc="0809001B" w:tentative="1">
      <w:start w:val="1"/>
      <w:numFmt w:val="lowerRoman"/>
      <w:lvlText w:val="%9."/>
      <w:lvlJc w:val="right"/>
      <w:pPr>
        <w:ind w:left="6532" w:hanging="180"/>
      </w:pPr>
    </w:lvl>
  </w:abstractNum>
  <w:abstractNum w:abstractNumId="73" w15:restartNumberingAfterBreak="0">
    <w:nsid w:val="7EC405EE"/>
    <w:multiLevelType w:val="singleLevel"/>
    <w:tmpl w:val="44BEA50C"/>
    <w:lvl w:ilvl="0">
      <w:start w:val="1"/>
      <w:numFmt w:val="bullet"/>
      <w:lvlRestart w:val="0"/>
      <w:pStyle w:val="ListDash4"/>
      <w:lvlText w:val="–"/>
      <w:lvlJc w:val="left"/>
      <w:pPr>
        <w:tabs>
          <w:tab w:val="num" w:pos="1134"/>
        </w:tabs>
        <w:ind w:left="1134" w:hanging="283"/>
      </w:pPr>
      <w:rPr>
        <w:rFonts w:ascii="Times New Roman" w:hAnsi="Times New Roman"/>
      </w:rPr>
    </w:lvl>
  </w:abstractNum>
  <w:num w:numId="1" w16cid:durableId="2083867129">
    <w:abstractNumId w:val="72"/>
  </w:num>
  <w:num w:numId="2" w16cid:durableId="106315242">
    <w:abstractNumId w:val="23"/>
  </w:num>
  <w:num w:numId="3" w16cid:durableId="1230657480">
    <w:abstractNumId w:val="73"/>
  </w:num>
  <w:num w:numId="4" w16cid:durableId="1308975166">
    <w:abstractNumId w:val="14"/>
  </w:num>
  <w:num w:numId="5" w16cid:durableId="555512329">
    <w:abstractNumId w:val="13"/>
  </w:num>
  <w:num w:numId="6" w16cid:durableId="630985079">
    <w:abstractNumId w:val="12"/>
  </w:num>
  <w:num w:numId="7" w16cid:durableId="2072345249">
    <w:abstractNumId w:val="66"/>
  </w:num>
  <w:num w:numId="8" w16cid:durableId="2052924972">
    <w:abstractNumId w:val="42"/>
  </w:num>
  <w:num w:numId="9" w16cid:durableId="1922979700">
    <w:abstractNumId w:val="30"/>
  </w:num>
  <w:num w:numId="10" w16cid:durableId="85810635">
    <w:abstractNumId w:val="57"/>
  </w:num>
  <w:num w:numId="11" w16cid:durableId="2065787112">
    <w:abstractNumId w:val="0"/>
  </w:num>
  <w:num w:numId="12" w16cid:durableId="1076786107">
    <w:abstractNumId w:val="55"/>
  </w:num>
  <w:num w:numId="13" w16cid:durableId="1169832561">
    <w:abstractNumId w:val="71"/>
  </w:num>
  <w:num w:numId="14" w16cid:durableId="443620610">
    <w:abstractNumId w:val="52"/>
  </w:num>
  <w:num w:numId="15" w16cid:durableId="362676776">
    <w:abstractNumId w:val="40"/>
  </w:num>
  <w:num w:numId="16" w16cid:durableId="72897659">
    <w:abstractNumId w:val="41"/>
  </w:num>
  <w:num w:numId="17" w16cid:durableId="213778814">
    <w:abstractNumId w:val="22"/>
  </w:num>
  <w:num w:numId="18" w16cid:durableId="1356880528">
    <w:abstractNumId w:val="16"/>
  </w:num>
  <w:num w:numId="19" w16cid:durableId="78603200">
    <w:abstractNumId w:val="67"/>
  </w:num>
  <w:num w:numId="20" w16cid:durableId="1457946375">
    <w:abstractNumId w:val="48"/>
  </w:num>
  <w:num w:numId="21" w16cid:durableId="1860462521">
    <w:abstractNumId w:val="51"/>
  </w:num>
  <w:num w:numId="22" w16cid:durableId="304042891">
    <w:abstractNumId w:val="38"/>
  </w:num>
  <w:num w:numId="23" w16cid:durableId="550306119">
    <w:abstractNumId w:val="54"/>
  </w:num>
  <w:num w:numId="24" w16cid:durableId="682560980">
    <w:abstractNumId w:val="49"/>
  </w:num>
  <w:num w:numId="25" w16cid:durableId="1277056061">
    <w:abstractNumId w:val="31"/>
  </w:num>
  <w:num w:numId="26" w16cid:durableId="113523466">
    <w:abstractNumId w:val="44"/>
  </w:num>
  <w:num w:numId="27" w16cid:durableId="201947252">
    <w:abstractNumId w:val="47"/>
  </w:num>
  <w:num w:numId="28" w16cid:durableId="323896919">
    <w:abstractNumId w:val="18"/>
  </w:num>
  <w:num w:numId="29" w16cid:durableId="439104215">
    <w:abstractNumId w:val="39"/>
  </w:num>
  <w:num w:numId="30" w16cid:durableId="875657966">
    <w:abstractNumId w:val="24"/>
  </w:num>
  <w:num w:numId="31" w16cid:durableId="1303727742">
    <w:abstractNumId w:val="34"/>
  </w:num>
  <w:num w:numId="32" w16cid:durableId="218520640">
    <w:abstractNumId w:val="2"/>
  </w:num>
  <w:num w:numId="33" w16cid:durableId="904921373">
    <w:abstractNumId w:val="46"/>
  </w:num>
  <w:num w:numId="34" w16cid:durableId="1409842177">
    <w:abstractNumId w:val="60"/>
  </w:num>
  <w:num w:numId="35" w16cid:durableId="24864817">
    <w:abstractNumId w:val="6"/>
  </w:num>
  <w:num w:numId="36" w16cid:durableId="1257246987">
    <w:abstractNumId w:val="59"/>
  </w:num>
  <w:num w:numId="37" w16cid:durableId="875776981">
    <w:abstractNumId w:val="11"/>
  </w:num>
  <w:num w:numId="38" w16cid:durableId="1490900535">
    <w:abstractNumId w:val="56"/>
  </w:num>
  <w:num w:numId="39" w16cid:durableId="1832066570">
    <w:abstractNumId w:val="45"/>
  </w:num>
  <w:num w:numId="40" w16cid:durableId="1922374458">
    <w:abstractNumId w:val="9"/>
  </w:num>
  <w:num w:numId="41" w16cid:durableId="417597151">
    <w:abstractNumId w:val="37"/>
  </w:num>
  <w:num w:numId="42" w16cid:durableId="1298493958">
    <w:abstractNumId w:val="36"/>
  </w:num>
  <w:num w:numId="43" w16cid:durableId="2095394262">
    <w:abstractNumId w:val="25"/>
  </w:num>
  <w:num w:numId="44" w16cid:durableId="1275093745">
    <w:abstractNumId w:val="29"/>
  </w:num>
  <w:num w:numId="45" w16cid:durableId="547257085">
    <w:abstractNumId w:val="70"/>
  </w:num>
  <w:num w:numId="46" w16cid:durableId="209809986">
    <w:abstractNumId w:val="8"/>
  </w:num>
  <w:num w:numId="47" w16cid:durableId="972558525">
    <w:abstractNumId w:val="15"/>
  </w:num>
  <w:num w:numId="48" w16cid:durableId="121851535">
    <w:abstractNumId w:val="43"/>
  </w:num>
  <w:num w:numId="49" w16cid:durableId="1414208457">
    <w:abstractNumId w:val="5"/>
  </w:num>
  <w:num w:numId="50" w16cid:durableId="183712144">
    <w:abstractNumId w:val="17"/>
  </w:num>
  <w:num w:numId="51" w16cid:durableId="1824810476">
    <w:abstractNumId w:val="3"/>
  </w:num>
  <w:num w:numId="52" w16cid:durableId="1755008489">
    <w:abstractNumId w:val="64"/>
  </w:num>
  <w:num w:numId="53" w16cid:durableId="234048672">
    <w:abstractNumId w:val="32"/>
  </w:num>
  <w:num w:numId="54" w16cid:durableId="1838812957">
    <w:abstractNumId w:val="63"/>
  </w:num>
  <w:num w:numId="55" w16cid:durableId="948588216">
    <w:abstractNumId w:val="68"/>
  </w:num>
  <w:num w:numId="56" w16cid:durableId="1178232256">
    <w:abstractNumId w:val="19"/>
  </w:num>
  <w:num w:numId="57" w16cid:durableId="236131303">
    <w:abstractNumId w:val="28"/>
  </w:num>
  <w:num w:numId="58" w16cid:durableId="1492788465">
    <w:abstractNumId w:val="58"/>
  </w:num>
  <w:num w:numId="59" w16cid:durableId="2135323128">
    <w:abstractNumId w:val="10"/>
  </w:num>
  <w:num w:numId="60" w16cid:durableId="2022193986">
    <w:abstractNumId w:val="7"/>
  </w:num>
  <w:num w:numId="61" w16cid:durableId="2108115738">
    <w:abstractNumId w:val="35"/>
  </w:num>
  <w:num w:numId="62" w16cid:durableId="1454178836">
    <w:abstractNumId w:val="6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activeWritingStyle w:appName="MSWord" w:lang="en-AU" w:vendorID="64" w:dllVersion="0"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n-SC" w:vendorID="64" w:dllVersion="0" w:nlCheck="1" w:checkStyle="0"/>
  <w:activeWritingStyle w:appName="MSWord" w:lang="es-ES" w:vendorID="64" w:dllVersion="0" w:nlCheck="1" w:checkStyle="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displayVerticalDrawingGridEvery w:val="2"/>
  <w:characterSpacingControl w:val="doNotCompress"/>
  <w:hdrShapeDefaults>
    <o:shapedefaults v:ext="edit" spidmax="205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YyMDS3MDIxtDAwtzBR0lEKTi0uzszPAykwrAUAsvk23CwAAAA="/>
    <w:docVar w:name="LW_DocType" w:val="橄ㄴᑰࢊޅ찔㈇"/>
  </w:docVars>
  <w:rsids>
    <w:rsidRoot w:val="0087703B"/>
    <w:rsid w:val="0000005C"/>
    <w:rsid w:val="0000084B"/>
    <w:rsid w:val="0000091F"/>
    <w:rsid w:val="000014D9"/>
    <w:rsid w:val="00001CED"/>
    <w:rsid w:val="00002330"/>
    <w:rsid w:val="00002448"/>
    <w:rsid w:val="00002FD1"/>
    <w:rsid w:val="0000302E"/>
    <w:rsid w:val="00003227"/>
    <w:rsid w:val="00003BE8"/>
    <w:rsid w:val="00003E29"/>
    <w:rsid w:val="00004A87"/>
    <w:rsid w:val="00004FD7"/>
    <w:rsid w:val="00005052"/>
    <w:rsid w:val="000050DC"/>
    <w:rsid w:val="00005601"/>
    <w:rsid w:val="00005891"/>
    <w:rsid w:val="00005E7A"/>
    <w:rsid w:val="0000681F"/>
    <w:rsid w:val="00006971"/>
    <w:rsid w:val="00006C16"/>
    <w:rsid w:val="00006C54"/>
    <w:rsid w:val="00006F23"/>
    <w:rsid w:val="00007086"/>
    <w:rsid w:val="0000754B"/>
    <w:rsid w:val="00007690"/>
    <w:rsid w:val="000078E3"/>
    <w:rsid w:val="00010147"/>
    <w:rsid w:val="00010719"/>
    <w:rsid w:val="000108B3"/>
    <w:rsid w:val="00011247"/>
    <w:rsid w:val="00011461"/>
    <w:rsid w:val="00012A0C"/>
    <w:rsid w:val="00012B13"/>
    <w:rsid w:val="00013427"/>
    <w:rsid w:val="000134E7"/>
    <w:rsid w:val="00013A64"/>
    <w:rsid w:val="0001444E"/>
    <w:rsid w:val="0001453D"/>
    <w:rsid w:val="000146B5"/>
    <w:rsid w:val="00014864"/>
    <w:rsid w:val="00014A20"/>
    <w:rsid w:val="00015914"/>
    <w:rsid w:val="0001610C"/>
    <w:rsid w:val="0001628C"/>
    <w:rsid w:val="0001653A"/>
    <w:rsid w:val="000169FC"/>
    <w:rsid w:val="00016B08"/>
    <w:rsid w:val="00017397"/>
    <w:rsid w:val="0001757E"/>
    <w:rsid w:val="00017F66"/>
    <w:rsid w:val="0002069A"/>
    <w:rsid w:val="00020A1C"/>
    <w:rsid w:val="00020B35"/>
    <w:rsid w:val="00020BDB"/>
    <w:rsid w:val="00020DD7"/>
    <w:rsid w:val="00021B3D"/>
    <w:rsid w:val="00021C47"/>
    <w:rsid w:val="00022120"/>
    <w:rsid w:val="000223F8"/>
    <w:rsid w:val="0002262B"/>
    <w:rsid w:val="0002342C"/>
    <w:rsid w:val="00023584"/>
    <w:rsid w:val="0002372B"/>
    <w:rsid w:val="000238DD"/>
    <w:rsid w:val="00023D72"/>
    <w:rsid w:val="00023DE6"/>
    <w:rsid w:val="000246EC"/>
    <w:rsid w:val="00024867"/>
    <w:rsid w:val="00024CF4"/>
    <w:rsid w:val="000251A4"/>
    <w:rsid w:val="000256AD"/>
    <w:rsid w:val="00025788"/>
    <w:rsid w:val="00025855"/>
    <w:rsid w:val="000259CB"/>
    <w:rsid w:val="00025C1D"/>
    <w:rsid w:val="00025DF9"/>
    <w:rsid w:val="00025F20"/>
    <w:rsid w:val="00026349"/>
    <w:rsid w:val="000263F9"/>
    <w:rsid w:val="000268A0"/>
    <w:rsid w:val="0002693E"/>
    <w:rsid w:val="00026A9C"/>
    <w:rsid w:val="000270A4"/>
    <w:rsid w:val="000274D2"/>
    <w:rsid w:val="000278A0"/>
    <w:rsid w:val="0002792D"/>
    <w:rsid w:val="00027A1C"/>
    <w:rsid w:val="00027A2E"/>
    <w:rsid w:val="00027D2E"/>
    <w:rsid w:val="00027DAC"/>
    <w:rsid w:val="00027E91"/>
    <w:rsid w:val="00030390"/>
    <w:rsid w:val="00030C6F"/>
    <w:rsid w:val="00031137"/>
    <w:rsid w:val="000312E4"/>
    <w:rsid w:val="00031D56"/>
    <w:rsid w:val="00031DE3"/>
    <w:rsid w:val="000320F8"/>
    <w:rsid w:val="0003272D"/>
    <w:rsid w:val="00032845"/>
    <w:rsid w:val="000329B1"/>
    <w:rsid w:val="00032C08"/>
    <w:rsid w:val="00032F6F"/>
    <w:rsid w:val="00033298"/>
    <w:rsid w:val="000333A0"/>
    <w:rsid w:val="000336AD"/>
    <w:rsid w:val="00033A87"/>
    <w:rsid w:val="00034EC4"/>
    <w:rsid w:val="000357E7"/>
    <w:rsid w:val="000358C0"/>
    <w:rsid w:val="00035DE9"/>
    <w:rsid w:val="0003623B"/>
    <w:rsid w:val="00036626"/>
    <w:rsid w:val="00036831"/>
    <w:rsid w:val="0003708C"/>
    <w:rsid w:val="00037377"/>
    <w:rsid w:val="00037984"/>
    <w:rsid w:val="00037C30"/>
    <w:rsid w:val="00040076"/>
    <w:rsid w:val="00040339"/>
    <w:rsid w:val="00040845"/>
    <w:rsid w:val="00040CD6"/>
    <w:rsid w:val="00040CFD"/>
    <w:rsid w:val="000419F7"/>
    <w:rsid w:val="00041E3B"/>
    <w:rsid w:val="00041E4F"/>
    <w:rsid w:val="00041EAE"/>
    <w:rsid w:val="00041FC0"/>
    <w:rsid w:val="00042A72"/>
    <w:rsid w:val="00042DE8"/>
    <w:rsid w:val="00043781"/>
    <w:rsid w:val="00043E23"/>
    <w:rsid w:val="00044452"/>
    <w:rsid w:val="000445A6"/>
    <w:rsid w:val="00044AFA"/>
    <w:rsid w:val="00044C04"/>
    <w:rsid w:val="00044CB1"/>
    <w:rsid w:val="00045180"/>
    <w:rsid w:val="00046655"/>
    <w:rsid w:val="0004675A"/>
    <w:rsid w:val="0004677A"/>
    <w:rsid w:val="000469E3"/>
    <w:rsid w:val="00046B62"/>
    <w:rsid w:val="000470AA"/>
    <w:rsid w:val="0004733F"/>
    <w:rsid w:val="00047445"/>
    <w:rsid w:val="00047490"/>
    <w:rsid w:val="00047935"/>
    <w:rsid w:val="00047F62"/>
    <w:rsid w:val="00050594"/>
    <w:rsid w:val="00050720"/>
    <w:rsid w:val="00050DE0"/>
    <w:rsid w:val="00051470"/>
    <w:rsid w:val="0005157A"/>
    <w:rsid w:val="00051B39"/>
    <w:rsid w:val="00051CC0"/>
    <w:rsid w:val="00052BC8"/>
    <w:rsid w:val="000533F3"/>
    <w:rsid w:val="0005343A"/>
    <w:rsid w:val="000536C6"/>
    <w:rsid w:val="00053707"/>
    <w:rsid w:val="0005378C"/>
    <w:rsid w:val="00053D0C"/>
    <w:rsid w:val="00053EAF"/>
    <w:rsid w:val="00054055"/>
    <w:rsid w:val="00054916"/>
    <w:rsid w:val="00054A76"/>
    <w:rsid w:val="000551E0"/>
    <w:rsid w:val="00055362"/>
    <w:rsid w:val="000558C0"/>
    <w:rsid w:val="00055D54"/>
    <w:rsid w:val="00056363"/>
    <w:rsid w:val="00056537"/>
    <w:rsid w:val="00056E57"/>
    <w:rsid w:val="0005759C"/>
    <w:rsid w:val="00057D15"/>
    <w:rsid w:val="00060891"/>
    <w:rsid w:val="00060A5E"/>
    <w:rsid w:val="00060D98"/>
    <w:rsid w:val="00060FAD"/>
    <w:rsid w:val="00061752"/>
    <w:rsid w:val="000619A6"/>
    <w:rsid w:val="0006261D"/>
    <w:rsid w:val="00062C4E"/>
    <w:rsid w:val="00063267"/>
    <w:rsid w:val="00063296"/>
    <w:rsid w:val="00063E9D"/>
    <w:rsid w:val="00063F5F"/>
    <w:rsid w:val="00064215"/>
    <w:rsid w:val="0006466C"/>
    <w:rsid w:val="0006495B"/>
    <w:rsid w:val="00064993"/>
    <w:rsid w:val="00064C10"/>
    <w:rsid w:val="00064D9A"/>
    <w:rsid w:val="00064F88"/>
    <w:rsid w:val="0006549F"/>
    <w:rsid w:val="000659DD"/>
    <w:rsid w:val="00065F3B"/>
    <w:rsid w:val="00066075"/>
    <w:rsid w:val="00066740"/>
    <w:rsid w:val="00066BEE"/>
    <w:rsid w:val="00066D56"/>
    <w:rsid w:val="00066D98"/>
    <w:rsid w:val="0006740E"/>
    <w:rsid w:val="00067651"/>
    <w:rsid w:val="00067730"/>
    <w:rsid w:val="000679D1"/>
    <w:rsid w:val="00067C43"/>
    <w:rsid w:val="000700BE"/>
    <w:rsid w:val="0007034B"/>
    <w:rsid w:val="00070803"/>
    <w:rsid w:val="00070A8D"/>
    <w:rsid w:val="00070E38"/>
    <w:rsid w:val="000715D1"/>
    <w:rsid w:val="00071C4A"/>
    <w:rsid w:val="00071EBE"/>
    <w:rsid w:val="00072747"/>
    <w:rsid w:val="00072D06"/>
    <w:rsid w:val="000731C8"/>
    <w:rsid w:val="00073B55"/>
    <w:rsid w:val="00073C7E"/>
    <w:rsid w:val="00073D15"/>
    <w:rsid w:val="00073D9C"/>
    <w:rsid w:val="00073FEB"/>
    <w:rsid w:val="00074148"/>
    <w:rsid w:val="00074FF3"/>
    <w:rsid w:val="00075530"/>
    <w:rsid w:val="0007590F"/>
    <w:rsid w:val="00076066"/>
    <w:rsid w:val="000777A3"/>
    <w:rsid w:val="000777C2"/>
    <w:rsid w:val="00077802"/>
    <w:rsid w:val="00077E80"/>
    <w:rsid w:val="00077FD8"/>
    <w:rsid w:val="00080021"/>
    <w:rsid w:val="0008070A"/>
    <w:rsid w:val="00080EC3"/>
    <w:rsid w:val="00080EE6"/>
    <w:rsid w:val="00080FC1"/>
    <w:rsid w:val="0008123F"/>
    <w:rsid w:val="00081451"/>
    <w:rsid w:val="000819C4"/>
    <w:rsid w:val="000820CB"/>
    <w:rsid w:val="000821B9"/>
    <w:rsid w:val="000825BD"/>
    <w:rsid w:val="00082A61"/>
    <w:rsid w:val="00082B22"/>
    <w:rsid w:val="00083D5D"/>
    <w:rsid w:val="00083F18"/>
    <w:rsid w:val="000846B5"/>
    <w:rsid w:val="000849DF"/>
    <w:rsid w:val="000858BE"/>
    <w:rsid w:val="00085E90"/>
    <w:rsid w:val="00085ECB"/>
    <w:rsid w:val="0008601C"/>
    <w:rsid w:val="00086350"/>
    <w:rsid w:val="0008658D"/>
    <w:rsid w:val="000866CF"/>
    <w:rsid w:val="0008711F"/>
    <w:rsid w:val="0008748E"/>
    <w:rsid w:val="00087676"/>
    <w:rsid w:val="00090117"/>
    <w:rsid w:val="000901D5"/>
    <w:rsid w:val="000901ED"/>
    <w:rsid w:val="0009044C"/>
    <w:rsid w:val="00090517"/>
    <w:rsid w:val="00090B8E"/>
    <w:rsid w:val="00090BF6"/>
    <w:rsid w:val="00091008"/>
    <w:rsid w:val="000911C6"/>
    <w:rsid w:val="000918D9"/>
    <w:rsid w:val="00091915"/>
    <w:rsid w:val="000921A1"/>
    <w:rsid w:val="000927DB"/>
    <w:rsid w:val="000928C7"/>
    <w:rsid w:val="00093246"/>
    <w:rsid w:val="00093539"/>
    <w:rsid w:val="00093641"/>
    <w:rsid w:val="0009380D"/>
    <w:rsid w:val="000948EB"/>
    <w:rsid w:val="00094A88"/>
    <w:rsid w:val="00094CFA"/>
    <w:rsid w:val="000950E5"/>
    <w:rsid w:val="0009547A"/>
    <w:rsid w:val="0009577E"/>
    <w:rsid w:val="00095804"/>
    <w:rsid w:val="00096496"/>
    <w:rsid w:val="0009655F"/>
    <w:rsid w:val="0009662E"/>
    <w:rsid w:val="0009688C"/>
    <w:rsid w:val="00096A97"/>
    <w:rsid w:val="00097506"/>
    <w:rsid w:val="0009768F"/>
    <w:rsid w:val="000A0B13"/>
    <w:rsid w:val="000A1567"/>
    <w:rsid w:val="000A1652"/>
    <w:rsid w:val="000A2252"/>
    <w:rsid w:val="000A27FC"/>
    <w:rsid w:val="000A2A2F"/>
    <w:rsid w:val="000A30B2"/>
    <w:rsid w:val="000A3312"/>
    <w:rsid w:val="000A353E"/>
    <w:rsid w:val="000A373C"/>
    <w:rsid w:val="000A40F1"/>
    <w:rsid w:val="000A578E"/>
    <w:rsid w:val="000A59BD"/>
    <w:rsid w:val="000A5B45"/>
    <w:rsid w:val="000A6327"/>
    <w:rsid w:val="000A6A0B"/>
    <w:rsid w:val="000A6FE3"/>
    <w:rsid w:val="000A71DC"/>
    <w:rsid w:val="000A72E3"/>
    <w:rsid w:val="000A790D"/>
    <w:rsid w:val="000A7C4C"/>
    <w:rsid w:val="000A7C9D"/>
    <w:rsid w:val="000B04A5"/>
    <w:rsid w:val="000B04C6"/>
    <w:rsid w:val="000B050A"/>
    <w:rsid w:val="000B0691"/>
    <w:rsid w:val="000B07A1"/>
    <w:rsid w:val="000B176C"/>
    <w:rsid w:val="000B21BB"/>
    <w:rsid w:val="000B2251"/>
    <w:rsid w:val="000B24FD"/>
    <w:rsid w:val="000B25D6"/>
    <w:rsid w:val="000B27B6"/>
    <w:rsid w:val="000B2CDA"/>
    <w:rsid w:val="000B2DAC"/>
    <w:rsid w:val="000B3271"/>
    <w:rsid w:val="000B3525"/>
    <w:rsid w:val="000B3760"/>
    <w:rsid w:val="000B38C5"/>
    <w:rsid w:val="000B4204"/>
    <w:rsid w:val="000B4275"/>
    <w:rsid w:val="000B4C54"/>
    <w:rsid w:val="000B4E6C"/>
    <w:rsid w:val="000B5B59"/>
    <w:rsid w:val="000B5EDB"/>
    <w:rsid w:val="000B5EF6"/>
    <w:rsid w:val="000B6284"/>
    <w:rsid w:val="000B645F"/>
    <w:rsid w:val="000B6B12"/>
    <w:rsid w:val="000B7490"/>
    <w:rsid w:val="000C0271"/>
    <w:rsid w:val="000C0475"/>
    <w:rsid w:val="000C061F"/>
    <w:rsid w:val="000C06B3"/>
    <w:rsid w:val="000C06F4"/>
    <w:rsid w:val="000C0765"/>
    <w:rsid w:val="000C07D6"/>
    <w:rsid w:val="000C0A77"/>
    <w:rsid w:val="000C151A"/>
    <w:rsid w:val="000C1552"/>
    <w:rsid w:val="000C1A04"/>
    <w:rsid w:val="000C1B6C"/>
    <w:rsid w:val="000C279B"/>
    <w:rsid w:val="000C280B"/>
    <w:rsid w:val="000C2B6B"/>
    <w:rsid w:val="000C3E1C"/>
    <w:rsid w:val="000C4267"/>
    <w:rsid w:val="000C45AC"/>
    <w:rsid w:val="000C45C2"/>
    <w:rsid w:val="000C46BF"/>
    <w:rsid w:val="000C47B6"/>
    <w:rsid w:val="000C52EB"/>
    <w:rsid w:val="000C5DF2"/>
    <w:rsid w:val="000C6224"/>
    <w:rsid w:val="000C6302"/>
    <w:rsid w:val="000C683B"/>
    <w:rsid w:val="000C6E10"/>
    <w:rsid w:val="000D012E"/>
    <w:rsid w:val="000D1283"/>
    <w:rsid w:val="000D13EB"/>
    <w:rsid w:val="000D15DB"/>
    <w:rsid w:val="000D1734"/>
    <w:rsid w:val="000D2051"/>
    <w:rsid w:val="000D2A99"/>
    <w:rsid w:val="000D2D0F"/>
    <w:rsid w:val="000D3583"/>
    <w:rsid w:val="000D388D"/>
    <w:rsid w:val="000D3DF8"/>
    <w:rsid w:val="000D4185"/>
    <w:rsid w:val="000D48D4"/>
    <w:rsid w:val="000D4BDB"/>
    <w:rsid w:val="000D4DD8"/>
    <w:rsid w:val="000D4EBA"/>
    <w:rsid w:val="000D5285"/>
    <w:rsid w:val="000D552B"/>
    <w:rsid w:val="000D5D9B"/>
    <w:rsid w:val="000D6710"/>
    <w:rsid w:val="000D6A90"/>
    <w:rsid w:val="000D6C60"/>
    <w:rsid w:val="000D71A2"/>
    <w:rsid w:val="000D75BC"/>
    <w:rsid w:val="000D7845"/>
    <w:rsid w:val="000D7E8F"/>
    <w:rsid w:val="000D7E91"/>
    <w:rsid w:val="000E025A"/>
    <w:rsid w:val="000E09EE"/>
    <w:rsid w:val="000E0A4D"/>
    <w:rsid w:val="000E0BDE"/>
    <w:rsid w:val="000E0E89"/>
    <w:rsid w:val="000E0FCF"/>
    <w:rsid w:val="000E1186"/>
    <w:rsid w:val="000E1514"/>
    <w:rsid w:val="000E1557"/>
    <w:rsid w:val="000E1F91"/>
    <w:rsid w:val="000E21B6"/>
    <w:rsid w:val="000E2587"/>
    <w:rsid w:val="000E380D"/>
    <w:rsid w:val="000E3AFE"/>
    <w:rsid w:val="000E3D79"/>
    <w:rsid w:val="000E41D5"/>
    <w:rsid w:val="000E45D4"/>
    <w:rsid w:val="000E5C08"/>
    <w:rsid w:val="000E630C"/>
    <w:rsid w:val="000E6410"/>
    <w:rsid w:val="000E6B2D"/>
    <w:rsid w:val="000E6DBA"/>
    <w:rsid w:val="000E71FD"/>
    <w:rsid w:val="000E722F"/>
    <w:rsid w:val="000E7704"/>
    <w:rsid w:val="000E77E8"/>
    <w:rsid w:val="000E79C6"/>
    <w:rsid w:val="000F01AE"/>
    <w:rsid w:val="000F0365"/>
    <w:rsid w:val="000F1064"/>
    <w:rsid w:val="000F12B8"/>
    <w:rsid w:val="000F153C"/>
    <w:rsid w:val="000F15D0"/>
    <w:rsid w:val="000F19D4"/>
    <w:rsid w:val="000F1FB8"/>
    <w:rsid w:val="000F2048"/>
    <w:rsid w:val="000F2098"/>
    <w:rsid w:val="000F263A"/>
    <w:rsid w:val="000F2930"/>
    <w:rsid w:val="000F2CBD"/>
    <w:rsid w:val="000F2D18"/>
    <w:rsid w:val="000F350B"/>
    <w:rsid w:val="000F4085"/>
    <w:rsid w:val="000F47D8"/>
    <w:rsid w:val="000F5112"/>
    <w:rsid w:val="000F558D"/>
    <w:rsid w:val="000F589F"/>
    <w:rsid w:val="000F5BFD"/>
    <w:rsid w:val="000F5C9C"/>
    <w:rsid w:val="000F6095"/>
    <w:rsid w:val="000F6298"/>
    <w:rsid w:val="000F6641"/>
    <w:rsid w:val="000F69E2"/>
    <w:rsid w:val="000F6B3C"/>
    <w:rsid w:val="000F6DE1"/>
    <w:rsid w:val="000F7272"/>
    <w:rsid w:val="000F750A"/>
    <w:rsid w:val="000F7A76"/>
    <w:rsid w:val="000F7ED5"/>
    <w:rsid w:val="00100020"/>
    <w:rsid w:val="001002C5"/>
    <w:rsid w:val="00100413"/>
    <w:rsid w:val="00100A0B"/>
    <w:rsid w:val="00100B38"/>
    <w:rsid w:val="00100CB0"/>
    <w:rsid w:val="00100D3B"/>
    <w:rsid w:val="0010150D"/>
    <w:rsid w:val="001025F6"/>
    <w:rsid w:val="00102625"/>
    <w:rsid w:val="00102862"/>
    <w:rsid w:val="00102F2D"/>
    <w:rsid w:val="001033E0"/>
    <w:rsid w:val="00103B58"/>
    <w:rsid w:val="00103C5B"/>
    <w:rsid w:val="0010436E"/>
    <w:rsid w:val="001046A6"/>
    <w:rsid w:val="00104B2D"/>
    <w:rsid w:val="00104E2E"/>
    <w:rsid w:val="001053CA"/>
    <w:rsid w:val="00106348"/>
    <w:rsid w:val="001066DC"/>
    <w:rsid w:val="00107B8C"/>
    <w:rsid w:val="00107BCE"/>
    <w:rsid w:val="00107DC8"/>
    <w:rsid w:val="00107F41"/>
    <w:rsid w:val="0011011F"/>
    <w:rsid w:val="00110190"/>
    <w:rsid w:val="00110A66"/>
    <w:rsid w:val="00110FFE"/>
    <w:rsid w:val="00111A5C"/>
    <w:rsid w:val="00111B7C"/>
    <w:rsid w:val="00111C0B"/>
    <w:rsid w:val="00111C7D"/>
    <w:rsid w:val="00112144"/>
    <w:rsid w:val="00112D53"/>
    <w:rsid w:val="001131F2"/>
    <w:rsid w:val="00113899"/>
    <w:rsid w:val="00113E09"/>
    <w:rsid w:val="00113FDE"/>
    <w:rsid w:val="0011411B"/>
    <w:rsid w:val="00114173"/>
    <w:rsid w:val="00114272"/>
    <w:rsid w:val="00114413"/>
    <w:rsid w:val="0011560D"/>
    <w:rsid w:val="00115FC5"/>
    <w:rsid w:val="001161C1"/>
    <w:rsid w:val="00116BA6"/>
    <w:rsid w:val="00116E1B"/>
    <w:rsid w:val="00117818"/>
    <w:rsid w:val="00117A66"/>
    <w:rsid w:val="00117CB6"/>
    <w:rsid w:val="00120BED"/>
    <w:rsid w:val="0012134F"/>
    <w:rsid w:val="00121A5F"/>
    <w:rsid w:val="00121D6C"/>
    <w:rsid w:val="00121DA5"/>
    <w:rsid w:val="001222E6"/>
    <w:rsid w:val="0012241C"/>
    <w:rsid w:val="001225C2"/>
    <w:rsid w:val="0012288E"/>
    <w:rsid w:val="00122CE0"/>
    <w:rsid w:val="001234CC"/>
    <w:rsid w:val="00124612"/>
    <w:rsid w:val="001246BD"/>
    <w:rsid w:val="0012486F"/>
    <w:rsid w:val="00124931"/>
    <w:rsid w:val="00124AFC"/>
    <w:rsid w:val="00124B4C"/>
    <w:rsid w:val="001256E6"/>
    <w:rsid w:val="0012688E"/>
    <w:rsid w:val="00126D32"/>
    <w:rsid w:val="001273DA"/>
    <w:rsid w:val="001277A4"/>
    <w:rsid w:val="00127AA0"/>
    <w:rsid w:val="00127B2E"/>
    <w:rsid w:val="00127B53"/>
    <w:rsid w:val="00127F2F"/>
    <w:rsid w:val="0013020B"/>
    <w:rsid w:val="001306B4"/>
    <w:rsid w:val="001308C8"/>
    <w:rsid w:val="00130DE0"/>
    <w:rsid w:val="001313A1"/>
    <w:rsid w:val="0013170E"/>
    <w:rsid w:val="00131913"/>
    <w:rsid w:val="001329AB"/>
    <w:rsid w:val="001329D7"/>
    <w:rsid w:val="00132DC5"/>
    <w:rsid w:val="00133152"/>
    <w:rsid w:val="001334E9"/>
    <w:rsid w:val="00133522"/>
    <w:rsid w:val="00133A88"/>
    <w:rsid w:val="0013461F"/>
    <w:rsid w:val="001348C6"/>
    <w:rsid w:val="001364AB"/>
    <w:rsid w:val="00136655"/>
    <w:rsid w:val="00136737"/>
    <w:rsid w:val="001368DB"/>
    <w:rsid w:val="00136F24"/>
    <w:rsid w:val="001375FC"/>
    <w:rsid w:val="001376D2"/>
    <w:rsid w:val="00137801"/>
    <w:rsid w:val="00137803"/>
    <w:rsid w:val="001378E5"/>
    <w:rsid w:val="00137F83"/>
    <w:rsid w:val="001400C9"/>
    <w:rsid w:val="00140BC7"/>
    <w:rsid w:val="00140C56"/>
    <w:rsid w:val="00140CE7"/>
    <w:rsid w:val="00140FCA"/>
    <w:rsid w:val="001416AA"/>
    <w:rsid w:val="00141F29"/>
    <w:rsid w:val="00142178"/>
    <w:rsid w:val="001422B6"/>
    <w:rsid w:val="00142E1A"/>
    <w:rsid w:val="00143CDD"/>
    <w:rsid w:val="00144325"/>
    <w:rsid w:val="00144BCA"/>
    <w:rsid w:val="00144E3B"/>
    <w:rsid w:val="0014522C"/>
    <w:rsid w:val="001455D2"/>
    <w:rsid w:val="001464B3"/>
    <w:rsid w:val="001469BD"/>
    <w:rsid w:val="00147178"/>
    <w:rsid w:val="0014746E"/>
    <w:rsid w:val="00147598"/>
    <w:rsid w:val="00147D3E"/>
    <w:rsid w:val="00147E37"/>
    <w:rsid w:val="0015063F"/>
    <w:rsid w:val="00150997"/>
    <w:rsid w:val="00150999"/>
    <w:rsid w:val="00150AA9"/>
    <w:rsid w:val="00150F24"/>
    <w:rsid w:val="00151EB2"/>
    <w:rsid w:val="0015221B"/>
    <w:rsid w:val="00152511"/>
    <w:rsid w:val="00152E66"/>
    <w:rsid w:val="00152F7D"/>
    <w:rsid w:val="00152F8C"/>
    <w:rsid w:val="001533D8"/>
    <w:rsid w:val="00153865"/>
    <w:rsid w:val="001538E0"/>
    <w:rsid w:val="00153987"/>
    <w:rsid w:val="00153B07"/>
    <w:rsid w:val="00154998"/>
    <w:rsid w:val="00154C09"/>
    <w:rsid w:val="00154F56"/>
    <w:rsid w:val="0015543D"/>
    <w:rsid w:val="00155CD8"/>
    <w:rsid w:val="00156282"/>
    <w:rsid w:val="001563A8"/>
    <w:rsid w:val="00156675"/>
    <w:rsid w:val="00156A33"/>
    <w:rsid w:val="00157313"/>
    <w:rsid w:val="0015753E"/>
    <w:rsid w:val="00157DA1"/>
    <w:rsid w:val="00160165"/>
    <w:rsid w:val="0016017B"/>
    <w:rsid w:val="001606E5"/>
    <w:rsid w:val="00160858"/>
    <w:rsid w:val="0016093E"/>
    <w:rsid w:val="00160ADC"/>
    <w:rsid w:val="00160B6A"/>
    <w:rsid w:val="00161720"/>
    <w:rsid w:val="00161C22"/>
    <w:rsid w:val="00162AA8"/>
    <w:rsid w:val="001633E0"/>
    <w:rsid w:val="00163B91"/>
    <w:rsid w:val="00163F5F"/>
    <w:rsid w:val="001640C2"/>
    <w:rsid w:val="001645C0"/>
    <w:rsid w:val="00164A21"/>
    <w:rsid w:val="00164CF4"/>
    <w:rsid w:val="00165B0C"/>
    <w:rsid w:val="00165D9F"/>
    <w:rsid w:val="00165EB2"/>
    <w:rsid w:val="00166000"/>
    <w:rsid w:val="001662FD"/>
    <w:rsid w:val="00166426"/>
    <w:rsid w:val="001665F5"/>
    <w:rsid w:val="001666CE"/>
    <w:rsid w:val="00166AE6"/>
    <w:rsid w:val="00166DB5"/>
    <w:rsid w:val="00166F91"/>
    <w:rsid w:val="001673A6"/>
    <w:rsid w:val="0016750B"/>
    <w:rsid w:val="0016799F"/>
    <w:rsid w:val="001706C6"/>
    <w:rsid w:val="00170946"/>
    <w:rsid w:val="00170A51"/>
    <w:rsid w:val="00170D50"/>
    <w:rsid w:val="00170E6F"/>
    <w:rsid w:val="00170F15"/>
    <w:rsid w:val="001718F2"/>
    <w:rsid w:val="00171A26"/>
    <w:rsid w:val="00172547"/>
    <w:rsid w:val="00172631"/>
    <w:rsid w:val="00172A2A"/>
    <w:rsid w:val="00172C76"/>
    <w:rsid w:val="00172D8F"/>
    <w:rsid w:val="00172E28"/>
    <w:rsid w:val="00172F08"/>
    <w:rsid w:val="00173187"/>
    <w:rsid w:val="00173815"/>
    <w:rsid w:val="00173880"/>
    <w:rsid w:val="00173A09"/>
    <w:rsid w:val="00173B75"/>
    <w:rsid w:val="001740FB"/>
    <w:rsid w:val="00174ACD"/>
    <w:rsid w:val="0017557A"/>
    <w:rsid w:val="001758EA"/>
    <w:rsid w:val="00175F76"/>
    <w:rsid w:val="0017608A"/>
    <w:rsid w:val="0017649E"/>
    <w:rsid w:val="001764CA"/>
    <w:rsid w:val="001768C8"/>
    <w:rsid w:val="001769FF"/>
    <w:rsid w:val="00176CA1"/>
    <w:rsid w:val="00176D78"/>
    <w:rsid w:val="001774B9"/>
    <w:rsid w:val="001775EF"/>
    <w:rsid w:val="00177DFB"/>
    <w:rsid w:val="00177F36"/>
    <w:rsid w:val="0018032E"/>
    <w:rsid w:val="001803CF"/>
    <w:rsid w:val="001805E2"/>
    <w:rsid w:val="001808CD"/>
    <w:rsid w:val="00180FE1"/>
    <w:rsid w:val="001815D4"/>
    <w:rsid w:val="0018196E"/>
    <w:rsid w:val="00181B6A"/>
    <w:rsid w:val="00181BA7"/>
    <w:rsid w:val="0018213B"/>
    <w:rsid w:val="0018243C"/>
    <w:rsid w:val="00182982"/>
    <w:rsid w:val="00182F50"/>
    <w:rsid w:val="001839B3"/>
    <w:rsid w:val="00184046"/>
    <w:rsid w:val="00184AA2"/>
    <w:rsid w:val="00184C20"/>
    <w:rsid w:val="00184C50"/>
    <w:rsid w:val="00184E1D"/>
    <w:rsid w:val="001855DA"/>
    <w:rsid w:val="00185A08"/>
    <w:rsid w:val="00185BFA"/>
    <w:rsid w:val="0018611F"/>
    <w:rsid w:val="00186241"/>
    <w:rsid w:val="00186361"/>
    <w:rsid w:val="00186498"/>
    <w:rsid w:val="00186DBE"/>
    <w:rsid w:val="00186EDF"/>
    <w:rsid w:val="001874CF"/>
    <w:rsid w:val="00187515"/>
    <w:rsid w:val="00190684"/>
    <w:rsid w:val="0019078B"/>
    <w:rsid w:val="00191301"/>
    <w:rsid w:val="0019186B"/>
    <w:rsid w:val="00191B09"/>
    <w:rsid w:val="00191BC0"/>
    <w:rsid w:val="00193534"/>
    <w:rsid w:val="001937D5"/>
    <w:rsid w:val="0019423D"/>
    <w:rsid w:val="00194488"/>
    <w:rsid w:val="00194593"/>
    <w:rsid w:val="001945A7"/>
    <w:rsid w:val="001946C4"/>
    <w:rsid w:val="0019480F"/>
    <w:rsid w:val="001951E5"/>
    <w:rsid w:val="00195B1B"/>
    <w:rsid w:val="00195F6A"/>
    <w:rsid w:val="00196237"/>
    <w:rsid w:val="00196B0D"/>
    <w:rsid w:val="00196CFA"/>
    <w:rsid w:val="00196F0B"/>
    <w:rsid w:val="00196F7D"/>
    <w:rsid w:val="00197058"/>
    <w:rsid w:val="00197498"/>
    <w:rsid w:val="001975C0"/>
    <w:rsid w:val="001979D0"/>
    <w:rsid w:val="001979D7"/>
    <w:rsid w:val="00197B3E"/>
    <w:rsid w:val="001A00CC"/>
    <w:rsid w:val="001A0A95"/>
    <w:rsid w:val="001A0B88"/>
    <w:rsid w:val="001A0F5A"/>
    <w:rsid w:val="001A1040"/>
    <w:rsid w:val="001A1163"/>
    <w:rsid w:val="001A16B4"/>
    <w:rsid w:val="001A1B60"/>
    <w:rsid w:val="001A1E3A"/>
    <w:rsid w:val="001A29A9"/>
    <w:rsid w:val="001A2AF9"/>
    <w:rsid w:val="001A2B3C"/>
    <w:rsid w:val="001A2BD5"/>
    <w:rsid w:val="001A3D24"/>
    <w:rsid w:val="001A3FE4"/>
    <w:rsid w:val="001A4479"/>
    <w:rsid w:val="001A4536"/>
    <w:rsid w:val="001A4A55"/>
    <w:rsid w:val="001A4BF8"/>
    <w:rsid w:val="001A520D"/>
    <w:rsid w:val="001A56FD"/>
    <w:rsid w:val="001A66A3"/>
    <w:rsid w:val="001A6E44"/>
    <w:rsid w:val="001A6EAA"/>
    <w:rsid w:val="001A6F5D"/>
    <w:rsid w:val="001A7070"/>
    <w:rsid w:val="001A7524"/>
    <w:rsid w:val="001A762A"/>
    <w:rsid w:val="001A778B"/>
    <w:rsid w:val="001B0265"/>
    <w:rsid w:val="001B0C3D"/>
    <w:rsid w:val="001B126B"/>
    <w:rsid w:val="001B1850"/>
    <w:rsid w:val="001B1D01"/>
    <w:rsid w:val="001B1EC8"/>
    <w:rsid w:val="001B1F5C"/>
    <w:rsid w:val="001B1FEB"/>
    <w:rsid w:val="001B2972"/>
    <w:rsid w:val="001B2DB3"/>
    <w:rsid w:val="001B2F07"/>
    <w:rsid w:val="001B310F"/>
    <w:rsid w:val="001B3387"/>
    <w:rsid w:val="001B3D0C"/>
    <w:rsid w:val="001B437D"/>
    <w:rsid w:val="001B596E"/>
    <w:rsid w:val="001B5E18"/>
    <w:rsid w:val="001B5F9B"/>
    <w:rsid w:val="001B61A9"/>
    <w:rsid w:val="001B6E25"/>
    <w:rsid w:val="001B7270"/>
    <w:rsid w:val="001B727A"/>
    <w:rsid w:val="001B770E"/>
    <w:rsid w:val="001B77E9"/>
    <w:rsid w:val="001B7F04"/>
    <w:rsid w:val="001C0B7F"/>
    <w:rsid w:val="001C0C3D"/>
    <w:rsid w:val="001C118D"/>
    <w:rsid w:val="001C12AA"/>
    <w:rsid w:val="001C1718"/>
    <w:rsid w:val="001C17DB"/>
    <w:rsid w:val="001C1AAA"/>
    <w:rsid w:val="001C1E7F"/>
    <w:rsid w:val="001C2128"/>
    <w:rsid w:val="001C25D6"/>
    <w:rsid w:val="001C263A"/>
    <w:rsid w:val="001C27E4"/>
    <w:rsid w:val="001C3F62"/>
    <w:rsid w:val="001C3FED"/>
    <w:rsid w:val="001C4520"/>
    <w:rsid w:val="001C4CA5"/>
    <w:rsid w:val="001C4D83"/>
    <w:rsid w:val="001C5268"/>
    <w:rsid w:val="001C52E3"/>
    <w:rsid w:val="001C53F0"/>
    <w:rsid w:val="001C5AEF"/>
    <w:rsid w:val="001C5DD3"/>
    <w:rsid w:val="001C6166"/>
    <w:rsid w:val="001C6179"/>
    <w:rsid w:val="001C621B"/>
    <w:rsid w:val="001C71A9"/>
    <w:rsid w:val="001C7A4D"/>
    <w:rsid w:val="001C7BAC"/>
    <w:rsid w:val="001C7D59"/>
    <w:rsid w:val="001C7E3F"/>
    <w:rsid w:val="001C7F8E"/>
    <w:rsid w:val="001D01F8"/>
    <w:rsid w:val="001D020B"/>
    <w:rsid w:val="001D06DC"/>
    <w:rsid w:val="001D0F31"/>
    <w:rsid w:val="001D2046"/>
    <w:rsid w:val="001D21E0"/>
    <w:rsid w:val="001D26DF"/>
    <w:rsid w:val="001D2730"/>
    <w:rsid w:val="001D2872"/>
    <w:rsid w:val="001D29E9"/>
    <w:rsid w:val="001D2EDC"/>
    <w:rsid w:val="001D2FE8"/>
    <w:rsid w:val="001D3058"/>
    <w:rsid w:val="001D312B"/>
    <w:rsid w:val="001D31B7"/>
    <w:rsid w:val="001D31CD"/>
    <w:rsid w:val="001D3633"/>
    <w:rsid w:val="001D3B53"/>
    <w:rsid w:val="001D3C92"/>
    <w:rsid w:val="001D4240"/>
    <w:rsid w:val="001D4AC6"/>
    <w:rsid w:val="001D4E6F"/>
    <w:rsid w:val="001D4F16"/>
    <w:rsid w:val="001D5009"/>
    <w:rsid w:val="001D506A"/>
    <w:rsid w:val="001D55A6"/>
    <w:rsid w:val="001D5BCE"/>
    <w:rsid w:val="001D5F9D"/>
    <w:rsid w:val="001D63C0"/>
    <w:rsid w:val="001D64E8"/>
    <w:rsid w:val="001D668C"/>
    <w:rsid w:val="001D6A8B"/>
    <w:rsid w:val="001D6C49"/>
    <w:rsid w:val="001D6F61"/>
    <w:rsid w:val="001D7205"/>
    <w:rsid w:val="001D7234"/>
    <w:rsid w:val="001D73FB"/>
    <w:rsid w:val="001D75EA"/>
    <w:rsid w:val="001D76A8"/>
    <w:rsid w:val="001D786B"/>
    <w:rsid w:val="001D79DD"/>
    <w:rsid w:val="001D7C08"/>
    <w:rsid w:val="001E01DC"/>
    <w:rsid w:val="001E07D2"/>
    <w:rsid w:val="001E087F"/>
    <w:rsid w:val="001E0E61"/>
    <w:rsid w:val="001E0FFA"/>
    <w:rsid w:val="001E1167"/>
    <w:rsid w:val="001E140F"/>
    <w:rsid w:val="001E16B2"/>
    <w:rsid w:val="001E1832"/>
    <w:rsid w:val="001E1987"/>
    <w:rsid w:val="001E19E6"/>
    <w:rsid w:val="001E1C28"/>
    <w:rsid w:val="001E1DA4"/>
    <w:rsid w:val="001E1E37"/>
    <w:rsid w:val="001E2408"/>
    <w:rsid w:val="001E26C9"/>
    <w:rsid w:val="001E2728"/>
    <w:rsid w:val="001E2797"/>
    <w:rsid w:val="001E29AC"/>
    <w:rsid w:val="001E2C63"/>
    <w:rsid w:val="001E2FF8"/>
    <w:rsid w:val="001E3369"/>
    <w:rsid w:val="001E3C46"/>
    <w:rsid w:val="001E4EF8"/>
    <w:rsid w:val="001E4F27"/>
    <w:rsid w:val="001E56F5"/>
    <w:rsid w:val="001E604B"/>
    <w:rsid w:val="001E619A"/>
    <w:rsid w:val="001E6250"/>
    <w:rsid w:val="001E6406"/>
    <w:rsid w:val="001E6CC0"/>
    <w:rsid w:val="001E7167"/>
    <w:rsid w:val="001E7722"/>
    <w:rsid w:val="001F006D"/>
    <w:rsid w:val="001F0784"/>
    <w:rsid w:val="001F0851"/>
    <w:rsid w:val="001F0A1B"/>
    <w:rsid w:val="001F0EC9"/>
    <w:rsid w:val="001F0F88"/>
    <w:rsid w:val="001F116D"/>
    <w:rsid w:val="001F1AE0"/>
    <w:rsid w:val="001F264A"/>
    <w:rsid w:val="001F294E"/>
    <w:rsid w:val="001F3296"/>
    <w:rsid w:val="001F3625"/>
    <w:rsid w:val="001F364E"/>
    <w:rsid w:val="001F3A20"/>
    <w:rsid w:val="001F3C92"/>
    <w:rsid w:val="001F3CB1"/>
    <w:rsid w:val="001F3CCB"/>
    <w:rsid w:val="001F3EC8"/>
    <w:rsid w:val="001F4B56"/>
    <w:rsid w:val="001F4FDA"/>
    <w:rsid w:val="001F534F"/>
    <w:rsid w:val="001F557F"/>
    <w:rsid w:val="001F5D7A"/>
    <w:rsid w:val="001F5FFC"/>
    <w:rsid w:val="001F6542"/>
    <w:rsid w:val="001F65F4"/>
    <w:rsid w:val="001F6B9E"/>
    <w:rsid w:val="001F6D8A"/>
    <w:rsid w:val="001F7AC1"/>
    <w:rsid w:val="001F7B18"/>
    <w:rsid w:val="001F7E60"/>
    <w:rsid w:val="002000C5"/>
    <w:rsid w:val="002000E8"/>
    <w:rsid w:val="00200165"/>
    <w:rsid w:val="00200CC6"/>
    <w:rsid w:val="00201732"/>
    <w:rsid w:val="002018D8"/>
    <w:rsid w:val="00201AF2"/>
    <w:rsid w:val="002021EE"/>
    <w:rsid w:val="002023AB"/>
    <w:rsid w:val="00202DA3"/>
    <w:rsid w:val="00202FE8"/>
    <w:rsid w:val="002036D3"/>
    <w:rsid w:val="00203D25"/>
    <w:rsid w:val="0020433D"/>
    <w:rsid w:val="0020442F"/>
    <w:rsid w:val="0020460E"/>
    <w:rsid w:val="00204887"/>
    <w:rsid w:val="00204BC5"/>
    <w:rsid w:val="00204C43"/>
    <w:rsid w:val="00204C97"/>
    <w:rsid w:val="00204E04"/>
    <w:rsid w:val="002052F5"/>
    <w:rsid w:val="0020540C"/>
    <w:rsid w:val="00205713"/>
    <w:rsid w:val="00206286"/>
    <w:rsid w:val="00206730"/>
    <w:rsid w:val="00206A16"/>
    <w:rsid w:val="00206CE0"/>
    <w:rsid w:val="0020716E"/>
    <w:rsid w:val="00207375"/>
    <w:rsid w:val="002073BF"/>
    <w:rsid w:val="00207D72"/>
    <w:rsid w:val="002106E8"/>
    <w:rsid w:val="002109A1"/>
    <w:rsid w:val="00210A9B"/>
    <w:rsid w:val="00210AF0"/>
    <w:rsid w:val="00210D2D"/>
    <w:rsid w:val="00210DD1"/>
    <w:rsid w:val="00211501"/>
    <w:rsid w:val="00211857"/>
    <w:rsid w:val="00211C7B"/>
    <w:rsid w:val="00212B54"/>
    <w:rsid w:val="00212FBC"/>
    <w:rsid w:val="002131C2"/>
    <w:rsid w:val="0021369C"/>
    <w:rsid w:val="00213839"/>
    <w:rsid w:val="00213B5C"/>
    <w:rsid w:val="00214176"/>
    <w:rsid w:val="002142D6"/>
    <w:rsid w:val="00214460"/>
    <w:rsid w:val="002147B5"/>
    <w:rsid w:val="00214854"/>
    <w:rsid w:val="00214C60"/>
    <w:rsid w:val="00214E4E"/>
    <w:rsid w:val="00215307"/>
    <w:rsid w:val="0021551A"/>
    <w:rsid w:val="002156FE"/>
    <w:rsid w:val="002157DD"/>
    <w:rsid w:val="00216240"/>
    <w:rsid w:val="002162EC"/>
    <w:rsid w:val="002169D4"/>
    <w:rsid w:val="00216F74"/>
    <w:rsid w:val="00217180"/>
    <w:rsid w:val="002172BD"/>
    <w:rsid w:val="0021742D"/>
    <w:rsid w:val="00217532"/>
    <w:rsid w:val="00217720"/>
    <w:rsid w:val="0021794C"/>
    <w:rsid w:val="00217EC8"/>
    <w:rsid w:val="0022009F"/>
    <w:rsid w:val="00220745"/>
    <w:rsid w:val="00220BDD"/>
    <w:rsid w:val="00220E11"/>
    <w:rsid w:val="00221197"/>
    <w:rsid w:val="00221668"/>
    <w:rsid w:val="00221EED"/>
    <w:rsid w:val="00221EF5"/>
    <w:rsid w:val="0022237B"/>
    <w:rsid w:val="00222390"/>
    <w:rsid w:val="0022274E"/>
    <w:rsid w:val="002232A7"/>
    <w:rsid w:val="00223602"/>
    <w:rsid w:val="002236E7"/>
    <w:rsid w:val="00223824"/>
    <w:rsid w:val="00223C8F"/>
    <w:rsid w:val="0022403A"/>
    <w:rsid w:val="0022433C"/>
    <w:rsid w:val="00224524"/>
    <w:rsid w:val="0022455D"/>
    <w:rsid w:val="00224567"/>
    <w:rsid w:val="0022470E"/>
    <w:rsid w:val="00224C06"/>
    <w:rsid w:val="00224EE5"/>
    <w:rsid w:val="0022544A"/>
    <w:rsid w:val="002258A5"/>
    <w:rsid w:val="00225BBC"/>
    <w:rsid w:val="0022609A"/>
    <w:rsid w:val="002260F2"/>
    <w:rsid w:val="0022667D"/>
    <w:rsid w:val="00226CA5"/>
    <w:rsid w:val="002270E0"/>
    <w:rsid w:val="00227117"/>
    <w:rsid w:val="00227796"/>
    <w:rsid w:val="00227C47"/>
    <w:rsid w:val="002302DB"/>
    <w:rsid w:val="002306D3"/>
    <w:rsid w:val="0023099D"/>
    <w:rsid w:val="00230FB6"/>
    <w:rsid w:val="0023121C"/>
    <w:rsid w:val="00231228"/>
    <w:rsid w:val="00231410"/>
    <w:rsid w:val="00231A72"/>
    <w:rsid w:val="00231C1D"/>
    <w:rsid w:val="00231FBF"/>
    <w:rsid w:val="0023253E"/>
    <w:rsid w:val="002328BD"/>
    <w:rsid w:val="00232FCE"/>
    <w:rsid w:val="00233685"/>
    <w:rsid w:val="00233862"/>
    <w:rsid w:val="00233A47"/>
    <w:rsid w:val="002341B8"/>
    <w:rsid w:val="0023451F"/>
    <w:rsid w:val="00234A83"/>
    <w:rsid w:val="00234DB9"/>
    <w:rsid w:val="00235017"/>
    <w:rsid w:val="00235C74"/>
    <w:rsid w:val="00235EC4"/>
    <w:rsid w:val="00235FC6"/>
    <w:rsid w:val="002365A5"/>
    <w:rsid w:val="0023690F"/>
    <w:rsid w:val="00236EA2"/>
    <w:rsid w:val="002376EE"/>
    <w:rsid w:val="00237DCA"/>
    <w:rsid w:val="00237FFE"/>
    <w:rsid w:val="002400EE"/>
    <w:rsid w:val="002403C2"/>
    <w:rsid w:val="00240B6B"/>
    <w:rsid w:val="00240EB8"/>
    <w:rsid w:val="0024165C"/>
    <w:rsid w:val="00241F2A"/>
    <w:rsid w:val="00242A54"/>
    <w:rsid w:val="00242D30"/>
    <w:rsid w:val="00243879"/>
    <w:rsid w:val="00243D07"/>
    <w:rsid w:val="0024400F"/>
    <w:rsid w:val="002447F4"/>
    <w:rsid w:val="00244819"/>
    <w:rsid w:val="00244A68"/>
    <w:rsid w:val="002451FB"/>
    <w:rsid w:val="0024551C"/>
    <w:rsid w:val="00245A2B"/>
    <w:rsid w:val="00245AA1"/>
    <w:rsid w:val="00245ACA"/>
    <w:rsid w:val="00245AE2"/>
    <w:rsid w:val="00245AF5"/>
    <w:rsid w:val="00245C84"/>
    <w:rsid w:val="00245E09"/>
    <w:rsid w:val="0024627D"/>
    <w:rsid w:val="00246D96"/>
    <w:rsid w:val="00246EDE"/>
    <w:rsid w:val="002474AE"/>
    <w:rsid w:val="002474C3"/>
    <w:rsid w:val="00247508"/>
    <w:rsid w:val="0024767E"/>
    <w:rsid w:val="00247784"/>
    <w:rsid w:val="002503C4"/>
    <w:rsid w:val="002504FD"/>
    <w:rsid w:val="002509CE"/>
    <w:rsid w:val="00250A40"/>
    <w:rsid w:val="00250A5C"/>
    <w:rsid w:val="00250C9C"/>
    <w:rsid w:val="002513AD"/>
    <w:rsid w:val="00251868"/>
    <w:rsid w:val="00251AB4"/>
    <w:rsid w:val="00251BC0"/>
    <w:rsid w:val="00251C22"/>
    <w:rsid w:val="002531A3"/>
    <w:rsid w:val="002538EA"/>
    <w:rsid w:val="002539AB"/>
    <w:rsid w:val="00254151"/>
    <w:rsid w:val="00254BA4"/>
    <w:rsid w:val="002553D4"/>
    <w:rsid w:val="002555BA"/>
    <w:rsid w:val="00255A13"/>
    <w:rsid w:val="002566A5"/>
    <w:rsid w:val="002567EC"/>
    <w:rsid w:val="00256ED5"/>
    <w:rsid w:val="002571BB"/>
    <w:rsid w:val="00257206"/>
    <w:rsid w:val="00257960"/>
    <w:rsid w:val="00260158"/>
    <w:rsid w:val="002607D0"/>
    <w:rsid w:val="00260EC3"/>
    <w:rsid w:val="00260F47"/>
    <w:rsid w:val="002611B7"/>
    <w:rsid w:val="002613FF"/>
    <w:rsid w:val="002623A9"/>
    <w:rsid w:val="00262543"/>
    <w:rsid w:val="0026260B"/>
    <w:rsid w:val="002627D7"/>
    <w:rsid w:val="00262A6F"/>
    <w:rsid w:val="00262AFD"/>
    <w:rsid w:val="00262B29"/>
    <w:rsid w:val="00262B69"/>
    <w:rsid w:val="00262CF3"/>
    <w:rsid w:val="00262E32"/>
    <w:rsid w:val="00263016"/>
    <w:rsid w:val="00263B85"/>
    <w:rsid w:val="00264089"/>
    <w:rsid w:val="00264AB8"/>
    <w:rsid w:val="002653CC"/>
    <w:rsid w:val="0026567F"/>
    <w:rsid w:val="00265846"/>
    <w:rsid w:val="0026585C"/>
    <w:rsid w:val="00265914"/>
    <w:rsid w:val="00265DB3"/>
    <w:rsid w:val="00265E58"/>
    <w:rsid w:val="00265F27"/>
    <w:rsid w:val="00265F65"/>
    <w:rsid w:val="00266526"/>
    <w:rsid w:val="0026703E"/>
    <w:rsid w:val="00267919"/>
    <w:rsid w:val="0026798B"/>
    <w:rsid w:val="0027037F"/>
    <w:rsid w:val="0027043B"/>
    <w:rsid w:val="00270840"/>
    <w:rsid w:val="00270B0E"/>
    <w:rsid w:val="00270BC2"/>
    <w:rsid w:val="00270CD1"/>
    <w:rsid w:val="00270EA1"/>
    <w:rsid w:val="00271565"/>
    <w:rsid w:val="002718EB"/>
    <w:rsid w:val="00271AFA"/>
    <w:rsid w:val="002722C7"/>
    <w:rsid w:val="0027267B"/>
    <w:rsid w:val="00272BFB"/>
    <w:rsid w:val="00272F05"/>
    <w:rsid w:val="0027345C"/>
    <w:rsid w:val="00273CB3"/>
    <w:rsid w:val="00273EAD"/>
    <w:rsid w:val="00273F24"/>
    <w:rsid w:val="002740CC"/>
    <w:rsid w:val="00274938"/>
    <w:rsid w:val="002750BB"/>
    <w:rsid w:val="002754DC"/>
    <w:rsid w:val="0027559B"/>
    <w:rsid w:val="002755E8"/>
    <w:rsid w:val="00275B23"/>
    <w:rsid w:val="00275B6C"/>
    <w:rsid w:val="00276301"/>
    <w:rsid w:val="00276A2D"/>
    <w:rsid w:val="00276DAD"/>
    <w:rsid w:val="00277359"/>
    <w:rsid w:val="0027775E"/>
    <w:rsid w:val="00277A92"/>
    <w:rsid w:val="00277C7C"/>
    <w:rsid w:val="00280325"/>
    <w:rsid w:val="00280643"/>
    <w:rsid w:val="002808E9"/>
    <w:rsid w:val="00280D8E"/>
    <w:rsid w:val="002813A0"/>
    <w:rsid w:val="00281519"/>
    <w:rsid w:val="00281CB6"/>
    <w:rsid w:val="002825D6"/>
    <w:rsid w:val="00282C33"/>
    <w:rsid w:val="0028357B"/>
    <w:rsid w:val="0028359F"/>
    <w:rsid w:val="0028370D"/>
    <w:rsid w:val="00283736"/>
    <w:rsid w:val="00283879"/>
    <w:rsid w:val="00283E3E"/>
    <w:rsid w:val="002845B7"/>
    <w:rsid w:val="002846A4"/>
    <w:rsid w:val="00284B22"/>
    <w:rsid w:val="002859FE"/>
    <w:rsid w:val="00285FF1"/>
    <w:rsid w:val="002870F3"/>
    <w:rsid w:val="00287151"/>
    <w:rsid w:val="0028723A"/>
    <w:rsid w:val="002873AA"/>
    <w:rsid w:val="00287AC2"/>
    <w:rsid w:val="00287E35"/>
    <w:rsid w:val="00291B00"/>
    <w:rsid w:val="00291C80"/>
    <w:rsid w:val="00291F0C"/>
    <w:rsid w:val="00292405"/>
    <w:rsid w:val="00292EE2"/>
    <w:rsid w:val="00292F75"/>
    <w:rsid w:val="0029379B"/>
    <w:rsid w:val="002941F6"/>
    <w:rsid w:val="00294735"/>
    <w:rsid w:val="00294AE9"/>
    <w:rsid w:val="00294D89"/>
    <w:rsid w:val="00295657"/>
    <w:rsid w:val="002958C1"/>
    <w:rsid w:val="00295953"/>
    <w:rsid w:val="00295B47"/>
    <w:rsid w:val="00296464"/>
    <w:rsid w:val="00296747"/>
    <w:rsid w:val="00296C34"/>
    <w:rsid w:val="00296D22"/>
    <w:rsid w:val="002970CD"/>
    <w:rsid w:val="0029778B"/>
    <w:rsid w:val="002A029C"/>
    <w:rsid w:val="002A09E5"/>
    <w:rsid w:val="002A148A"/>
    <w:rsid w:val="002A1E87"/>
    <w:rsid w:val="002A20C7"/>
    <w:rsid w:val="002A216F"/>
    <w:rsid w:val="002A2288"/>
    <w:rsid w:val="002A22F8"/>
    <w:rsid w:val="002A23CD"/>
    <w:rsid w:val="002A25AF"/>
    <w:rsid w:val="002A28EC"/>
    <w:rsid w:val="002A3C99"/>
    <w:rsid w:val="002A43AB"/>
    <w:rsid w:val="002A49B9"/>
    <w:rsid w:val="002A4A66"/>
    <w:rsid w:val="002A4B66"/>
    <w:rsid w:val="002A5400"/>
    <w:rsid w:val="002A5713"/>
    <w:rsid w:val="002A5871"/>
    <w:rsid w:val="002A5B0D"/>
    <w:rsid w:val="002A6444"/>
    <w:rsid w:val="002A6BC9"/>
    <w:rsid w:val="002A6EAF"/>
    <w:rsid w:val="002A7B32"/>
    <w:rsid w:val="002A7F33"/>
    <w:rsid w:val="002B0047"/>
    <w:rsid w:val="002B0143"/>
    <w:rsid w:val="002B043F"/>
    <w:rsid w:val="002B0E95"/>
    <w:rsid w:val="002B0F94"/>
    <w:rsid w:val="002B10EC"/>
    <w:rsid w:val="002B152D"/>
    <w:rsid w:val="002B1878"/>
    <w:rsid w:val="002B1F12"/>
    <w:rsid w:val="002B22CB"/>
    <w:rsid w:val="002B23A0"/>
    <w:rsid w:val="002B27A9"/>
    <w:rsid w:val="002B2F72"/>
    <w:rsid w:val="002B327B"/>
    <w:rsid w:val="002B34C9"/>
    <w:rsid w:val="002B3517"/>
    <w:rsid w:val="002B35CD"/>
    <w:rsid w:val="002B35E0"/>
    <w:rsid w:val="002B3CE0"/>
    <w:rsid w:val="002B45CD"/>
    <w:rsid w:val="002B53F3"/>
    <w:rsid w:val="002B5841"/>
    <w:rsid w:val="002B5B38"/>
    <w:rsid w:val="002B5BC7"/>
    <w:rsid w:val="002B5D2E"/>
    <w:rsid w:val="002B5F58"/>
    <w:rsid w:val="002B7317"/>
    <w:rsid w:val="002B7604"/>
    <w:rsid w:val="002B7911"/>
    <w:rsid w:val="002B7C06"/>
    <w:rsid w:val="002B7E63"/>
    <w:rsid w:val="002C0182"/>
    <w:rsid w:val="002C0792"/>
    <w:rsid w:val="002C1355"/>
    <w:rsid w:val="002C18EE"/>
    <w:rsid w:val="002C2099"/>
    <w:rsid w:val="002C2473"/>
    <w:rsid w:val="002C274B"/>
    <w:rsid w:val="002C28BF"/>
    <w:rsid w:val="002C2AB3"/>
    <w:rsid w:val="002C2C95"/>
    <w:rsid w:val="002C2CA2"/>
    <w:rsid w:val="002C2CF8"/>
    <w:rsid w:val="002C307A"/>
    <w:rsid w:val="002C3249"/>
    <w:rsid w:val="002C32EC"/>
    <w:rsid w:val="002C335D"/>
    <w:rsid w:val="002C3601"/>
    <w:rsid w:val="002C3702"/>
    <w:rsid w:val="002C3920"/>
    <w:rsid w:val="002C3FC2"/>
    <w:rsid w:val="002C442C"/>
    <w:rsid w:val="002C49DC"/>
    <w:rsid w:val="002C4CF2"/>
    <w:rsid w:val="002C5139"/>
    <w:rsid w:val="002C5181"/>
    <w:rsid w:val="002C57B4"/>
    <w:rsid w:val="002C57EC"/>
    <w:rsid w:val="002C6267"/>
    <w:rsid w:val="002C7322"/>
    <w:rsid w:val="002C77EE"/>
    <w:rsid w:val="002C79E2"/>
    <w:rsid w:val="002C7EBF"/>
    <w:rsid w:val="002D0691"/>
    <w:rsid w:val="002D080F"/>
    <w:rsid w:val="002D0EA4"/>
    <w:rsid w:val="002D11CE"/>
    <w:rsid w:val="002D1D1F"/>
    <w:rsid w:val="002D1DE2"/>
    <w:rsid w:val="002D1EA6"/>
    <w:rsid w:val="002D28FF"/>
    <w:rsid w:val="002D2FC3"/>
    <w:rsid w:val="002D2FF6"/>
    <w:rsid w:val="002D30F1"/>
    <w:rsid w:val="002D35C9"/>
    <w:rsid w:val="002D3850"/>
    <w:rsid w:val="002D42B5"/>
    <w:rsid w:val="002D43CF"/>
    <w:rsid w:val="002D48DE"/>
    <w:rsid w:val="002D4998"/>
    <w:rsid w:val="002D4D0D"/>
    <w:rsid w:val="002D504D"/>
    <w:rsid w:val="002D5571"/>
    <w:rsid w:val="002D5D71"/>
    <w:rsid w:val="002D628B"/>
    <w:rsid w:val="002D681B"/>
    <w:rsid w:val="002D68BC"/>
    <w:rsid w:val="002D6DBC"/>
    <w:rsid w:val="002D6E8F"/>
    <w:rsid w:val="002D7D9E"/>
    <w:rsid w:val="002E009C"/>
    <w:rsid w:val="002E025E"/>
    <w:rsid w:val="002E051D"/>
    <w:rsid w:val="002E06EA"/>
    <w:rsid w:val="002E0D87"/>
    <w:rsid w:val="002E12E5"/>
    <w:rsid w:val="002E1665"/>
    <w:rsid w:val="002E1A17"/>
    <w:rsid w:val="002E1A39"/>
    <w:rsid w:val="002E1A52"/>
    <w:rsid w:val="002E1FFB"/>
    <w:rsid w:val="002E2581"/>
    <w:rsid w:val="002E308F"/>
    <w:rsid w:val="002E380C"/>
    <w:rsid w:val="002E3965"/>
    <w:rsid w:val="002E3AAD"/>
    <w:rsid w:val="002E3D02"/>
    <w:rsid w:val="002E42FC"/>
    <w:rsid w:val="002E4BAE"/>
    <w:rsid w:val="002E5DBD"/>
    <w:rsid w:val="002E5DE8"/>
    <w:rsid w:val="002E6739"/>
    <w:rsid w:val="002E760B"/>
    <w:rsid w:val="002E7640"/>
    <w:rsid w:val="002E7B11"/>
    <w:rsid w:val="002E7B64"/>
    <w:rsid w:val="002E7E13"/>
    <w:rsid w:val="002E7E66"/>
    <w:rsid w:val="002F018B"/>
    <w:rsid w:val="002F04D8"/>
    <w:rsid w:val="002F0584"/>
    <w:rsid w:val="002F081B"/>
    <w:rsid w:val="002F08C6"/>
    <w:rsid w:val="002F0A91"/>
    <w:rsid w:val="002F0E0E"/>
    <w:rsid w:val="002F119E"/>
    <w:rsid w:val="002F14C3"/>
    <w:rsid w:val="002F1798"/>
    <w:rsid w:val="002F1C99"/>
    <w:rsid w:val="002F1E13"/>
    <w:rsid w:val="002F216B"/>
    <w:rsid w:val="002F2B8A"/>
    <w:rsid w:val="002F3885"/>
    <w:rsid w:val="002F388B"/>
    <w:rsid w:val="002F3FBE"/>
    <w:rsid w:val="002F472D"/>
    <w:rsid w:val="002F47A9"/>
    <w:rsid w:val="002F49AD"/>
    <w:rsid w:val="002F50A1"/>
    <w:rsid w:val="002F526E"/>
    <w:rsid w:val="002F56FB"/>
    <w:rsid w:val="002F5BCE"/>
    <w:rsid w:val="002F5FFE"/>
    <w:rsid w:val="002F6278"/>
    <w:rsid w:val="002F65D9"/>
    <w:rsid w:val="002F6BFC"/>
    <w:rsid w:val="002F7172"/>
    <w:rsid w:val="002F7751"/>
    <w:rsid w:val="002F7BDF"/>
    <w:rsid w:val="00300522"/>
    <w:rsid w:val="00300709"/>
    <w:rsid w:val="00300A30"/>
    <w:rsid w:val="00300E92"/>
    <w:rsid w:val="00300F37"/>
    <w:rsid w:val="0030110A"/>
    <w:rsid w:val="003013AA"/>
    <w:rsid w:val="003018AA"/>
    <w:rsid w:val="00301D4C"/>
    <w:rsid w:val="00301D68"/>
    <w:rsid w:val="00301E58"/>
    <w:rsid w:val="00302121"/>
    <w:rsid w:val="00302134"/>
    <w:rsid w:val="003021AC"/>
    <w:rsid w:val="00302850"/>
    <w:rsid w:val="00302BC5"/>
    <w:rsid w:val="0030344F"/>
    <w:rsid w:val="00303DDC"/>
    <w:rsid w:val="00303F4A"/>
    <w:rsid w:val="00303FC1"/>
    <w:rsid w:val="003041F6"/>
    <w:rsid w:val="0030498D"/>
    <w:rsid w:val="00304BD4"/>
    <w:rsid w:val="00304EB0"/>
    <w:rsid w:val="0030593D"/>
    <w:rsid w:val="00305EDC"/>
    <w:rsid w:val="003062B0"/>
    <w:rsid w:val="0030646E"/>
    <w:rsid w:val="003067FF"/>
    <w:rsid w:val="00306B50"/>
    <w:rsid w:val="00307497"/>
    <w:rsid w:val="00310183"/>
    <w:rsid w:val="00310500"/>
    <w:rsid w:val="003106EB"/>
    <w:rsid w:val="0031082D"/>
    <w:rsid w:val="00310B84"/>
    <w:rsid w:val="00310FA5"/>
    <w:rsid w:val="0031157B"/>
    <w:rsid w:val="003115FA"/>
    <w:rsid w:val="00311A41"/>
    <w:rsid w:val="00311C8E"/>
    <w:rsid w:val="00311DAF"/>
    <w:rsid w:val="00311E1D"/>
    <w:rsid w:val="00312583"/>
    <w:rsid w:val="003129F1"/>
    <w:rsid w:val="00312A45"/>
    <w:rsid w:val="00313BB0"/>
    <w:rsid w:val="00313CEB"/>
    <w:rsid w:val="003148B8"/>
    <w:rsid w:val="00314A6D"/>
    <w:rsid w:val="00314DBD"/>
    <w:rsid w:val="003153A4"/>
    <w:rsid w:val="003155AE"/>
    <w:rsid w:val="003159CA"/>
    <w:rsid w:val="00315E4D"/>
    <w:rsid w:val="00316553"/>
    <w:rsid w:val="0031682D"/>
    <w:rsid w:val="0031711C"/>
    <w:rsid w:val="003178D7"/>
    <w:rsid w:val="00317D54"/>
    <w:rsid w:val="00317E19"/>
    <w:rsid w:val="0032015A"/>
    <w:rsid w:val="0032017C"/>
    <w:rsid w:val="003206C6"/>
    <w:rsid w:val="0032075A"/>
    <w:rsid w:val="00321310"/>
    <w:rsid w:val="00321870"/>
    <w:rsid w:val="00321A32"/>
    <w:rsid w:val="00322533"/>
    <w:rsid w:val="003226AF"/>
    <w:rsid w:val="00322825"/>
    <w:rsid w:val="00323013"/>
    <w:rsid w:val="0032317C"/>
    <w:rsid w:val="003232FF"/>
    <w:rsid w:val="00323902"/>
    <w:rsid w:val="003240A2"/>
    <w:rsid w:val="00324723"/>
    <w:rsid w:val="00324C44"/>
    <w:rsid w:val="0032512D"/>
    <w:rsid w:val="003255ED"/>
    <w:rsid w:val="00325E01"/>
    <w:rsid w:val="003266ED"/>
    <w:rsid w:val="00326BBC"/>
    <w:rsid w:val="003279BC"/>
    <w:rsid w:val="003279CE"/>
    <w:rsid w:val="00327E05"/>
    <w:rsid w:val="00327F30"/>
    <w:rsid w:val="003303FF"/>
    <w:rsid w:val="00330470"/>
    <w:rsid w:val="0033048C"/>
    <w:rsid w:val="003304B5"/>
    <w:rsid w:val="0033099B"/>
    <w:rsid w:val="00330C66"/>
    <w:rsid w:val="00331273"/>
    <w:rsid w:val="003315EC"/>
    <w:rsid w:val="003317B7"/>
    <w:rsid w:val="00331873"/>
    <w:rsid w:val="00332364"/>
    <w:rsid w:val="00332B24"/>
    <w:rsid w:val="00332D71"/>
    <w:rsid w:val="00332DD7"/>
    <w:rsid w:val="00332FB9"/>
    <w:rsid w:val="003334C9"/>
    <w:rsid w:val="003335BE"/>
    <w:rsid w:val="00333679"/>
    <w:rsid w:val="003339FD"/>
    <w:rsid w:val="00333C26"/>
    <w:rsid w:val="00333CC6"/>
    <w:rsid w:val="0033495F"/>
    <w:rsid w:val="003349C3"/>
    <w:rsid w:val="00334B02"/>
    <w:rsid w:val="00334F34"/>
    <w:rsid w:val="0033510D"/>
    <w:rsid w:val="003355E2"/>
    <w:rsid w:val="00336398"/>
    <w:rsid w:val="003365E8"/>
    <w:rsid w:val="00336B48"/>
    <w:rsid w:val="003373F2"/>
    <w:rsid w:val="00337935"/>
    <w:rsid w:val="0033794A"/>
    <w:rsid w:val="00340393"/>
    <w:rsid w:val="0034082B"/>
    <w:rsid w:val="00340C83"/>
    <w:rsid w:val="00340F79"/>
    <w:rsid w:val="00341379"/>
    <w:rsid w:val="0034150E"/>
    <w:rsid w:val="00341695"/>
    <w:rsid w:val="003416C9"/>
    <w:rsid w:val="00341AA9"/>
    <w:rsid w:val="00341B29"/>
    <w:rsid w:val="00341C9C"/>
    <w:rsid w:val="00342011"/>
    <w:rsid w:val="00342767"/>
    <w:rsid w:val="0034285A"/>
    <w:rsid w:val="00342FE8"/>
    <w:rsid w:val="003433B2"/>
    <w:rsid w:val="00343679"/>
    <w:rsid w:val="00343827"/>
    <w:rsid w:val="00343A3D"/>
    <w:rsid w:val="00343FFF"/>
    <w:rsid w:val="003440CE"/>
    <w:rsid w:val="003446C7"/>
    <w:rsid w:val="00344A2F"/>
    <w:rsid w:val="00344BA9"/>
    <w:rsid w:val="00345399"/>
    <w:rsid w:val="0034610A"/>
    <w:rsid w:val="00346356"/>
    <w:rsid w:val="00346619"/>
    <w:rsid w:val="003467DB"/>
    <w:rsid w:val="003469D9"/>
    <w:rsid w:val="00347119"/>
    <w:rsid w:val="00347263"/>
    <w:rsid w:val="00347268"/>
    <w:rsid w:val="00350658"/>
    <w:rsid w:val="0035072D"/>
    <w:rsid w:val="00350A48"/>
    <w:rsid w:val="00350AE1"/>
    <w:rsid w:val="00350F3E"/>
    <w:rsid w:val="00351898"/>
    <w:rsid w:val="00351AB3"/>
    <w:rsid w:val="00351D59"/>
    <w:rsid w:val="00352624"/>
    <w:rsid w:val="0035286C"/>
    <w:rsid w:val="00353474"/>
    <w:rsid w:val="003536BE"/>
    <w:rsid w:val="00353ACA"/>
    <w:rsid w:val="00353DA7"/>
    <w:rsid w:val="00353EA6"/>
    <w:rsid w:val="003545A6"/>
    <w:rsid w:val="0035474A"/>
    <w:rsid w:val="00354EA1"/>
    <w:rsid w:val="00354FBB"/>
    <w:rsid w:val="003552E9"/>
    <w:rsid w:val="00355602"/>
    <w:rsid w:val="003559CE"/>
    <w:rsid w:val="00355E52"/>
    <w:rsid w:val="00356223"/>
    <w:rsid w:val="00356F42"/>
    <w:rsid w:val="00357055"/>
    <w:rsid w:val="003572E5"/>
    <w:rsid w:val="003574DA"/>
    <w:rsid w:val="003602BE"/>
    <w:rsid w:val="00360394"/>
    <w:rsid w:val="00360BB6"/>
    <w:rsid w:val="00360E22"/>
    <w:rsid w:val="00360EE1"/>
    <w:rsid w:val="00361B0B"/>
    <w:rsid w:val="00361DE0"/>
    <w:rsid w:val="00361FD9"/>
    <w:rsid w:val="0036254E"/>
    <w:rsid w:val="00362626"/>
    <w:rsid w:val="00362A71"/>
    <w:rsid w:val="003632C6"/>
    <w:rsid w:val="0036349C"/>
    <w:rsid w:val="00363D15"/>
    <w:rsid w:val="00363FFA"/>
    <w:rsid w:val="0036407B"/>
    <w:rsid w:val="003648D1"/>
    <w:rsid w:val="00364C71"/>
    <w:rsid w:val="00364C7D"/>
    <w:rsid w:val="0036508A"/>
    <w:rsid w:val="003657F4"/>
    <w:rsid w:val="00365951"/>
    <w:rsid w:val="003659C4"/>
    <w:rsid w:val="00365B87"/>
    <w:rsid w:val="003665DF"/>
    <w:rsid w:val="003665F1"/>
    <w:rsid w:val="00366E5C"/>
    <w:rsid w:val="00367580"/>
    <w:rsid w:val="00367635"/>
    <w:rsid w:val="0036775E"/>
    <w:rsid w:val="0036787C"/>
    <w:rsid w:val="00367969"/>
    <w:rsid w:val="00367AD5"/>
    <w:rsid w:val="00367AE5"/>
    <w:rsid w:val="00370D42"/>
    <w:rsid w:val="00371198"/>
    <w:rsid w:val="0037175F"/>
    <w:rsid w:val="00371794"/>
    <w:rsid w:val="00371B40"/>
    <w:rsid w:val="00371BF1"/>
    <w:rsid w:val="00372009"/>
    <w:rsid w:val="00372311"/>
    <w:rsid w:val="0037244D"/>
    <w:rsid w:val="003726EE"/>
    <w:rsid w:val="00372BE2"/>
    <w:rsid w:val="00372D83"/>
    <w:rsid w:val="00372FAD"/>
    <w:rsid w:val="0037320B"/>
    <w:rsid w:val="0037382E"/>
    <w:rsid w:val="0037384C"/>
    <w:rsid w:val="00373926"/>
    <w:rsid w:val="00373A80"/>
    <w:rsid w:val="00373BC1"/>
    <w:rsid w:val="00373BEC"/>
    <w:rsid w:val="00373E8B"/>
    <w:rsid w:val="00373EDB"/>
    <w:rsid w:val="00374288"/>
    <w:rsid w:val="00374322"/>
    <w:rsid w:val="0037468E"/>
    <w:rsid w:val="00374C3B"/>
    <w:rsid w:val="00375272"/>
    <w:rsid w:val="00375B62"/>
    <w:rsid w:val="00375C35"/>
    <w:rsid w:val="0037643E"/>
    <w:rsid w:val="0037683C"/>
    <w:rsid w:val="00376B47"/>
    <w:rsid w:val="00376FE2"/>
    <w:rsid w:val="00377A29"/>
    <w:rsid w:val="00380EC0"/>
    <w:rsid w:val="00380EE3"/>
    <w:rsid w:val="00380F11"/>
    <w:rsid w:val="003812F8"/>
    <w:rsid w:val="0038148F"/>
    <w:rsid w:val="003819F4"/>
    <w:rsid w:val="003828E3"/>
    <w:rsid w:val="00382962"/>
    <w:rsid w:val="00382A8B"/>
    <w:rsid w:val="00382ADD"/>
    <w:rsid w:val="00382BEB"/>
    <w:rsid w:val="00382C14"/>
    <w:rsid w:val="00382F54"/>
    <w:rsid w:val="00383DFB"/>
    <w:rsid w:val="00384017"/>
    <w:rsid w:val="003848B9"/>
    <w:rsid w:val="00384E67"/>
    <w:rsid w:val="00384F0D"/>
    <w:rsid w:val="00385067"/>
    <w:rsid w:val="003854C8"/>
    <w:rsid w:val="00386276"/>
    <w:rsid w:val="003864A8"/>
    <w:rsid w:val="0038703E"/>
    <w:rsid w:val="00387F82"/>
    <w:rsid w:val="003910EF"/>
    <w:rsid w:val="00391391"/>
    <w:rsid w:val="003918EF"/>
    <w:rsid w:val="00391998"/>
    <w:rsid w:val="00391D92"/>
    <w:rsid w:val="003922D9"/>
    <w:rsid w:val="003927E1"/>
    <w:rsid w:val="00392973"/>
    <w:rsid w:val="00392A8E"/>
    <w:rsid w:val="00392FFD"/>
    <w:rsid w:val="00393515"/>
    <w:rsid w:val="003935B7"/>
    <w:rsid w:val="00393697"/>
    <w:rsid w:val="003936C5"/>
    <w:rsid w:val="003938C1"/>
    <w:rsid w:val="00393971"/>
    <w:rsid w:val="003942D4"/>
    <w:rsid w:val="00394DEE"/>
    <w:rsid w:val="0039516A"/>
    <w:rsid w:val="0039578A"/>
    <w:rsid w:val="00395882"/>
    <w:rsid w:val="00395F93"/>
    <w:rsid w:val="0039609D"/>
    <w:rsid w:val="00396C77"/>
    <w:rsid w:val="0039738F"/>
    <w:rsid w:val="0039742F"/>
    <w:rsid w:val="00397B5C"/>
    <w:rsid w:val="00397DD5"/>
    <w:rsid w:val="0039E49D"/>
    <w:rsid w:val="003A02FD"/>
    <w:rsid w:val="003A0851"/>
    <w:rsid w:val="003A09E2"/>
    <w:rsid w:val="003A116E"/>
    <w:rsid w:val="003A1721"/>
    <w:rsid w:val="003A28CF"/>
    <w:rsid w:val="003A2C66"/>
    <w:rsid w:val="003A2FFE"/>
    <w:rsid w:val="003A32B8"/>
    <w:rsid w:val="003A350A"/>
    <w:rsid w:val="003A39B0"/>
    <w:rsid w:val="003A3BBD"/>
    <w:rsid w:val="003A3CA8"/>
    <w:rsid w:val="003A478F"/>
    <w:rsid w:val="003A481B"/>
    <w:rsid w:val="003A4AF5"/>
    <w:rsid w:val="003A4C21"/>
    <w:rsid w:val="003A4FD3"/>
    <w:rsid w:val="003A5104"/>
    <w:rsid w:val="003A5510"/>
    <w:rsid w:val="003A56A6"/>
    <w:rsid w:val="003A5C12"/>
    <w:rsid w:val="003A6370"/>
    <w:rsid w:val="003A6AC4"/>
    <w:rsid w:val="003A6C30"/>
    <w:rsid w:val="003A7067"/>
    <w:rsid w:val="003A7B19"/>
    <w:rsid w:val="003B03F0"/>
    <w:rsid w:val="003B0818"/>
    <w:rsid w:val="003B0D1B"/>
    <w:rsid w:val="003B10C8"/>
    <w:rsid w:val="003B1438"/>
    <w:rsid w:val="003B17D8"/>
    <w:rsid w:val="003B2442"/>
    <w:rsid w:val="003B24A3"/>
    <w:rsid w:val="003B2BFE"/>
    <w:rsid w:val="003B2CF3"/>
    <w:rsid w:val="003B2F07"/>
    <w:rsid w:val="003B2F88"/>
    <w:rsid w:val="003B351F"/>
    <w:rsid w:val="003B35AE"/>
    <w:rsid w:val="003B397F"/>
    <w:rsid w:val="003B3A17"/>
    <w:rsid w:val="003B3BF5"/>
    <w:rsid w:val="003B4130"/>
    <w:rsid w:val="003B4787"/>
    <w:rsid w:val="003B4D86"/>
    <w:rsid w:val="003B4DF3"/>
    <w:rsid w:val="003B4FCD"/>
    <w:rsid w:val="003B5128"/>
    <w:rsid w:val="003B5361"/>
    <w:rsid w:val="003B69D7"/>
    <w:rsid w:val="003B6A46"/>
    <w:rsid w:val="003B6F0F"/>
    <w:rsid w:val="003B7D51"/>
    <w:rsid w:val="003C0550"/>
    <w:rsid w:val="003C086F"/>
    <w:rsid w:val="003C0920"/>
    <w:rsid w:val="003C0EC3"/>
    <w:rsid w:val="003C1087"/>
    <w:rsid w:val="003C1690"/>
    <w:rsid w:val="003C1892"/>
    <w:rsid w:val="003C1D66"/>
    <w:rsid w:val="003C1E7C"/>
    <w:rsid w:val="003C28A0"/>
    <w:rsid w:val="003C2AFB"/>
    <w:rsid w:val="003C2CC6"/>
    <w:rsid w:val="003C3DAA"/>
    <w:rsid w:val="003C3E2C"/>
    <w:rsid w:val="003C472D"/>
    <w:rsid w:val="003C51AB"/>
    <w:rsid w:val="003C54B8"/>
    <w:rsid w:val="003C554E"/>
    <w:rsid w:val="003C5B50"/>
    <w:rsid w:val="003C6115"/>
    <w:rsid w:val="003C621F"/>
    <w:rsid w:val="003C63FF"/>
    <w:rsid w:val="003C65DB"/>
    <w:rsid w:val="003C6EB0"/>
    <w:rsid w:val="003C7227"/>
    <w:rsid w:val="003C768D"/>
    <w:rsid w:val="003C792F"/>
    <w:rsid w:val="003D08D7"/>
    <w:rsid w:val="003D097D"/>
    <w:rsid w:val="003D0C87"/>
    <w:rsid w:val="003D0EE7"/>
    <w:rsid w:val="003D1022"/>
    <w:rsid w:val="003D1186"/>
    <w:rsid w:val="003D17CE"/>
    <w:rsid w:val="003D1BB1"/>
    <w:rsid w:val="003D1CB5"/>
    <w:rsid w:val="003D212E"/>
    <w:rsid w:val="003D234A"/>
    <w:rsid w:val="003D23A5"/>
    <w:rsid w:val="003D2657"/>
    <w:rsid w:val="003D28C8"/>
    <w:rsid w:val="003D2F4C"/>
    <w:rsid w:val="003D3552"/>
    <w:rsid w:val="003D3595"/>
    <w:rsid w:val="003D3748"/>
    <w:rsid w:val="003D39F8"/>
    <w:rsid w:val="003D3FC7"/>
    <w:rsid w:val="003D45D8"/>
    <w:rsid w:val="003D4C95"/>
    <w:rsid w:val="003D4E11"/>
    <w:rsid w:val="003D501A"/>
    <w:rsid w:val="003D5068"/>
    <w:rsid w:val="003D554E"/>
    <w:rsid w:val="003D59F2"/>
    <w:rsid w:val="003D5CED"/>
    <w:rsid w:val="003D6260"/>
    <w:rsid w:val="003D63D5"/>
    <w:rsid w:val="003D69B4"/>
    <w:rsid w:val="003D6C31"/>
    <w:rsid w:val="003D73D9"/>
    <w:rsid w:val="003D74BF"/>
    <w:rsid w:val="003D77DB"/>
    <w:rsid w:val="003D78A1"/>
    <w:rsid w:val="003D7AF3"/>
    <w:rsid w:val="003D7EA3"/>
    <w:rsid w:val="003E0001"/>
    <w:rsid w:val="003E0024"/>
    <w:rsid w:val="003E02C6"/>
    <w:rsid w:val="003E036E"/>
    <w:rsid w:val="003E0A7A"/>
    <w:rsid w:val="003E0C63"/>
    <w:rsid w:val="003E0E74"/>
    <w:rsid w:val="003E107E"/>
    <w:rsid w:val="003E13DE"/>
    <w:rsid w:val="003E1728"/>
    <w:rsid w:val="003E19C4"/>
    <w:rsid w:val="003E19CF"/>
    <w:rsid w:val="003E1B76"/>
    <w:rsid w:val="003E22B7"/>
    <w:rsid w:val="003E239D"/>
    <w:rsid w:val="003E28BB"/>
    <w:rsid w:val="003E2AA6"/>
    <w:rsid w:val="003E2C54"/>
    <w:rsid w:val="003E2D3F"/>
    <w:rsid w:val="003E2F7E"/>
    <w:rsid w:val="003E362B"/>
    <w:rsid w:val="003E3662"/>
    <w:rsid w:val="003E3E2C"/>
    <w:rsid w:val="003E3F9D"/>
    <w:rsid w:val="003E44F8"/>
    <w:rsid w:val="003E45C1"/>
    <w:rsid w:val="003E4AAA"/>
    <w:rsid w:val="003E4DEB"/>
    <w:rsid w:val="003E4DF4"/>
    <w:rsid w:val="003E4E24"/>
    <w:rsid w:val="003E5030"/>
    <w:rsid w:val="003E539B"/>
    <w:rsid w:val="003E54AE"/>
    <w:rsid w:val="003E54C7"/>
    <w:rsid w:val="003E57CE"/>
    <w:rsid w:val="003E59FB"/>
    <w:rsid w:val="003E5A0C"/>
    <w:rsid w:val="003E5C27"/>
    <w:rsid w:val="003E5C6D"/>
    <w:rsid w:val="003E5D8A"/>
    <w:rsid w:val="003E6347"/>
    <w:rsid w:val="003E68A2"/>
    <w:rsid w:val="003E6EB1"/>
    <w:rsid w:val="003E6F57"/>
    <w:rsid w:val="003E7003"/>
    <w:rsid w:val="003E7672"/>
    <w:rsid w:val="003E7993"/>
    <w:rsid w:val="003E7A94"/>
    <w:rsid w:val="003F06A2"/>
    <w:rsid w:val="003F0B26"/>
    <w:rsid w:val="003F0FC6"/>
    <w:rsid w:val="003F1229"/>
    <w:rsid w:val="003F1345"/>
    <w:rsid w:val="003F146E"/>
    <w:rsid w:val="003F1F4B"/>
    <w:rsid w:val="003F2047"/>
    <w:rsid w:val="003F24BC"/>
    <w:rsid w:val="003F2607"/>
    <w:rsid w:val="003F28BD"/>
    <w:rsid w:val="003F29F2"/>
    <w:rsid w:val="003F2B7F"/>
    <w:rsid w:val="003F372B"/>
    <w:rsid w:val="003F3A56"/>
    <w:rsid w:val="003F3D76"/>
    <w:rsid w:val="003F42B1"/>
    <w:rsid w:val="003F431D"/>
    <w:rsid w:val="003F4AD0"/>
    <w:rsid w:val="003F50AE"/>
    <w:rsid w:val="003F5455"/>
    <w:rsid w:val="003F55C0"/>
    <w:rsid w:val="003F56A9"/>
    <w:rsid w:val="003F5861"/>
    <w:rsid w:val="003F5AD8"/>
    <w:rsid w:val="003F63B3"/>
    <w:rsid w:val="003F6A19"/>
    <w:rsid w:val="003F6A29"/>
    <w:rsid w:val="003F750D"/>
    <w:rsid w:val="003F7545"/>
    <w:rsid w:val="003F7548"/>
    <w:rsid w:val="003F78FC"/>
    <w:rsid w:val="003F7B81"/>
    <w:rsid w:val="004004F2"/>
    <w:rsid w:val="00400A17"/>
    <w:rsid w:val="00400C2A"/>
    <w:rsid w:val="00400E68"/>
    <w:rsid w:val="004017B9"/>
    <w:rsid w:val="004019C5"/>
    <w:rsid w:val="004021A0"/>
    <w:rsid w:val="0040256E"/>
    <w:rsid w:val="0040274E"/>
    <w:rsid w:val="004029B8"/>
    <w:rsid w:val="004029DE"/>
    <w:rsid w:val="00402B1A"/>
    <w:rsid w:val="00402CF5"/>
    <w:rsid w:val="00402D5D"/>
    <w:rsid w:val="00403996"/>
    <w:rsid w:val="00404681"/>
    <w:rsid w:val="00404710"/>
    <w:rsid w:val="00405425"/>
    <w:rsid w:val="00405725"/>
    <w:rsid w:val="00405FD7"/>
    <w:rsid w:val="00406467"/>
    <w:rsid w:val="004064E3"/>
    <w:rsid w:val="004066B4"/>
    <w:rsid w:val="004067A8"/>
    <w:rsid w:val="004067EA"/>
    <w:rsid w:val="00406EDF"/>
    <w:rsid w:val="0040705E"/>
    <w:rsid w:val="004072B7"/>
    <w:rsid w:val="00407EFC"/>
    <w:rsid w:val="00407FF4"/>
    <w:rsid w:val="00410822"/>
    <w:rsid w:val="00410E5C"/>
    <w:rsid w:val="00411111"/>
    <w:rsid w:val="004113CB"/>
    <w:rsid w:val="0041164A"/>
    <w:rsid w:val="004118FD"/>
    <w:rsid w:val="00411C6E"/>
    <w:rsid w:val="004120CA"/>
    <w:rsid w:val="00412118"/>
    <w:rsid w:val="0041240E"/>
    <w:rsid w:val="0041274F"/>
    <w:rsid w:val="00412C2D"/>
    <w:rsid w:val="00412E60"/>
    <w:rsid w:val="00412F80"/>
    <w:rsid w:val="004130D9"/>
    <w:rsid w:val="00413173"/>
    <w:rsid w:val="00413176"/>
    <w:rsid w:val="00413638"/>
    <w:rsid w:val="004136CB"/>
    <w:rsid w:val="004138CC"/>
    <w:rsid w:val="00413BBA"/>
    <w:rsid w:val="004140E9"/>
    <w:rsid w:val="0041416F"/>
    <w:rsid w:val="004142D5"/>
    <w:rsid w:val="00414615"/>
    <w:rsid w:val="00414B37"/>
    <w:rsid w:val="00414B49"/>
    <w:rsid w:val="00414C2D"/>
    <w:rsid w:val="004151E6"/>
    <w:rsid w:val="00415A42"/>
    <w:rsid w:val="00415C5D"/>
    <w:rsid w:val="0041642F"/>
    <w:rsid w:val="00416A08"/>
    <w:rsid w:val="00416AB6"/>
    <w:rsid w:val="00417485"/>
    <w:rsid w:val="00417930"/>
    <w:rsid w:val="00420362"/>
    <w:rsid w:val="00420DEE"/>
    <w:rsid w:val="004210D6"/>
    <w:rsid w:val="004219D4"/>
    <w:rsid w:val="00421EF0"/>
    <w:rsid w:val="00422368"/>
    <w:rsid w:val="00422BB4"/>
    <w:rsid w:val="00422C9B"/>
    <w:rsid w:val="00422EA6"/>
    <w:rsid w:val="00423B4D"/>
    <w:rsid w:val="00423B52"/>
    <w:rsid w:val="00423C49"/>
    <w:rsid w:val="00424083"/>
    <w:rsid w:val="004245CF"/>
    <w:rsid w:val="0042495F"/>
    <w:rsid w:val="00424E2F"/>
    <w:rsid w:val="00424E65"/>
    <w:rsid w:val="00425041"/>
    <w:rsid w:val="004250F2"/>
    <w:rsid w:val="004251C2"/>
    <w:rsid w:val="00425366"/>
    <w:rsid w:val="00425EFE"/>
    <w:rsid w:val="0042612D"/>
    <w:rsid w:val="0042655E"/>
    <w:rsid w:val="004278A1"/>
    <w:rsid w:val="00427AED"/>
    <w:rsid w:val="00427B04"/>
    <w:rsid w:val="00427CCE"/>
    <w:rsid w:val="00427FE6"/>
    <w:rsid w:val="0043015B"/>
    <w:rsid w:val="00430F0A"/>
    <w:rsid w:val="004312FE"/>
    <w:rsid w:val="00431DDE"/>
    <w:rsid w:val="0043224A"/>
    <w:rsid w:val="00432A0F"/>
    <w:rsid w:val="00432CA1"/>
    <w:rsid w:val="00433BCE"/>
    <w:rsid w:val="00434DB3"/>
    <w:rsid w:val="004356F4"/>
    <w:rsid w:val="00435AFE"/>
    <w:rsid w:val="00435D42"/>
    <w:rsid w:val="00435E1D"/>
    <w:rsid w:val="00436829"/>
    <w:rsid w:val="00436F07"/>
    <w:rsid w:val="004375C8"/>
    <w:rsid w:val="0043797F"/>
    <w:rsid w:val="00437B96"/>
    <w:rsid w:val="00437D31"/>
    <w:rsid w:val="00437D74"/>
    <w:rsid w:val="00440291"/>
    <w:rsid w:val="004404DB"/>
    <w:rsid w:val="00440554"/>
    <w:rsid w:val="004405D5"/>
    <w:rsid w:val="00440ABE"/>
    <w:rsid w:val="0044107F"/>
    <w:rsid w:val="00441309"/>
    <w:rsid w:val="0044178A"/>
    <w:rsid w:val="0044181D"/>
    <w:rsid w:val="004419C5"/>
    <w:rsid w:val="00441AD3"/>
    <w:rsid w:val="00442313"/>
    <w:rsid w:val="00442316"/>
    <w:rsid w:val="00442A39"/>
    <w:rsid w:val="00442C24"/>
    <w:rsid w:val="00442D4E"/>
    <w:rsid w:val="00444873"/>
    <w:rsid w:val="00444A1C"/>
    <w:rsid w:val="00444AA3"/>
    <w:rsid w:val="00444CE7"/>
    <w:rsid w:val="00444DC0"/>
    <w:rsid w:val="00445197"/>
    <w:rsid w:val="004452D8"/>
    <w:rsid w:val="00445443"/>
    <w:rsid w:val="00445505"/>
    <w:rsid w:val="00445791"/>
    <w:rsid w:val="00445BB4"/>
    <w:rsid w:val="00445F69"/>
    <w:rsid w:val="004464FE"/>
    <w:rsid w:val="00446525"/>
    <w:rsid w:val="00446665"/>
    <w:rsid w:val="00446BB0"/>
    <w:rsid w:val="00446D70"/>
    <w:rsid w:val="00447664"/>
    <w:rsid w:val="00447949"/>
    <w:rsid w:val="00447AC2"/>
    <w:rsid w:val="00447D2D"/>
    <w:rsid w:val="004505FB"/>
    <w:rsid w:val="00450BA9"/>
    <w:rsid w:val="00450CD0"/>
    <w:rsid w:val="00451123"/>
    <w:rsid w:val="004512DF"/>
    <w:rsid w:val="00451DDE"/>
    <w:rsid w:val="00452A99"/>
    <w:rsid w:val="00452D28"/>
    <w:rsid w:val="004531AE"/>
    <w:rsid w:val="0045363F"/>
    <w:rsid w:val="00453B9B"/>
    <w:rsid w:val="00453BFB"/>
    <w:rsid w:val="004544A2"/>
    <w:rsid w:val="004545D7"/>
    <w:rsid w:val="00454861"/>
    <w:rsid w:val="00454B28"/>
    <w:rsid w:val="00454B8A"/>
    <w:rsid w:val="00454BD2"/>
    <w:rsid w:val="0045526B"/>
    <w:rsid w:val="00455FE6"/>
    <w:rsid w:val="0045600D"/>
    <w:rsid w:val="0045624F"/>
    <w:rsid w:val="0045677F"/>
    <w:rsid w:val="00456E81"/>
    <w:rsid w:val="0045739E"/>
    <w:rsid w:val="004574DC"/>
    <w:rsid w:val="00457A2B"/>
    <w:rsid w:val="0046070C"/>
    <w:rsid w:val="0046101D"/>
    <w:rsid w:val="004620AB"/>
    <w:rsid w:val="004627D4"/>
    <w:rsid w:val="00463271"/>
    <w:rsid w:val="0046340A"/>
    <w:rsid w:val="004634A8"/>
    <w:rsid w:val="004636DB"/>
    <w:rsid w:val="0046400F"/>
    <w:rsid w:val="004645F1"/>
    <w:rsid w:val="00465795"/>
    <w:rsid w:val="00465796"/>
    <w:rsid w:val="00465B4D"/>
    <w:rsid w:val="00465CAE"/>
    <w:rsid w:val="00465D20"/>
    <w:rsid w:val="0046615A"/>
    <w:rsid w:val="0046676D"/>
    <w:rsid w:val="00466A30"/>
    <w:rsid w:val="00466CC2"/>
    <w:rsid w:val="00466D57"/>
    <w:rsid w:val="004677FA"/>
    <w:rsid w:val="004678B5"/>
    <w:rsid w:val="00467E9F"/>
    <w:rsid w:val="0047014F"/>
    <w:rsid w:val="00470819"/>
    <w:rsid w:val="0047161C"/>
    <w:rsid w:val="00471975"/>
    <w:rsid w:val="00471EAB"/>
    <w:rsid w:val="00472076"/>
    <w:rsid w:val="0047299F"/>
    <w:rsid w:val="00473A74"/>
    <w:rsid w:val="00474A7F"/>
    <w:rsid w:val="00474B7D"/>
    <w:rsid w:val="00475717"/>
    <w:rsid w:val="00475FA5"/>
    <w:rsid w:val="004760DA"/>
    <w:rsid w:val="004763B1"/>
    <w:rsid w:val="00476D55"/>
    <w:rsid w:val="00476DFC"/>
    <w:rsid w:val="00476F3D"/>
    <w:rsid w:val="004772F9"/>
    <w:rsid w:val="00477457"/>
    <w:rsid w:val="0047756C"/>
    <w:rsid w:val="00477CF6"/>
    <w:rsid w:val="00477F39"/>
    <w:rsid w:val="004800A3"/>
    <w:rsid w:val="00480742"/>
    <w:rsid w:val="00480A3D"/>
    <w:rsid w:val="00480A65"/>
    <w:rsid w:val="00480C24"/>
    <w:rsid w:val="0048113B"/>
    <w:rsid w:val="0048120D"/>
    <w:rsid w:val="00481210"/>
    <w:rsid w:val="00481282"/>
    <w:rsid w:val="004814E6"/>
    <w:rsid w:val="00481F36"/>
    <w:rsid w:val="0048246D"/>
    <w:rsid w:val="004824D7"/>
    <w:rsid w:val="004827D2"/>
    <w:rsid w:val="00482808"/>
    <w:rsid w:val="00482993"/>
    <w:rsid w:val="004829BA"/>
    <w:rsid w:val="00482ED5"/>
    <w:rsid w:val="00483597"/>
    <w:rsid w:val="00483D4C"/>
    <w:rsid w:val="00483D9B"/>
    <w:rsid w:val="00484092"/>
    <w:rsid w:val="00484592"/>
    <w:rsid w:val="00484DDF"/>
    <w:rsid w:val="00484EE7"/>
    <w:rsid w:val="00484F70"/>
    <w:rsid w:val="0048529F"/>
    <w:rsid w:val="0048540E"/>
    <w:rsid w:val="004854DB"/>
    <w:rsid w:val="00486E59"/>
    <w:rsid w:val="0048705A"/>
    <w:rsid w:val="004872C7"/>
    <w:rsid w:val="004877AB"/>
    <w:rsid w:val="004878C7"/>
    <w:rsid w:val="00487905"/>
    <w:rsid w:val="00487D73"/>
    <w:rsid w:val="00490565"/>
    <w:rsid w:val="004908F4"/>
    <w:rsid w:val="00490901"/>
    <w:rsid w:val="00490DEE"/>
    <w:rsid w:val="00490E2F"/>
    <w:rsid w:val="00490E39"/>
    <w:rsid w:val="00490FE8"/>
    <w:rsid w:val="004912D5"/>
    <w:rsid w:val="00491420"/>
    <w:rsid w:val="004915C8"/>
    <w:rsid w:val="00491CD6"/>
    <w:rsid w:val="0049220B"/>
    <w:rsid w:val="0049222E"/>
    <w:rsid w:val="00492AEF"/>
    <w:rsid w:val="00492B05"/>
    <w:rsid w:val="00492B8D"/>
    <w:rsid w:val="0049309F"/>
    <w:rsid w:val="0049310D"/>
    <w:rsid w:val="004933BB"/>
    <w:rsid w:val="004936D9"/>
    <w:rsid w:val="00493700"/>
    <w:rsid w:val="004938A0"/>
    <w:rsid w:val="0049408D"/>
    <w:rsid w:val="00495344"/>
    <w:rsid w:val="00495DD3"/>
    <w:rsid w:val="00496062"/>
    <w:rsid w:val="0049613B"/>
    <w:rsid w:val="00496478"/>
    <w:rsid w:val="00496684"/>
    <w:rsid w:val="00496E79"/>
    <w:rsid w:val="00497200"/>
    <w:rsid w:val="004975D7"/>
    <w:rsid w:val="00497C24"/>
    <w:rsid w:val="00497D26"/>
    <w:rsid w:val="00497F48"/>
    <w:rsid w:val="004A0054"/>
    <w:rsid w:val="004A0A58"/>
    <w:rsid w:val="004A1E5E"/>
    <w:rsid w:val="004A279A"/>
    <w:rsid w:val="004A2840"/>
    <w:rsid w:val="004A3105"/>
    <w:rsid w:val="004A390F"/>
    <w:rsid w:val="004A3F97"/>
    <w:rsid w:val="004A4400"/>
    <w:rsid w:val="004A4713"/>
    <w:rsid w:val="004A4C17"/>
    <w:rsid w:val="004A53B1"/>
    <w:rsid w:val="004A54FB"/>
    <w:rsid w:val="004A559A"/>
    <w:rsid w:val="004A5D0F"/>
    <w:rsid w:val="004A5DBD"/>
    <w:rsid w:val="004A5E4A"/>
    <w:rsid w:val="004A64B0"/>
    <w:rsid w:val="004A6B03"/>
    <w:rsid w:val="004A6E90"/>
    <w:rsid w:val="004A6F2A"/>
    <w:rsid w:val="004A6F50"/>
    <w:rsid w:val="004A725E"/>
    <w:rsid w:val="004A746B"/>
    <w:rsid w:val="004A7E64"/>
    <w:rsid w:val="004AC5C9"/>
    <w:rsid w:val="004B0103"/>
    <w:rsid w:val="004B02F0"/>
    <w:rsid w:val="004B09A0"/>
    <w:rsid w:val="004B0F54"/>
    <w:rsid w:val="004B10E5"/>
    <w:rsid w:val="004B1199"/>
    <w:rsid w:val="004B120F"/>
    <w:rsid w:val="004B12F4"/>
    <w:rsid w:val="004B1C7D"/>
    <w:rsid w:val="004B1F9B"/>
    <w:rsid w:val="004B25CE"/>
    <w:rsid w:val="004B29E6"/>
    <w:rsid w:val="004B3067"/>
    <w:rsid w:val="004B31AE"/>
    <w:rsid w:val="004B31C2"/>
    <w:rsid w:val="004B399D"/>
    <w:rsid w:val="004B3F3B"/>
    <w:rsid w:val="004B4407"/>
    <w:rsid w:val="004B4A19"/>
    <w:rsid w:val="004B4A5C"/>
    <w:rsid w:val="004B4CBF"/>
    <w:rsid w:val="004B51AB"/>
    <w:rsid w:val="004B5937"/>
    <w:rsid w:val="004B59E2"/>
    <w:rsid w:val="004B5A15"/>
    <w:rsid w:val="004B5F4F"/>
    <w:rsid w:val="004B6E8A"/>
    <w:rsid w:val="004B6EE3"/>
    <w:rsid w:val="004B73D7"/>
    <w:rsid w:val="004B766A"/>
    <w:rsid w:val="004B7B2E"/>
    <w:rsid w:val="004B7C84"/>
    <w:rsid w:val="004B7FB1"/>
    <w:rsid w:val="004C0459"/>
    <w:rsid w:val="004C0BEC"/>
    <w:rsid w:val="004C12AF"/>
    <w:rsid w:val="004C1FFE"/>
    <w:rsid w:val="004C24D2"/>
    <w:rsid w:val="004C38DB"/>
    <w:rsid w:val="004C4155"/>
    <w:rsid w:val="004C42CD"/>
    <w:rsid w:val="004C47D6"/>
    <w:rsid w:val="004C4F15"/>
    <w:rsid w:val="004C54D7"/>
    <w:rsid w:val="004C55CE"/>
    <w:rsid w:val="004C55F3"/>
    <w:rsid w:val="004C5E06"/>
    <w:rsid w:val="004C634D"/>
    <w:rsid w:val="004C6FFA"/>
    <w:rsid w:val="004C71D2"/>
    <w:rsid w:val="004C72A3"/>
    <w:rsid w:val="004C750D"/>
    <w:rsid w:val="004C7A98"/>
    <w:rsid w:val="004D02A8"/>
    <w:rsid w:val="004D0458"/>
    <w:rsid w:val="004D0D6E"/>
    <w:rsid w:val="004D166B"/>
    <w:rsid w:val="004D1AF2"/>
    <w:rsid w:val="004D1AF9"/>
    <w:rsid w:val="004D1C01"/>
    <w:rsid w:val="004D1C75"/>
    <w:rsid w:val="004D20B5"/>
    <w:rsid w:val="004D268A"/>
    <w:rsid w:val="004D26DE"/>
    <w:rsid w:val="004D29F2"/>
    <w:rsid w:val="004D2A72"/>
    <w:rsid w:val="004D305A"/>
    <w:rsid w:val="004D3AA7"/>
    <w:rsid w:val="004D3B78"/>
    <w:rsid w:val="004D43F1"/>
    <w:rsid w:val="004D440F"/>
    <w:rsid w:val="004D4600"/>
    <w:rsid w:val="004D4A49"/>
    <w:rsid w:val="004D531F"/>
    <w:rsid w:val="004D541C"/>
    <w:rsid w:val="004D597A"/>
    <w:rsid w:val="004D59F2"/>
    <w:rsid w:val="004D5D0B"/>
    <w:rsid w:val="004D6ADE"/>
    <w:rsid w:val="004D7063"/>
    <w:rsid w:val="004D757E"/>
    <w:rsid w:val="004D759F"/>
    <w:rsid w:val="004D776C"/>
    <w:rsid w:val="004E0327"/>
    <w:rsid w:val="004E10F5"/>
    <w:rsid w:val="004E116C"/>
    <w:rsid w:val="004E15DF"/>
    <w:rsid w:val="004E15F8"/>
    <w:rsid w:val="004E1BB9"/>
    <w:rsid w:val="004E201E"/>
    <w:rsid w:val="004E207A"/>
    <w:rsid w:val="004E20C8"/>
    <w:rsid w:val="004E30D7"/>
    <w:rsid w:val="004E3111"/>
    <w:rsid w:val="004E32F5"/>
    <w:rsid w:val="004E3D08"/>
    <w:rsid w:val="004E3FD0"/>
    <w:rsid w:val="004E4345"/>
    <w:rsid w:val="004E464C"/>
    <w:rsid w:val="004E4A68"/>
    <w:rsid w:val="004E5AE8"/>
    <w:rsid w:val="004E5FBE"/>
    <w:rsid w:val="004E61A3"/>
    <w:rsid w:val="004E6580"/>
    <w:rsid w:val="004E6B17"/>
    <w:rsid w:val="004E70CC"/>
    <w:rsid w:val="004E786E"/>
    <w:rsid w:val="004E7F7E"/>
    <w:rsid w:val="004F0016"/>
    <w:rsid w:val="004F0021"/>
    <w:rsid w:val="004F1601"/>
    <w:rsid w:val="004F1613"/>
    <w:rsid w:val="004F1759"/>
    <w:rsid w:val="004F177C"/>
    <w:rsid w:val="004F1ACA"/>
    <w:rsid w:val="004F2817"/>
    <w:rsid w:val="004F2880"/>
    <w:rsid w:val="004F2ED5"/>
    <w:rsid w:val="004F2F25"/>
    <w:rsid w:val="004F3352"/>
    <w:rsid w:val="004F362E"/>
    <w:rsid w:val="004F3C6D"/>
    <w:rsid w:val="004F3E18"/>
    <w:rsid w:val="004F4021"/>
    <w:rsid w:val="004F41AD"/>
    <w:rsid w:val="004F428B"/>
    <w:rsid w:val="004F49EB"/>
    <w:rsid w:val="004F57E1"/>
    <w:rsid w:val="004F6030"/>
    <w:rsid w:val="004F60B8"/>
    <w:rsid w:val="004F6459"/>
    <w:rsid w:val="004F6529"/>
    <w:rsid w:val="004F69E8"/>
    <w:rsid w:val="004F6D25"/>
    <w:rsid w:val="004F71A6"/>
    <w:rsid w:val="004F7452"/>
    <w:rsid w:val="004F7972"/>
    <w:rsid w:val="004F7F0A"/>
    <w:rsid w:val="005001D1"/>
    <w:rsid w:val="00500238"/>
    <w:rsid w:val="005005B2"/>
    <w:rsid w:val="005009C5"/>
    <w:rsid w:val="00500C03"/>
    <w:rsid w:val="005014CD"/>
    <w:rsid w:val="00501849"/>
    <w:rsid w:val="005019F2"/>
    <w:rsid w:val="00501CBA"/>
    <w:rsid w:val="00501F8D"/>
    <w:rsid w:val="00502521"/>
    <w:rsid w:val="00502921"/>
    <w:rsid w:val="0050300C"/>
    <w:rsid w:val="005031A8"/>
    <w:rsid w:val="00503261"/>
    <w:rsid w:val="0050336B"/>
    <w:rsid w:val="005035C7"/>
    <w:rsid w:val="005042B2"/>
    <w:rsid w:val="00504461"/>
    <w:rsid w:val="005044FD"/>
    <w:rsid w:val="005047C4"/>
    <w:rsid w:val="00504869"/>
    <w:rsid w:val="0050527B"/>
    <w:rsid w:val="0050529A"/>
    <w:rsid w:val="00505436"/>
    <w:rsid w:val="00505634"/>
    <w:rsid w:val="00505A02"/>
    <w:rsid w:val="00505AAC"/>
    <w:rsid w:val="00505E42"/>
    <w:rsid w:val="0050626B"/>
    <w:rsid w:val="005062E2"/>
    <w:rsid w:val="00506416"/>
    <w:rsid w:val="005069A2"/>
    <w:rsid w:val="00506A94"/>
    <w:rsid w:val="00506B59"/>
    <w:rsid w:val="00506EB8"/>
    <w:rsid w:val="00507017"/>
    <w:rsid w:val="00507281"/>
    <w:rsid w:val="00507806"/>
    <w:rsid w:val="0050782C"/>
    <w:rsid w:val="00507B62"/>
    <w:rsid w:val="00507D2C"/>
    <w:rsid w:val="00507D3C"/>
    <w:rsid w:val="00507E2B"/>
    <w:rsid w:val="00511334"/>
    <w:rsid w:val="005115A6"/>
    <w:rsid w:val="00511A5A"/>
    <w:rsid w:val="00511D60"/>
    <w:rsid w:val="00512015"/>
    <w:rsid w:val="00512200"/>
    <w:rsid w:val="00512269"/>
    <w:rsid w:val="005122B9"/>
    <w:rsid w:val="00512BA4"/>
    <w:rsid w:val="00513809"/>
    <w:rsid w:val="005138CD"/>
    <w:rsid w:val="0051391A"/>
    <w:rsid w:val="00514A1E"/>
    <w:rsid w:val="00514F9E"/>
    <w:rsid w:val="0051536C"/>
    <w:rsid w:val="00515521"/>
    <w:rsid w:val="005155E0"/>
    <w:rsid w:val="005163F4"/>
    <w:rsid w:val="00516499"/>
    <w:rsid w:val="00516913"/>
    <w:rsid w:val="00516A08"/>
    <w:rsid w:val="00516B45"/>
    <w:rsid w:val="00516E15"/>
    <w:rsid w:val="00516E3E"/>
    <w:rsid w:val="00516ED1"/>
    <w:rsid w:val="00516F94"/>
    <w:rsid w:val="00517206"/>
    <w:rsid w:val="0051728F"/>
    <w:rsid w:val="005172ED"/>
    <w:rsid w:val="0051762F"/>
    <w:rsid w:val="0051776A"/>
    <w:rsid w:val="00517E9A"/>
    <w:rsid w:val="005200D4"/>
    <w:rsid w:val="005202EA"/>
    <w:rsid w:val="005206CA"/>
    <w:rsid w:val="00520C74"/>
    <w:rsid w:val="00520E2B"/>
    <w:rsid w:val="00520E39"/>
    <w:rsid w:val="00520E5F"/>
    <w:rsid w:val="00520F03"/>
    <w:rsid w:val="00521071"/>
    <w:rsid w:val="005215A5"/>
    <w:rsid w:val="00521660"/>
    <w:rsid w:val="005218C6"/>
    <w:rsid w:val="00521DDC"/>
    <w:rsid w:val="00521EC0"/>
    <w:rsid w:val="005220E1"/>
    <w:rsid w:val="0052214D"/>
    <w:rsid w:val="00522562"/>
    <w:rsid w:val="005226D9"/>
    <w:rsid w:val="00522A66"/>
    <w:rsid w:val="00523AB8"/>
    <w:rsid w:val="00524542"/>
    <w:rsid w:val="00524A88"/>
    <w:rsid w:val="00524E15"/>
    <w:rsid w:val="005257C9"/>
    <w:rsid w:val="005263C8"/>
    <w:rsid w:val="00526456"/>
    <w:rsid w:val="0052691B"/>
    <w:rsid w:val="00526C12"/>
    <w:rsid w:val="00526F93"/>
    <w:rsid w:val="00527266"/>
    <w:rsid w:val="00527289"/>
    <w:rsid w:val="00527B58"/>
    <w:rsid w:val="00530197"/>
    <w:rsid w:val="00530954"/>
    <w:rsid w:val="00530A80"/>
    <w:rsid w:val="0053128D"/>
    <w:rsid w:val="005318EB"/>
    <w:rsid w:val="00531AE0"/>
    <w:rsid w:val="00532823"/>
    <w:rsid w:val="00532EC9"/>
    <w:rsid w:val="00533452"/>
    <w:rsid w:val="005348A4"/>
    <w:rsid w:val="0053490F"/>
    <w:rsid w:val="00534A46"/>
    <w:rsid w:val="00534BA3"/>
    <w:rsid w:val="00535395"/>
    <w:rsid w:val="00535968"/>
    <w:rsid w:val="00535D51"/>
    <w:rsid w:val="00536030"/>
    <w:rsid w:val="00536227"/>
    <w:rsid w:val="00536554"/>
    <w:rsid w:val="00536595"/>
    <w:rsid w:val="00536752"/>
    <w:rsid w:val="00536ADB"/>
    <w:rsid w:val="005370A2"/>
    <w:rsid w:val="005375BD"/>
    <w:rsid w:val="00537A8C"/>
    <w:rsid w:val="00537F07"/>
    <w:rsid w:val="0054058A"/>
    <w:rsid w:val="00540B9F"/>
    <w:rsid w:val="00540D18"/>
    <w:rsid w:val="005416FF"/>
    <w:rsid w:val="005419D1"/>
    <w:rsid w:val="00541EA2"/>
    <w:rsid w:val="005425F3"/>
    <w:rsid w:val="005429BF"/>
    <w:rsid w:val="00542A4E"/>
    <w:rsid w:val="0054356A"/>
    <w:rsid w:val="00543EEC"/>
    <w:rsid w:val="00543F18"/>
    <w:rsid w:val="00543F2B"/>
    <w:rsid w:val="0054433E"/>
    <w:rsid w:val="00544924"/>
    <w:rsid w:val="005451DD"/>
    <w:rsid w:val="00545760"/>
    <w:rsid w:val="0054593E"/>
    <w:rsid w:val="00545FD7"/>
    <w:rsid w:val="00546376"/>
    <w:rsid w:val="00546725"/>
    <w:rsid w:val="00546962"/>
    <w:rsid w:val="00547362"/>
    <w:rsid w:val="0054748E"/>
    <w:rsid w:val="005474CD"/>
    <w:rsid w:val="005475DC"/>
    <w:rsid w:val="00547880"/>
    <w:rsid w:val="005479C4"/>
    <w:rsid w:val="00547E62"/>
    <w:rsid w:val="00547FC4"/>
    <w:rsid w:val="00550007"/>
    <w:rsid w:val="0055055E"/>
    <w:rsid w:val="0055078E"/>
    <w:rsid w:val="00550878"/>
    <w:rsid w:val="00550882"/>
    <w:rsid w:val="005508C3"/>
    <w:rsid w:val="00550A62"/>
    <w:rsid w:val="00551595"/>
    <w:rsid w:val="005516BA"/>
    <w:rsid w:val="00551A50"/>
    <w:rsid w:val="00551CDE"/>
    <w:rsid w:val="00551E00"/>
    <w:rsid w:val="0055227D"/>
    <w:rsid w:val="00552549"/>
    <w:rsid w:val="0055256F"/>
    <w:rsid w:val="00552774"/>
    <w:rsid w:val="00552EB7"/>
    <w:rsid w:val="00552F0D"/>
    <w:rsid w:val="00552F42"/>
    <w:rsid w:val="005531BB"/>
    <w:rsid w:val="00553639"/>
    <w:rsid w:val="00553BB3"/>
    <w:rsid w:val="005541AB"/>
    <w:rsid w:val="005547CD"/>
    <w:rsid w:val="00554CE6"/>
    <w:rsid w:val="00554D62"/>
    <w:rsid w:val="00554FA3"/>
    <w:rsid w:val="00555A2C"/>
    <w:rsid w:val="00556621"/>
    <w:rsid w:val="0055667D"/>
    <w:rsid w:val="0055775F"/>
    <w:rsid w:val="00560090"/>
    <w:rsid w:val="00560578"/>
    <w:rsid w:val="00560A7C"/>
    <w:rsid w:val="00560EB4"/>
    <w:rsid w:val="00561485"/>
    <w:rsid w:val="00561974"/>
    <w:rsid w:val="00561ED1"/>
    <w:rsid w:val="00562424"/>
    <w:rsid w:val="005627DC"/>
    <w:rsid w:val="0056285E"/>
    <w:rsid w:val="0056370E"/>
    <w:rsid w:val="005637F3"/>
    <w:rsid w:val="00563BDE"/>
    <w:rsid w:val="00563EA7"/>
    <w:rsid w:val="005644E2"/>
    <w:rsid w:val="005644EF"/>
    <w:rsid w:val="00564501"/>
    <w:rsid w:val="005645ED"/>
    <w:rsid w:val="00564FB9"/>
    <w:rsid w:val="0056517D"/>
    <w:rsid w:val="0056534A"/>
    <w:rsid w:val="00565617"/>
    <w:rsid w:val="005656B1"/>
    <w:rsid w:val="00565712"/>
    <w:rsid w:val="00565BCF"/>
    <w:rsid w:val="00565D60"/>
    <w:rsid w:val="0056691C"/>
    <w:rsid w:val="00566A84"/>
    <w:rsid w:val="00566B47"/>
    <w:rsid w:val="0056701B"/>
    <w:rsid w:val="00567757"/>
    <w:rsid w:val="00567ACE"/>
    <w:rsid w:val="00567BFA"/>
    <w:rsid w:val="0057025C"/>
    <w:rsid w:val="0057028E"/>
    <w:rsid w:val="005703A4"/>
    <w:rsid w:val="00570614"/>
    <w:rsid w:val="00570B13"/>
    <w:rsid w:val="00571422"/>
    <w:rsid w:val="00571540"/>
    <w:rsid w:val="005718F5"/>
    <w:rsid w:val="00571C17"/>
    <w:rsid w:val="005721C1"/>
    <w:rsid w:val="00572E42"/>
    <w:rsid w:val="00572E86"/>
    <w:rsid w:val="00572F30"/>
    <w:rsid w:val="00573B84"/>
    <w:rsid w:val="00573F7B"/>
    <w:rsid w:val="0057420D"/>
    <w:rsid w:val="005749C6"/>
    <w:rsid w:val="00575530"/>
    <w:rsid w:val="005757BB"/>
    <w:rsid w:val="00575EAE"/>
    <w:rsid w:val="0057648A"/>
    <w:rsid w:val="0057672D"/>
    <w:rsid w:val="00576A47"/>
    <w:rsid w:val="0057755D"/>
    <w:rsid w:val="00577963"/>
    <w:rsid w:val="00577B20"/>
    <w:rsid w:val="00577E1A"/>
    <w:rsid w:val="00580242"/>
    <w:rsid w:val="005809DE"/>
    <w:rsid w:val="00580C44"/>
    <w:rsid w:val="005811A4"/>
    <w:rsid w:val="0058131C"/>
    <w:rsid w:val="00581533"/>
    <w:rsid w:val="005817BD"/>
    <w:rsid w:val="00581949"/>
    <w:rsid w:val="0058197A"/>
    <w:rsid w:val="00581B7A"/>
    <w:rsid w:val="00581C03"/>
    <w:rsid w:val="005828A9"/>
    <w:rsid w:val="00582FDC"/>
    <w:rsid w:val="005830D3"/>
    <w:rsid w:val="005830F1"/>
    <w:rsid w:val="0058398F"/>
    <w:rsid w:val="00584183"/>
    <w:rsid w:val="0058426D"/>
    <w:rsid w:val="00584752"/>
    <w:rsid w:val="00584A42"/>
    <w:rsid w:val="00584A4B"/>
    <w:rsid w:val="00584A89"/>
    <w:rsid w:val="00584CD0"/>
    <w:rsid w:val="005850F2"/>
    <w:rsid w:val="0058525F"/>
    <w:rsid w:val="0058551D"/>
    <w:rsid w:val="00585757"/>
    <w:rsid w:val="00585773"/>
    <w:rsid w:val="00586230"/>
    <w:rsid w:val="00586324"/>
    <w:rsid w:val="00586347"/>
    <w:rsid w:val="0058637B"/>
    <w:rsid w:val="00586414"/>
    <w:rsid w:val="0058648F"/>
    <w:rsid w:val="0058667A"/>
    <w:rsid w:val="00586788"/>
    <w:rsid w:val="005868B9"/>
    <w:rsid w:val="00586C65"/>
    <w:rsid w:val="00587B1D"/>
    <w:rsid w:val="00587D3F"/>
    <w:rsid w:val="00590180"/>
    <w:rsid w:val="005903C9"/>
    <w:rsid w:val="005907A0"/>
    <w:rsid w:val="005907C2"/>
    <w:rsid w:val="0059093F"/>
    <w:rsid w:val="00590F53"/>
    <w:rsid w:val="00591204"/>
    <w:rsid w:val="0059142C"/>
    <w:rsid w:val="00591642"/>
    <w:rsid w:val="00591D4B"/>
    <w:rsid w:val="0059202A"/>
    <w:rsid w:val="0059218D"/>
    <w:rsid w:val="0059260A"/>
    <w:rsid w:val="005936B6"/>
    <w:rsid w:val="00593B06"/>
    <w:rsid w:val="00593FFC"/>
    <w:rsid w:val="005942EB"/>
    <w:rsid w:val="00594330"/>
    <w:rsid w:val="005946D5"/>
    <w:rsid w:val="00594739"/>
    <w:rsid w:val="00594B1E"/>
    <w:rsid w:val="00594EFB"/>
    <w:rsid w:val="00594F7F"/>
    <w:rsid w:val="005950F4"/>
    <w:rsid w:val="00595C99"/>
    <w:rsid w:val="00596083"/>
    <w:rsid w:val="005966B9"/>
    <w:rsid w:val="005967DC"/>
    <w:rsid w:val="00596CB5"/>
    <w:rsid w:val="00596E0F"/>
    <w:rsid w:val="00596EC8"/>
    <w:rsid w:val="0059744D"/>
    <w:rsid w:val="00597E34"/>
    <w:rsid w:val="005A09A6"/>
    <w:rsid w:val="005A0CE9"/>
    <w:rsid w:val="005A11AA"/>
    <w:rsid w:val="005A1737"/>
    <w:rsid w:val="005A1C64"/>
    <w:rsid w:val="005A1CA4"/>
    <w:rsid w:val="005A2526"/>
    <w:rsid w:val="005A25C5"/>
    <w:rsid w:val="005A266A"/>
    <w:rsid w:val="005A2728"/>
    <w:rsid w:val="005A4000"/>
    <w:rsid w:val="005A421F"/>
    <w:rsid w:val="005A43F5"/>
    <w:rsid w:val="005A467A"/>
    <w:rsid w:val="005A49A6"/>
    <w:rsid w:val="005A4AA2"/>
    <w:rsid w:val="005A4DCF"/>
    <w:rsid w:val="005A5266"/>
    <w:rsid w:val="005A5894"/>
    <w:rsid w:val="005A5B43"/>
    <w:rsid w:val="005A5DA7"/>
    <w:rsid w:val="005A6A5C"/>
    <w:rsid w:val="005A71C4"/>
    <w:rsid w:val="005A79E3"/>
    <w:rsid w:val="005A7B14"/>
    <w:rsid w:val="005A7C5E"/>
    <w:rsid w:val="005B07A5"/>
    <w:rsid w:val="005B07AA"/>
    <w:rsid w:val="005B0876"/>
    <w:rsid w:val="005B0C53"/>
    <w:rsid w:val="005B0C65"/>
    <w:rsid w:val="005B103D"/>
    <w:rsid w:val="005B15CB"/>
    <w:rsid w:val="005B1751"/>
    <w:rsid w:val="005B1D9D"/>
    <w:rsid w:val="005B1DFA"/>
    <w:rsid w:val="005B2692"/>
    <w:rsid w:val="005B2BD4"/>
    <w:rsid w:val="005B34DF"/>
    <w:rsid w:val="005B362E"/>
    <w:rsid w:val="005B3BB8"/>
    <w:rsid w:val="005B414C"/>
    <w:rsid w:val="005B4890"/>
    <w:rsid w:val="005B50E2"/>
    <w:rsid w:val="005B51CF"/>
    <w:rsid w:val="005B54E8"/>
    <w:rsid w:val="005B5963"/>
    <w:rsid w:val="005B5EF2"/>
    <w:rsid w:val="005B5FF3"/>
    <w:rsid w:val="005B6030"/>
    <w:rsid w:val="005B6347"/>
    <w:rsid w:val="005B64B6"/>
    <w:rsid w:val="005B6AFC"/>
    <w:rsid w:val="005B6E50"/>
    <w:rsid w:val="005B71DE"/>
    <w:rsid w:val="005B792A"/>
    <w:rsid w:val="005C0A0F"/>
    <w:rsid w:val="005C1699"/>
    <w:rsid w:val="005C186E"/>
    <w:rsid w:val="005C21CC"/>
    <w:rsid w:val="005C24F9"/>
    <w:rsid w:val="005C2726"/>
    <w:rsid w:val="005C28D3"/>
    <w:rsid w:val="005C2A23"/>
    <w:rsid w:val="005C33C9"/>
    <w:rsid w:val="005C379A"/>
    <w:rsid w:val="005C463A"/>
    <w:rsid w:val="005C4643"/>
    <w:rsid w:val="005C5539"/>
    <w:rsid w:val="005C589B"/>
    <w:rsid w:val="005C5BE3"/>
    <w:rsid w:val="005C5DB7"/>
    <w:rsid w:val="005C652D"/>
    <w:rsid w:val="005C69A9"/>
    <w:rsid w:val="005C6AB5"/>
    <w:rsid w:val="005C6CDB"/>
    <w:rsid w:val="005C6F0B"/>
    <w:rsid w:val="005C71B5"/>
    <w:rsid w:val="005C76E3"/>
    <w:rsid w:val="005C7CA6"/>
    <w:rsid w:val="005D0ECA"/>
    <w:rsid w:val="005D138F"/>
    <w:rsid w:val="005D16D5"/>
    <w:rsid w:val="005D1C9F"/>
    <w:rsid w:val="005D1CEA"/>
    <w:rsid w:val="005D2491"/>
    <w:rsid w:val="005D269A"/>
    <w:rsid w:val="005D26C7"/>
    <w:rsid w:val="005D2DA7"/>
    <w:rsid w:val="005D2E24"/>
    <w:rsid w:val="005D3176"/>
    <w:rsid w:val="005D35F5"/>
    <w:rsid w:val="005D3765"/>
    <w:rsid w:val="005D3A44"/>
    <w:rsid w:val="005D3A8B"/>
    <w:rsid w:val="005D452A"/>
    <w:rsid w:val="005D4E4F"/>
    <w:rsid w:val="005D5085"/>
    <w:rsid w:val="005D5183"/>
    <w:rsid w:val="005D5748"/>
    <w:rsid w:val="005D5AF9"/>
    <w:rsid w:val="005D5E8A"/>
    <w:rsid w:val="005D61A6"/>
    <w:rsid w:val="005D62A5"/>
    <w:rsid w:val="005D66CC"/>
    <w:rsid w:val="005D6E33"/>
    <w:rsid w:val="005D70BD"/>
    <w:rsid w:val="005D777D"/>
    <w:rsid w:val="005E0107"/>
    <w:rsid w:val="005E09AC"/>
    <w:rsid w:val="005E12A9"/>
    <w:rsid w:val="005E1BAA"/>
    <w:rsid w:val="005E1BBA"/>
    <w:rsid w:val="005E2D62"/>
    <w:rsid w:val="005E30ED"/>
    <w:rsid w:val="005E3108"/>
    <w:rsid w:val="005E36E3"/>
    <w:rsid w:val="005E3E1F"/>
    <w:rsid w:val="005E3E83"/>
    <w:rsid w:val="005E4264"/>
    <w:rsid w:val="005E499C"/>
    <w:rsid w:val="005E4D1A"/>
    <w:rsid w:val="005E4F7E"/>
    <w:rsid w:val="005E51D2"/>
    <w:rsid w:val="005E53B9"/>
    <w:rsid w:val="005E557F"/>
    <w:rsid w:val="005E5693"/>
    <w:rsid w:val="005E594A"/>
    <w:rsid w:val="005E5B91"/>
    <w:rsid w:val="005E5C27"/>
    <w:rsid w:val="005E5E00"/>
    <w:rsid w:val="005E6017"/>
    <w:rsid w:val="005E67D3"/>
    <w:rsid w:val="005E6ECE"/>
    <w:rsid w:val="005F0070"/>
    <w:rsid w:val="005F0369"/>
    <w:rsid w:val="005F0865"/>
    <w:rsid w:val="005F091C"/>
    <w:rsid w:val="005F27A7"/>
    <w:rsid w:val="005F2A36"/>
    <w:rsid w:val="005F2C11"/>
    <w:rsid w:val="005F2E60"/>
    <w:rsid w:val="005F308B"/>
    <w:rsid w:val="005F3246"/>
    <w:rsid w:val="005F343F"/>
    <w:rsid w:val="005F3491"/>
    <w:rsid w:val="005F39B4"/>
    <w:rsid w:val="005F41B5"/>
    <w:rsid w:val="005F43E9"/>
    <w:rsid w:val="005F4518"/>
    <w:rsid w:val="005F4B23"/>
    <w:rsid w:val="005F4F71"/>
    <w:rsid w:val="005F5490"/>
    <w:rsid w:val="005F5514"/>
    <w:rsid w:val="005F5C86"/>
    <w:rsid w:val="005F64BA"/>
    <w:rsid w:val="005F689A"/>
    <w:rsid w:val="005F6945"/>
    <w:rsid w:val="005F69E7"/>
    <w:rsid w:val="005F6E74"/>
    <w:rsid w:val="005F730C"/>
    <w:rsid w:val="005F7E51"/>
    <w:rsid w:val="005F8211"/>
    <w:rsid w:val="006008A0"/>
    <w:rsid w:val="00600CFF"/>
    <w:rsid w:val="00600DA5"/>
    <w:rsid w:val="00600E32"/>
    <w:rsid w:val="00600EF9"/>
    <w:rsid w:val="00601B4B"/>
    <w:rsid w:val="00601F78"/>
    <w:rsid w:val="0060257F"/>
    <w:rsid w:val="00602BAE"/>
    <w:rsid w:val="006036D3"/>
    <w:rsid w:val="00603A39"/>
    <w:rsid w:val="00603AC5"/>
    <w:rsid w:val="0060441B"/>
    <w:rsid w:val="00604632"/>
    <w:rsid w:val="0060474A"/>
    <w:rsid w:val="006048CD"/>
    <w:rsid w:val="00604F08"/>
    <w:rsid w:val="0060501A"/>
    <w:rsid w:val="00605122"/>
    <w:rsid w:val="006051CE"/>
    <w:rsid w:val="0060520D"/>
    <w:rsid w:val="00605286"/>
    <w:rsid w:val="006055CF"/>
    <w:rsid w:val="006058C3"/>
    <w:rsid w:val="006059A5"/>
    <w:rsid w:val="00605AC8"/>
    <w:rsid w:val="00606034"/>
    <w:rsid w:val="0060699D"/>
    <w:rsid w:val="00606A0F"/>
    <w:rsid w:val="00607110"/>
    <w:rsid w:val="0060717A"/>
    <w:rsid w:val="006076B9"/>
    <w:rsid w:val="0060771C"/>
    <w:rsid w:val="0060785E"/>
    <w:rsid w:val="00607869"/>
    <w:rsid w:val="006078FC"/>
    <w:rsid w:val="006103DF"/>
    <w:rsid w:val="00611291"/>
    <w:rsid w:val="0061197D"/>
    <w:rsid w:val="00611AC8"/>
    <w:rsid w:val="00612160"/>
    <w:rsid w:val="0061221E"/>
    <w:rsid w:val="00612371"/>
    <w:rsid w:val="006128B7"/>
    <w:rsid w:val="00612A10"/>
    <w:rsid w:val="00612A42"/>
    <w:rsid w:val="00612CA9"/>
    <w:rsid w:val="0061323C"/>
    <w:rsid w:val="00613660"/>
    <w:rsid w:val="00613ADA"/>
    <w:rsid w:val="00613B07"/>
    <w:rsid w:val="00613F9B"/>
    <w:rsid w:val="00614237"/>
    <w:rsid w:val="00614294"/>
    <w:rsid w:val="00614522"/>
    <w:rsid w:val="00614736"/>
    <w:rsid w:val="0061504B"/>
    <w:rsid w:val="006150DC"/>
    <w:rsid w:val="00615626"/>
    <w:rsid w:val="006157FE"/>
    <w:rsid w:val="00615F5E"/>
    <w:rsid w:val="0061642E"/>
    <w:rsid w:val="00616624"/>
    <w:rsid w:val="00616773"/>
    <w:rsid w:val="00616E08"/>
    <w:rsid w:val="006171CA"/>
    <w:rsid w:val="006173CE"/>
    <w:rsid w:val="0061762C"/>
    <w:rsid w:val="00617888"/>
    <w:rsid w:val="0061790F"/>
    <w:rsid w:val="00617C7C"/>
    <w:rsid w:val="00617D07"/>
    <w:rsid w:val="00620255"/>
    <w:rsid w:val="006202F3"/>
    <w:rsid w:val="00620AD2"/>
    <w:rsid w:val="00620B36"/>
    <w:rsid w:val="00620BB6"/>
    <w:rsid w:val="00621811"/>
    <w:rsid w:val="0062298C"/>
    <w:rsid w:val="0062396A"/>
    <w:rsid w:val="00623983"/>
    <w:rsid w:val="00624046"/>
    <w:rsid w:val="00624809"/>
    <w:rsid w:val="00624B2E"/>
    <w:rsid w:val="00624D31"/>
    <w:rsid w:val="00624F64"/>
    <w:rsid w:val="00625BAF"/>
    <w:rsid w:val="00625F19"/>
    <w:rsid w:val="00626803"/>
    <w:rsid w:val="00626E5D"/>
    <w:rsid w:val="006279DB"/>
    <w:rsid w:val="00627B24"/>
    <w:rsid w:val="00627B8D"/>
    <w:rsid w:val="00627B99"/>
    <w:rsid w:val="00627C22"/>
    <w:rsid w:val="00627F6A"/>
    <w:rsid w:val="00630F37"/>
    <w:rsid w:val="0063103C"/>
    <w:rsid w:val="00632AA2"/>
    <w:rsid w:val="00634179"/>
    <w:rsid w:val="00634A97"/>
    <w:rsid w:val="00634AC7"/>
    <w:rsid w:val="00634BFA"/>
    <w:rsid w:val="006354EA"/>
    <w:rsid w:val="006355B3"/>
    <w:rsid w:val="0063564D"/>
    <w:rsid w:val="006360C2"/>
    <w:rsid w:val="00636538"/>
    <w:rsid w:val="00636662"/>
    <w:rsid w:val="006368E2"/>
    <w:rsid w:val="006370D4"/>
    <w:rsid w:val="0063781E"/>
    <w:rsid w:val="00637A04"/>
    <w:rsid w:val="00637B2E"/>
    <w:rsid w:val="00637BA7"/>
    <w:rsid w:val="00637DA6"/>
    <w:rsid w:val="00637EA0"/>
    <w:rsid w:val="0064037D"/>
    <w:rsid w:val="0064050C"/>
    <w:rsid w:val="0064068C"/>
    <w:rsid w:val="00640A9E"/>
    <w:rsid w:val="00640C7E"/>
    <w:rsid w:val="00642602"/>
    <w:rsid w:val="0064278D"/>
    <w:rsid w:val="0064292C"/>
    <w:rsid w:val="00642AC5"/>
    <w:rsid w:val="00642B45"/>
    <w:rsid w:val="00642CA3"/>
    <w:rsid w:val="0064390E"/>
    <w:rsid w:val="00643FA4"/>
    <w:rsid w:val="00644B9D"/>
    <w:rsid w:val="00644F1B"/>
    <w:rsid w:val="0064502E"/>
    <w:rsid w:val="006451FF"/>
    <w:rsid w:val="0064525E"/>
    <w:rsid w:val="00645498"/>
    <w:rsid w:val="006457D4"/>
    <w:rsid w:val="00645AD3"/>
    <w:rsid w:val="00645BBD"/>
    <w:rsid w:val="0064691A"/>
    <w:rsid w:val="00646CC5"/>
    <w:rsid w:val="00646CD8"/>
    <w:rsid w:val="00646D78"/>
    <w:rsid w:val="0064718B"/>
    <w:rsid w:val="00647274"/>
    <w:rsid w:val="006472C9"/>
    <w:rsid w:val="006473E9"/>
    <w:rsid w:val="0064742B"/>
    <w:rsid w:val="00647686"/>
    <w:rsid w:val="006476EC"/>
    <w:rsid w:val="006478BC"/>
    <w:rsid w:val="0064793B"/>
    <w:rsid w:val="00647A3E"/>
    <w:rsid w:val="00647A78"/>
    <w:rsid w:val="006500FF"/>
    <w:rsid w:val="006508CC"/>
    <w:rsid w:val="0065095C"/>
    <w:rsid w:val="006515F5"/>
    <w:rsid w:val="006517BE"/>
    <w:rsid w:val="00651A79"/>
    <w:rsid w:val="00651CCC"/>
    <w:rsid w:val="00651D74"/>
    <w:rsid w:val="006525AB"/>
    <w:rsid w:val="006528F8"/>
    <w:rsid w:val="006529F4"/>
    <w:rsid w:val="00652C15"/>
    <w:rsid w:val="0065331F"/>
    <w:rsid w:val="006538D6"/>
    <w:rsid w:val="00653D74"/>
    <w:rsid w:val="00653DD1"/>
    <w:rsid w:val="00654165"/>
    <w:rsid w:val="006545AB"/>
    <w:rsid w:val="00654A2D"/>
    <w:rsid w:val="00655135"/>
    <w:rsid w:val="006553F9"/>
    <w:rsid w:val="00655412"/>
    <w:rsid w:val="00655545"/>
    <w:rsid w:val="006557D7"/>
    <w:rsid w:val="00655874"/>
    <w:rsid w:val="00655A61"/>
    <w:rsid w:val="00655D87"/>
    <w:rsid w:val="00655EA4"/>
    <w:rsid w:val="00656395"/>
    <w:rsid w:val="006572E7"/>
    <w:rsid w:val="00657848"/>
    <w:rsid w:val="00660179"/>
    <w:rsid w:val="00660670"/>
    <w:rsid w:val="0066067B"/>
    <w:rsid w:val="00660687"/>
    <w:rsid w:val="00660F5D"/>
    <w:rsid w:val="006616F5"/>
    <w:rsid w:val="00661924"/>
    <w:rsid w:val="00661DEC"/>
    <w:rsid w:val="00662BB6"/>
    <w:rsid w:val="00662EC2"/>
    <w:rsid w:val="006636F7"/>
    <w:rsid w:val="00663FCF"/>
    <w:rsid w:val="0066415E"/>
    <w:rsid w:val="00664728"/>
    <w:rsid w:val="00664ACC"/>
    <w:rsid w:val="00664B19"/>
    <w:rsid w:val="00664C48"/>
    <w:rsid w:val="00664C4C"/>
    <w:rsid w:val="006655F5"/>
    <w:rsid w:val="006656E4"/>
    <w:rsid w:val="00666A5F"/>
    <w:rsid w:val="00666B69"/>
    <w:rsid w:val="00667569"/>
    <w:rsid w:val="00667726"/>
    <w:rsid w:val="00667F73"/>
    <w:rsid w:val="00671617"/>
    <w:rsid w:val="00671AB1"/>
    <w:rsid w:val="00671E9B"/>
    <w:rsid w:val="00672029"/>
    <w:rsid w:val="00672A6F"/>
    <w:rsid w:val="00672FEB"/>
    <w:rsid w:val="006733C0"/>
    <w:rsid w:val="006736C6"/>
    <w:rsid w:val="006746C6"/>
    <w:rsid w:val="00674A66"/>
    <w:rsid w:val="00674CF8"/>
    <w:rsid w:val="00675449"/>
    <w:rsid w:val="00675520"/>
    <w:rsid w:val="00675860"/>
    <w:rsid w:val="0067594B"/>
    <w:rsid w:val="00675D09"/>
    <w:rsid w:val="006760D1"/>
    <w:rsid w:val="0067674A"/>
    <w:rsid w:val="006767D8"/>
    <w:rsid w:val="00676816"/>
    <w:rsid w:val="006773DE"/>
    <w:rsid w:val="0067740D"/>
    <w:rsid w:val="00677729"/>
    <w:rsid w:val="00680152"/>
    <w:rsid w:val="00680F63"/>
    <w:rsid w:val="00681366"/>
    <w:rsid w:val="00681C6C"/>
    <w:rsid w:val="00681CC2"/>
    <w:rsid w:val="00681E94"/>
    <w:rsid w:val="0068237C"/>
    <w:rsid w:val="006825DF"/>
    <w:rsid w:val="006828CD"/>
    <w:rsid w:val="006829E3"/>
    <w:rsid w:val="00682A7E"/>
    <w:rsid w:val="006835D3"/>
    <w:rsid w:val="006836FC"/>
    <w:rsid w:val="00683A6E"/>
    <w:rsid w:val="00683E87"/>
    <w:rsid w:val="006857FE"/>
    <w:rsid w:val="006859F1"/>
    <w:rsid w:val="00685B01"/>
    <w:rsid w:val="00685FC6"/>
    <w:rsid w:val="00686243"/>
    <w:rsid w:val="00686C14"/>
    <w:rsid w:val="006874A2"/>
    <w:rsid w:val="006879DB"/>
    <w:rsid w:val="00687AF0"/>
    <w:rsid w:val="0069026E"/>
    <w:rsid w:val="00690288"/>
    <w:rsid w:val="0069042E"/>
    <w:rsid w:val="006904FB"/>
    <w:rsid w:val="006909FB"/>
    <w:rsid w:val="006914CA"/>
    <w:rsid w:val="00692771"/>
    <w:rsid w:val="0069279F"/>
    <w:rsid w:val="00693092"/>
    <w:rsid w:val="006930B6"/>
    <w:rsid w:val="006932AE"/>
    <w:rsid w:val="00693CAD"/>
    <w:rsid w:val="00694991"/>
    <w:rsid w:val="006950D6"/>
    <w:rsid w:val="00695AAF"/>
    <w:rsid w:val="00695B73"/>
    <w:rsid w:val="00695E36"/>
    <w:rsid w:val="0069610B"/>
    <w:rsid w:val="00696510"/>
    <w:rsid w:val="0069698D"/>
    <w:rsid w:val="00696ECA"/>
    <w:rsid w:val="006976E7"/>
    <w:rsid w:val="0069773A"/>
    <w:rsid w:val="00697D65"/>
    <w:rsid w:val="00697E0C"/>
    <w:rsid w:val="00697E48"/>
    <w:rsid w:val="006A018C"/>
    <w:rsid w:val="006A0572"/>
    <w:rsid w:val="006A05B0"/>
    <w:rsid w:val="006A0C01"/>
    <w:rsid w:val="006A0C75"/>
    <w:rsid w:val="006A0D88"/>
    <w:rsid w:val="006A0FC5"/>
    <w:rsid w:val="006A1249"/>
    <w:rsid w:val="006A168F"/>
    <w:rsid w:val="006A22B2"/>
    <w:rsid w:val="006A2358"/>
    <w:rsid w:val="006A24A8"/>
    <w:rsid w:val="006A2CEB"/>
    <w:rsid w:val="006A3407"/>
    <w:rsid w:val="006A34FB"/>
    <w:rsid w:val="006A4AB8"/>
    <w:rsid w:val="006A4CB6"/>
    <w:rsid w:val="006A4D38"/>
    <w:rsid w:val="006A5466"/>
    <w:rsid w:val="006A5928"/>
    <w:rsid w:val="006A5D7B"/>
    <w:rsid w:val="006A5DBE"/>
    <w:rsid w:val="006A621A"/>
    <w:rsid w:val="006A656F"/>
    <w:rsid w:val="006A6AEA"/>
    <w:rsid w:val="006A6C2C"/>
    <w:rsid w:val="006A6E53"/>
    <w:rsid w:val="006A6FF2"/>
    <w:rsid w:val="006A717F"/>
    <w:rsid w:val="006A7612"/>
    <w:rsid w:val="006A7DC9"/>
    <w:rsid w:val="006A7F12"/>
    <w:rsid w:val="006A7F45"/>
    <w:rsid w:val="006B0C9F"/>
    <w:rsid w:val="006B1B5F"/>
    <w:rsid w:val="006B24D8"/>
    <w:rsid w:val="006B26BC"/>
    <w:rsid w:val="006B2C67"/>
    <w:rsid w:val="006B3094"/>
    <w:rsid w:val="006B32C2"/>
    <w:rsid w:val="006B3367"/>
    <w:rsid w:val="006B3643"/>
    <w:rsid w:val="006B3A1F"/>
    <w:rsid w:val="006B3A74"/>
    <w:rsid w:val="006B4349"/>
    <w:rsid w:val="006B4B05"/>
    <w:rsid w:val="006B4DB0"/>
    <w:rsid w:val="006B4E5A"/>
    <w:rsid w:val="006B5D4B"/>
    <w:rsid w:val="006B6214"/>
    <w:rsid w:val="006B6811"/>
    <w:rsid w:val="006B6899"/>
    <w:rsid w:val="006B6986"/>
    <w:rsid w:val="006B7310"/>
    <w:rsid w:val="006B76C5"/>
    <w:rsid w:val="006B77B0"/>
    <w:rsid w:val="006B7B2A"/>
    <w:rsid w:val="006B7D12"/>
    <w:rsid w:val="006B7E03"/>
    <w:rsid w:val="006B7E46"/>
    <w:rsid w:val="006B7FD0"/>
    <w:rsid w:val="006C01A3"/>
    <w:rsid w:val="006C0698"/>
    <w:rsid w:val="006C0EC8"/>
    <w:rsid w:val="006C1111"/>
    <w:rsid w:val="006C1344"/>
    <w:rsid w:val="006C16BA"/>
    <w:rsid w:val="006C178B"/>
    <w:rsid w:val="006C1D2B"/>
    <w:rsid w:val="006C215B"/>
    <w:rsid w:val="006C25B8"/>
    <w:rsid w:val="006C26E3"/>
    <w:rsid w:val="006C2727"/>
    <w:rsid w:val="006C2840"/>
    <w:rsid w:val="006C2919"/>
    <w:rsid w:val="006C294E"/>
    <w:rsid w:val="006C31E2"/>
    <w:rsid w:val="006C3AF6"/>
    <w:rsid w:val="006C3CB2"/>
    <w:rsid w:val="006C3DC5"/>
    <w:rsid w:val="006C478C"/>
    <w:rsid w:val="006C4F0E"/>
    <w:rsid w:val="006C501C"/>
    <w:rsid w:val="006C581D"/>
    <w:rsid w:val="006C5FC9"/>
    <w:rsid w:val="006C6696"/>
    <w:rsid w:val="006C67B5"/>
    <w:rsid w:val="006C6A67"/>
    <w:rsid w:val="006C6C0A"/>
    <w:rsid w:val="006C729D"/>
    <w:rsid w:val="006C737E"/>
    <w:rsid w:val="006C76A9"/>
    <w:rsid w:val="006C78FE"/>
    <w:rsid w:val="006C7AF0"/>
    <w:rsid w:val="006D0606"/>
    <w:rsid w:val="006D07DE"/>
    <w:rsid w:val="006D0A93"/>
    <w:rsid w:val="006D0F3E"/>
    <w:rsid w:val="006D1AC9"/>
    <w:rsid w:val="006D200B"/>
    <w:rsid w:val="006D24D4"/>
    <w:rsid w:val="006D272D"/>
    <w:rsid w:val="006D2C75"/>
    <w:rsid w:val="006D2DE4"/>
    <w:rsid w:val="006D3441"/>
    <w:rsid w:val="006D3541"/>
    <w:rsid w:val="006D375C"/>
    <w:rsid w:val="006D38C9"/>
    <w:rsid w:val="006D3D74"/>
    <w:rsid w:val="006D4603"/>
    <w:rsid w:val="006D4839"/>
    <w:rsid w:val="006D49FF"/>
    <w:rsid w:val="006D5126"/>
    <w:rsid w:val="006D68BB"/>
    <w:rsid w:val="006D6BAE"/>
    <w:rsid w:val="006D6BB4"/>
    <w:rsid w:val="006D6FEB"/>
    <w:rsid w:val="006D7295"/>
    <w:rsid w:val="006D73D8"/>
    <w:rsid w:val="006D75D0"/>
    <w:rsid w:val="006D774D"/>
    <w:rsid w:val="006E07E7"/>
    <w:rsid w:val="006E0BA5"/>
    <w:rsid w:val="006E0CCE"/>
    <w:rsid w:val="006E1016"/>
    <w:rsid w:val="006E1089"/>
    <w:rsid w:val="006E1555"/>
    <w:rsid w:val="006E15F3"/>
    <w:rsid w:val="006E184F"/>
    <w:rsid w:val="006E191B"/>
    <w:rsid w:val="006E1988"/>
    <w:rsid w:val="006E23F7"/>
    <w:rsid w:val="006E2426"/>
    <w:rsid w:val="006E3344"/>
    <w:rsid w:val="006E345F"/>
    <w:rsid w:val="006E349D"/>
    <w:rsid w:val="006E358B"/>
    <w:rsid w:val="006E3607"/>
    <w:rsid w:val="006E3616"/>
    <w:rsid w:val="006E3A0B"/>
    <w:rsid w:val="006E3A49"/>
    <w:rsid w:val="006E3B5B"/>
    <w:rsid w:val="006E3EE1"/>
    <w:rsid w:val="006E401F"/>
    <w:rsid w:val="006E45CB"/>
    <w:rsid w:val="006E4896"/>
    <w:rsid w:val="006E4933"/>
    <w:rsid w:val="006E4A0A"/>
    <w:rsid w:val="006E4F20"/>
    <w:rsid w:val="006E4FB5"/>
    <w:rsid w:val="006E502D"/>
    <w:rsid w:val="006E56D5"/>
    <w:rsid w:val="006E577B"/>
    <w:rsid w:val="006E5A30"/>
    <w:rsid w:val="006E5BB3"/>
    <w:rsid w:val="006E5BBD"/>
    <w:rsid w:val="006E5DC9"/>
    <w:rsid w:val="006E6171"/>
    <w:rsid w:val="006E64A2"/>
    <w:rsid w:val="006E6C36"/>
    <w:rsid w:val="006E6D3B"/>
    <w:rsid w:val="006E6F14"/>
    <w:rsid w:val="006E6F31"/>
    <w:rsid w:val="006F083A"/>
    <w:rsid w:val="006F0EDE"/>
    <w:rsid w:val="006F1041"/>
    <w:rsid w:val="006F1369"/>
    <w:rsid w:val="006F1389"/>
    <w:rsid w:val="006F206A"/>
    <w:rsid w:val="006F210E"/>
    <w:rsid w:val="006F21E2"/>
    <w:rsid w:val="006F290E"/>
    <w:rsid w:val="006F35E6"/>
    <w:rsid w:val="006F393E"/>
    <w:rsid w:val="006F3B51"/>
    <w:rsid w:val="006F429F"/>
    <w:rsid w:val="006F4339"/>
    <w:rsid w:val="006F4A9C"/>
    <w:rsid w:val="006F4E35"/>
    <w:rsid w:val="006F521B"/>
    <w:rsid w:val="006F57A4"/>
    <w:rsid w:val="006F5945"/>
    <w:rsid w:val="006F5BA8"/>
    <w:rsid w:val="006F5F3E"/>
    <w:rsid w:val="006F6AAB"/>
    <w:rsid w:val="006F6ACC"/>
    <w:rsid w:val="006F6ADF"/>
    <w:rsid w:val="006F6B82"/>
    <w:rsid w:val="006F6EC0"/>
    <w:rsid w:val="006F7839"/>
    <w:rsid w:val="006F78A0"/>
    <w:rsid w:val="006F7A8F"/>
    <w:rsid w:val="0070000C"/>
    <w:rsid w:val="0070009C"/>
    <w:rsid w:val="00700372"/>
    <w:rsid w:val="007006E8"/>
    <w:rsid w:val="00700862"/>
    <w:rsid w:val="00700E4D"/>
    <w:rsid w:val="0070115F"/>
    <w:rsid w:val="0070160E"/>
    <w:rsid w:val="00701D98"/>
    <w:rsid w:val="00702147"/>
    <w:rsid w:val="0070298B"/>
    <w:rsid w:val="00702E45"/>
    <w:rsid w:val="007032AC"/>
    <w:rsid w:val="00703463"/>
    <w:rsid w:val="0070356A"/>
    <w:rsid w:val="0070389D"/>
    <w:rsid w:val="00704227"/>
    <w:rsid w:val="007043CA"/>
    <w:rsid w:val="00704C7A"/>
    <w:rsid w:val="00704ED9"/>
    <w:rsid w:val="00704F5C"/>
    <w:rsid w:val="00705143"/>
    <w:rsid w:val="00705339"/>
    <w:rsid w:val="00706252"/>
    <w:rsid w:val="00706A89"/>
    <w:rsid w:val="007071A0"/>
    <w:rsid w:val="007076F8"/>
    <w:rsid w:val="007106A2"/>
    <w:rsid w:val="00710815"/>
    <w:rsid w:val="00710933"/>
    <w:rsid w:val="00710A29"/>
    <w:rsid w:val="00710B3B"/>
    <w:rsid w:val="00710B9E"/>
    <w:rsid w:val="00710C80"/>
    <w:rsid w:val="00710DC5"/>
    <w:rsid w:val="00711194"/>
    <w:rsid w:val="0071161C"/>
    <w:rsid w:val="007119AA"/>
    <w:rsid w:val="00711B03"/>
    <w:rsid w:val="00711B78"/>
    <w:rsid w:val="00711CAD"/>
    <w:rsid w:val="00711D77"/>
    <w:rsid w:val="00711DBD"/>
    <w:rsid w:val="00711FB1"/>
    <w:rsid w:val="0071201C"/>
    <w:rsid w:val="0071226E"/>
    <w:rsid w:val="007124C7"/>
    <w:rsid w:val="007129DE"/>
    <w:rsid w:val="00712C72"/>
    <w:rsid w:val="00712EF5"/>
    <w:rsid w:val="00713434"/>
    <w:rsid w:val="007136E5"/>
    <w:rsid w:val="007138D0"/>
    <w:rsid w:val="00713CEE"/>
    <w:rsid w:val="00715969"/>
    <w:rsid w:val="00715FE1"/>
    <w:rsid w:val="0071639C"/>
    <w:rsid w:val="007167A9"/>
    <w:rsid w:val="00716989"/>
    <w:rsid w:val="00716D2A"/>
    <w:rsid w:val="007174EB"/>
    <w:rsid w:val="00717775"/>
    <w:rsid w:val="0071797A"/>
    <w:rsid w:val="00717E51"/>
    <w:rsid w:val="00720425"/>
    <w:rsid w:val="007204D0"/>
    <w:rsid w:val="00720617"/>
    <w:rsid w:val="0072072F"/>
    <w:rsid w:val="00720999"/>
    <w:rsid w:val="0072159E"/>
    <w:rsid w:val="0072172B"/>
    <w:rsid w:val="00721D50"/>
    <w:rsid w:val="00721FA7"/>
    <w:rsid w:val="00722203"/>
    <w:rsid w:val="00722FDC"/>
    <w:rsid w:val="00723456"/>
    <w:rsid w:val="00723D0E"/>
    <w:rsid w:val="00723D4A"/>
    <w:rsid w:val="00723DA1"/>
    <w:rsid w:val="00724873"/>
    <w:rsid w:val="00724A9C"/>
    <w:rsid w:val="0072517F"/>
    <w:rsid w:val="007256B6"/>
    <w:rsid w:val="00725793"/>
    <w:rsid w:val="00725844"/>
    <w:rsid w:val="00725EA7"/>
    <w:rsid w:val="00726C8A"/>
    <w:rsid w:val="00726D72"/>
    <w:rsid w:val="00726DB2"/>
    <w:rsid w:val="007273A8"/>
    <w:rsid w:val="007273E2"/>
    <w:rsid w:val="00727777"/>
    <w:rsid w:val="007278F0"/>
    <w:rsid w:val="00727BBD"/>
    <w:rsid w:val="00727F6B"/>
    <w:rsid w:val="007300C2"/>
    <w:rsid w:val="0073031C"/>
    <w:rsid w:val="007304F5"/>
    <w:rsid w:val="00730518"/>
    <w:rsid w:val="00730B65"/>
    <w:rsid w:val="00730E67"/>
    <w:rsid w:val="00730F16"/>
    <w:rsid w:val="00731240"/>
    <w:rsid w:val="007315D5"/>
    <w:rsid w:val="007321FC"/>
    <w:rsid w:val="007324FD"/>
    <w:rsid w:val="00732A39"/>
    <w:rsid w:val="00732E79"/>
    <w:rsid w:val="00732EF3"/>
    <w:rsid w:val="00732F29"/>
    <w:rsid w:val="00732F42"/>
    <w:rsid w:val="0073334F"/>
    <w:rsid w:val="007339EB"/>
    <w:rsid w:val="00733E57"/>
    <w:rsid w:val="00734B8E"/>
    <w:rsid w:val="00735BD7"/>
    <w:rsid w:val="00735DB6"/>
    <w:rsid w:val="00735FE9"/>
    <w:rsid w:val="00736808"/>
    <w:rsid w:val="007369DA"/>
    <w:rsid w:val="00736EA3"/>
    <w:rsid w:val="0073726F"/>
    <w:rsid w:val="00737BB6"/>
    <w:rsid w:val="00740FE5"/>
    <w:rsid w:val="00741323"/>
    <w:rsid w:val="00741454"/>
    <w:rsid w:val="00741DC6"/>
    <w:rsid w:val="00742796"/>
    <w:rsid w:val="007435B8"/>
    <w:rsid w:val="00743760"/>
    <w:rsid w:val="00743825"/>
    <w:rsid w:val="00744146"/>
    <w:rsid w:val="00744F81"/>
    <w:rsid w:val="00745144"/>
    <w:rsid w:val="0074517B"/>
    <w:rsid w:val="007459EE"/>
    <w:rsid w:val="00745C2C"/>
    <w:rsid w:val="0074606B"/>
    <w:rsid w:val="007461AC"/>
    <w:rsid w:val="007461E6"/>
    <w:rsid w:val="0074634D"/>
    <w:rsid w:val="00746732"/>
    <w:rsid w:val="0074686B"/>
    <w:rsid w:val="00746A68"/>
    <w:rsid w:val="00746ECE"/>
    <w:rsid w:val="0074701B"/>
    <w:rsid w:val="007470BE"/>
    <w:rsid w:val="007470FF"/>
    <w:rsid w:val="00747397"/>
    <w:rsid w:val="0075035E"/>
    <w:rsid w:val="007503BE"/>
    <w:rsid w:val="007508EA"/>
    <w:rsid w:val="00750C14"/>
    <w:rsid w:val="00750D13"/>
    <w:rsid w:val="00751011"/>
    <w:rsid w:val="0075118C"/>
    <w:rsid w:val="00751636"/>
    <w:rsid w:val="00751754"/>
    <w:rsid w:val="00751A1F"/>
    <w:rsid w:val="0075251F"/>
    <w:rsid w:val="007525E6"/>
    <w:rsid w:val="007527A8"/>
    <w:rsid w:val="0075289D"/>
    <w:rsid w:val="00752920"/>
    <w:rsid w:val="00752D48"/>
    <w:rsid w:val="0075385B"/>
    <w:rsid w:val="007538DA"/>
    <w:rsid w:val="007546EB"/>
    <w:rsid w:val="00754907"/>
    <w:rsid w:val="00754BC8"/>
    <w:rsid w:val="00754ED0"/>
    <w:rsid w:val="007553D8"/>
    <w:rsid w:val="0075555A"/>
    <w:rsid w:val="0075568A"/>
    <w:rsid w:val="0075594D"/>
    <w:rsid w:val="00755B4D"/>
    <w:rsid w:val="0075600B"/>
    <w:rsid w:val="00756B1B"/>
    <w:rsid w:val="00756D75"/>
    <w:rsid w:val="007573E0"/>
    <w:rsid w:val="00757802"/>
    <w:rsid w:val="00757943"/>
    <w:rsid w:val="0075FD1A"/>
    <w:rsid w:val="0076019F"/>
    <w:rsid w:val="0076076A"/>
    <w:rsid w:val="00760853"/>
    <w:rsid w:val="007608D4"/>
    <w:rsid w:val="00760BBD"/>
    <w:rsid w:val="00760D94"/>
    <w:rsid w:val="00761036"/>
    <w:rsid w:val="007610B3"/>
    <w:rsid w:val="00761202"/>
    <w:rsid w:val="00761B54"/>
    <w:rsid w:val="00761ECE"/>
    <w:rsid w:val="00762848"/>
    <w:rsid w:val="00762907"/>
    <w:rsid w:val="00762CAB"/>
    <w:rsid w:val="00762F1C"/>
    <w:rsid w:val="0076341B"/>
    <w:rsid w:val="0076391B"/>
    <w:rsid w:val="00764061"/>
    <w:rsid w:val="00764727"/>
    <w:rsid w:val="00764C49"/>
    <w:rsid w:val="00764E89"/>
    <w:rsid w:val="00765288"/>
    <w:rsid w:val="0076546C"/>
    <w:rsid w:val="007657B5"/>
    <w:rsid w:val="007657D7"/>
    <w:rsid w:val="0076593B"/>
    <w:rsid w:val="007659AA"/>
    <w:rsid w:val="00766A79"/>
    <w:rsid w:val="00766C56"/>
    <w:rsid w:val="00766D43"/>
    <w:rsid w:val="007670FF"/>
    <w:rsid w:val="0076712F"/>
    <w:rsid w:val="00767287"/>
    <w:rsid w:val="00767728"/>
    <w:rsid w:val="00767BE2"/>
    <w:rsid w:val="00767FEC"/>
    <w:rsid w:val="007704EB"/>
    <w:rsid w:val="0077061D"/>
    <w:rsid w:val="00770E5E"/>
    <w:rsid w:val="0077137E"/>
    <w:rsid w:val="00771876"/>
    <w:rsid w:val="00771936"/>
    <w:rsid w:val="00771EAA"/>
    <w:rsid w:val="0077203D"/>
    <w:rsid w:val="00772907"/>
    <w:rsid w:val="00772A02"/>
    <w:rsid w:val="00772DE7"/>
    <w:rsid w:val="0077341F"/>
    <w:rsid w:val="007736D6"/>
    <w:rsid w:val="00773969"/>
    <w:rsid w:val="00773AA5"/>
    <w:rsid w:val="00773B44"/>
    <w:rsid w:val="007742B9"/>
    <w:rsid w:val="00774505"/>
    <w:rsid w:val="00774856"/>
    <w:rsid w:val="00774CA4"/>
    <w:rsid w:val="00775051"/>
    <w:rsid w:val="0077531D"/>
    <w:rsid w:val="00775551"/>
    <w:rsid w:val="00776170"/>
    <w:rsid w:val="007766B1"/>
    <w:rsid w:val="00776A8F"/>
    <w:rsid w:val="00776D19"/>
    <w:rsid w:val="00776F4B"/>
    <w:rsid w:val="00777B5C"/>
    <w:rsid w:val="00777B9C"/>
    <w:rsid w:val="007800DC"/>
    <w:rsid w:val="00780668"/>
    <w:rsid w:val="00780B1A"/>
    <w:rsid w:val="0078115C"/>
    <w:rsid w:val="00781574"/>
    <w:rsid w:val="007815B8"/>
    <w:rsid w:val="00781713"/>
    <w:rsid w:val="00781A2F"/>
    <w:rsid w:val="00781C36"/>
    <w:rsid w:val="0078230C"/>
    <w:rsid w:val="007823B5"/>
    <w:rsid w:val="007829D7"/>
    <w:rsid w:val="00783516"/>
    <w:rsid w:val="00783897"/>
    <w:rsid w:val="00783DBA"/>
    <w:rsid w:val="00783EBD"/>
    <w:rsid w:val="00783F38"/>
    <w:rsid w:val="007842A6"/>
    <w:rsid w:val="00784453"/>
    <w:rsid w:val="007845D2"/>
    <w:rsid w:val="00784A6A"/>
    <w:rsid w:val="00784BD8"/>
    <w:rsid w:val="00785146"/>
    <w:rsid w:val="00785195"/>
    <w:rsid w:val="00785BA4"/>
    <w:rsid w:val="007860DA"/>
    <w:rsid w:val="0078627A"/>
    <w:rsid w:val="00786DBC"/>
    <w:rsid w:val="00787205"/>
    <w:rsid w:val="00787CA5"/>
    <w:rsid w:val="007903EE"/>
    <w:rsid w:val="0079070F"/>
    <w:rsid w:val="007909D0"/>
    <w:rsid w:val="00790B21"/>
    <w:rsid w:val="00790D11"/>
    <w:rsid w:val="007911EC"/>
    <w:rsid w:val="00791E3B"/>
    <w:rsid w:val="007925ED"/>
    <w:rsid w:val="00792CE8"/>
    <w:rsid w:val="00792F2B"/>
    <w:rsid w:val="00793016"/>
    <w:rsid w:val="007939E0"/>
    <w:rsid w:val="00793A40"/>
    <w:rsid w:val="00793AED"/>
    <w:rsid w:val="00794057"/>
    <w:rsid w:val="00794297"/>
    <w:rsid w:val="00794596"/>
    <w:rsid w:val="0079467E"/>
    <w:rsid w:val="00794B92"/>
    <w:rsid w:val="00794D5A"/>
    <w:rsid w:val="007953FB"/>
    <w:rsid w:val="007958AA"/>
    <w:rsid w:val="00795BB6"/>
    <w:rsid w:val="00795C1D"/>
    <w:rsid w:val="00795E6A"/>
    <w:rsid w:val="00795F3B"/>
    <w:rsid w:val="00796144"/>
    <w:rsid w:val="00796219"/>
    <w:rsid w:val="007971EF"/>
    <w:rsid w:val="00797D0E"/>
    <w:rsid w:val="007A0811"/>
    <w:rsid w:val="007A0DC8"/>
    <w:rsid w:val="007A0FAD"/>
    <w:rsid w:val="007A1246"/>
    <w:rsid w:val="007A346C"/>
    <w:rsid w:val="007A45DD"/>
    <w:rsid w:val="007A496E"/>
    <w:rsid w:val="007A4E7B"/>
    <w:rsid w:val="007A5896"/>
    <w:rsid w:val="007A591E"/>
    <w:rsid w:val="007A5AF5"/>
    <w:rsid w:val="007A641A"/>
    <w:rsid w:val="007A65A5"/>
    <w:rsid w:val="007A6D34"/>
    <w:rsid w:val="007A7546"/>
    <w:rsid w:val="007A76D3"/>
    <w:rsid w:val="007A7D0F"/>
    <w:rsid w:val="007A7D48"/>
    <w:rsid w:val="007B009C"/>
    <w:rsid w:val="007B0126"/>
    <w:rsid w:val="007B01B2"/>
    <w:rsid w:val="007B0797"/>
    <w:rsid w:val="007B0E3D"/>
    <w:rsid w:val="007B100F"/>
    <w:rsid w:val="007B12A0"/>
    <w:rsid w:val="007B18A7"/>
    <w:rsid w:val="007B193F"/>
    <w:rsid w:val="007B1CA2"/>
    <w:rsid w:val="007B221D"/>
    <w:rsid w:val="007B29D1"/>
    <w:rsid w:val="007B319B"/>
    <w:rsid w:val="007B389D"/>
    <w:rsid w:val="007B3939"/>
    <w:rsid w:val="007B4714"/>
    <w:rsid w:val="007B5218"/>
    <w:rsid w:val="007B61AC"/>
    <w:rsid w:val="007B6B96"/>
    <w:rsid w:val="007B70FB"/>
    <w:rsid w:val="007B74C2"/>
    <w:rsid w:val="007B76F4"/>
    <w:rsid w:val="007B780A"/>
    <w:rsid w:val="007B7FB5"/>
    <w:rsid w:val="007B7FD7"/>
    <w:rsid w:val="007C0562"/>
    <w:rsid w:val="007C104B"/>
    <w:rsid w:val="007C1250"/>
    <w:rsid w:val="007C13D8"/>
    <w:rsid w:val="007C16AF"/>
    <w:rsid w:val="007C2133"/>
    <w:rsid w:val="007C2A94"/>
    <w:rsid w:val="007C2B93"/>
    <w:rsid w:val="007C2CEE"/>
    <w:rsid w:val="007C2F7F"/>
    <w:rsid w:val="007C2FBD"/>
    <w:rsid w:val="007C3557"/>
    <w:rsid w:val="007C4C47"/>
    <w:rsid w:val="007C51F9"/>
    <w:rsid w:val="007C5481"/>
    <w:rsid w:val="007C59DC"/>
    <w:rsid w:val="007C62DB"/>
    <w:rsid w:val="007C70D5"/>
    <w:rsid w:val="007C7500"/>
    <w:rsid w:val="007D003F"/>
    <w:rsid w:val="007D043E"/>
    <w:rsid w:val="007D0CB5"/>
    <w:rsid w:val="007D0EB0"/>
    <w:rsid w:val="007D1064"/>
    <w:rsid w:val="007D19CA"/>
    <w:rsid w:val="007D2FBF"/>
    <w:rsid w:val="007D3FAC"/>
    <w:rsid w:val="007D42E3"/>
    <w:rsid w:val="007D4642"/>
    <w:rsid w:val="007D4D03"/>
    <w:rsid w:val="007D4F57"/>
    <w:rsid w:val="007D50A1"/>
    <w:rsid w:val="007D5859"/>
    <w:rsid w:val="007D59E9"/>
    <w:rsid w:val="007D5FAE"/>
    <w:rsid w:val="007D624E"/>
    <w:rsid w:val="007D6925"/>
    <w:rsid w:val="007D70B4"/>
    <w:rsid w:val="007D717A"/>
    <w:rsid w:val="007D745D"/>
    <w:rsid w:val="007D75F2"/>
    <w:rsid w:val="007D78A1"/>
    <w:rsid w:val="007E0017"/>
    <w:rsid w:val="007E02CD"/>
    <w:rsid w:val="007E04D5"/>
    <w:rsid w:val="007E072D"/>
    <w:rsid w:val="007E11CA"/>
    <w:rsid w:val="007E136B"/>
    <w:rsid w:val="007E1953"/>
    <w:rsid w:val="007E1D74"/>
    <w:rsid w:val="007E2047"/>
    <w:rsid w:val="007E27CD"/>
    <w:rsid w:val="007E2D5B"/>
    <w:rsid w:val="007E4BBE"/>
    <w:rsid w:val="007E4DBB"/>
    <w:rsid w:val="007E6139"/>
    <w:rsid w:val="007E6524"/>
    <w:rsid w:val="007E65D4"/>
    <w:rsid w:val="007E6732"/>
    <w:rsid w:val="007E6D9B"/>
    <w:rsid w:val="007E7032"/>
    <w:rsid w:val="007E7346"/>
    <w:rsid w:val="007E7F1C"/>
    <w:rsid w:val="007EFA44"/>
    <w:rsid w:val="007F02AA"/>
    <w:rsid w:val="007F03C1"/>
    <w:rsid w:val="007F051B"/>
    <w:rsid w:val="007F055A"/>
    <w:rsid w:val="007F0BB4"/>
    <w:rsid w:val="007F0BD9"/>
    <w:rsid w:val="007F0E4B"/>
    <w:rsid w:val="007F0F35"/>
    <w:rsid w:val="007F0FE1"/>
    <w:rsid w:val="007F106F"/>
    <w:rsid w:val="007F14D2"/>
    <w:rsid w:val="007F170F"/>
    <w:rsid w:val="007F1E29"/>
    <w:rsid w:val="007F2AA5"/>
    <w:rsid w:val="007F2B77"/>
    <w:rsid w:val="007F2EDC"/>
    <w:rsid w:val="007F32BC"/>
    <w:rsid w:val="007F345A"/>
    <w:rsid w:val="007F3606"/>
    <w:rsid w:val="007F36DC"/>
    <w:rsid w:val="007F3909"/>
    <w:rsid w:val="007F3EB3"/>
    <w:rsid w:val="007F4189"/>
    <w:rsid w:val="007F46AD"/>
    <w:rsid w:val="007F4706"/>
    <w:rsid w:val="007F4739"/>
    <w:rsid w:val="007F478B"/>
    <w:rsid w:val="007F4A16"/>
    <w:rsid w:val="007F4AB5"/>
    <w:rsid w:val="007F4D8D"/>
    <w:rsid w:val="007F52AA"/>
    <w:rsid w:val="007F54AF"/>
    <w:rsid w:val="007F567D"/>
    <w:rsid w:val="007F5755"/>
    <w:rsid w:val="007F6E1F"/>
    <w:rsid w:val="007F6E49"/>
    <w:rsid w:val="007F78E1"/>
    <w:rsid w:val="007F7A31"/>
    <w:rsid w:val="00800F2D"/>
    <w:rsid w:val="00801382"/>
    <w:rsid w:val="00801427"/>
    <w:rsid w:val="00801FCF"/>
    <w:rsid w:val="0080228A"/>
    <w:rsid w:val="0080264B"/>
    <w:rsid w:val="00802AD9"/>
    <w:rsid w:val="00802CB2"/>
    <w:rsid w:val="00803224"/>
    <w:rsid w:val="008034DE"/>
    <w:rsid w:val="0080367C"/>
    <w:rsid w:val="008036BD"/>
    <w:rsid w:val="008038F3"/>
    <w:rsid w:val="00803983"/>
    <w:rsid w:val="00803B20"/>
    <w:rsid w:val="008040E0"/>
    <w:rsid w:val="008041C3"/>
    <w:rsid w:val="008044E1"/>
    <w:rsid w:val="00804602"/>
    <w:rsid w:val="008049DD"/>
    <w:rsid w:val="00804DC9"/>
    <w:rsid w:val="00804EB4"/>
    <w:rsid w:val="00805442"/>
    <w:rsid w:val="00805594"/>
    <w:rsid w:val="00805930"/>
    <w:rsid w:val="00806020"/>
    <w:rsid w:val="008062CB"/>
    <w:rsid w:val="00806391"/>
    <w:rsid w:val="00806C55"/>
    <w:rsid w:val="0080737C"/>
    <w:rsid w:val="008074AF"/>
    <w:rsid w:val="00807790"/>
    <w:rsid w:val="00807820"/>
    <w:rsid w:val="00810186"/>
    <w:rsid w:val="0081061C"/>
    <w:rsid w:val="00810D8D"/>
    <w:rsid w:val="008114A7"/>
    <w:rsid w:val="00812CEF"/>
    <w:rsid w:val="0081315C"/>
    <w:rsid w:val="008135F4"/>
    <w:rsid w:val="00813C40"/>
    <w:rsid w:val="008147C4"/>
    <w:rsid w:val="00814E6B"/>
    <w:rsid w:val="008153C5"/>
    <w:rsid w:val="008155F9"/>
    <w:rsid w:val="008157CE"/>
    <w:rsid w:val="00815DCF"/>
    <w:rsid w:val="00816EC0"/>
    <w:rsid w:val="0081718B"/>
    <w:rsid w:val="0081741C"/>
    <w:rsid w:val="00817E1D"/>
    <w:rsid w:val="00817F64"/>
    <w:rsid w:val="00817FDE"/>
    <w:rsid w:val="00820207"/>
    <w:rsid w:val="00820398"/>
    <w:rsid w:val="00820EFB"/>
    <w:rsid w:val="0082132D"/>
    <w:rsid w:val="008218EA"/>
    <w:rsid w:val="00821E28"/>
    <w:rsid w:val="00821E50"/>
    <w:rsid w:val="008225DB"/>
    <w:rsid w:val="00822876"/>
    <w:rsid w:val="00822B04"/>
    <w:rsid w:val="00823038"/>
    <w:rsid w:val="00823511"/>
    <w:rsid w:val="008239A7"/>
    <w:rsid w:val="008242C7"/>
    <w:rsid w:val="00824D85"/>
    <w:rsid w:val="008251E8"/>
    <w:rsid w:val="008254B5"/>
    <w:rsid w:val="00825ADF"/>
    <w:rsid w:val="00825BC4"/>
    <w:rsid w:val="00825BDD"/>
    <w:rsid w:val="00825F86"/>
    <w:rsid w:val="008261C4"/>
    <w:rsid w:val="00826235"/>
    <w:rsid w:val="00826367"/>
    <w:rsid w:val="0082636F"/>
    <w:rsid w:val="00826AED"/>
    <w:rsid w:val="00826F08"/>
    <w:rsid w:val="0082704C"/>
    <w:rsid w:val="008278F1"/>
    <w:rsid w:val="00827A92"/>
    <w:rsid w:val="00827B4A"/>
    <w:rsid w:val="00827C7B"/>
    <w:rsid w:val="00827D2A"/>
    <w:rsid w:val="0083034B"/>
    <w:rsid w:val="008306F6"/>
    <w:rsid w:val="00830A35"/>
    <w:rsid w:val="00830D78"/>
    <w:rsid w:val="00831D59"/>
    <w:rsid w:val="00832156"/>
    <w:rsid w:val="0083218A"/>
    <w:rsid w:val="0083245F"/>
    <w:rsid w:val="00832587"/>
    <w:rsid w:val="008326F1"/>
    <w:rsid w:val="00832970"/>
    <w:rsid w:val="00832BF2"/>
    <w:rsid w:val="00832C22"/>
    <w:rsid w:val="00832CA5"/>
    <w:rsid w:val="008331EE"/>
    <w:rsid w:val="0083343B"/>
    <w:rsid w:val="00834434"/>
    <w:rsid w:val="008346A3"/>
    <w:rsid w:val="00834B01"/>
    <w:rsid w:val="008350C8"/>
    <w:rsid w:val="00835672"/>
    <w:rsid w:val="008357C6"/>
    <w:rsid w:val="0083598E"/>
    <w:rsid w:val="00835E2D"/>
    <w:rsid w:val="00836323"/>
    <w:rsid w:val="008363BE"/>
    <w:rsid w:val="00836437"/>
    <w:rsid w:val="00836727"/>
    <w:rsid w:val="0083677A"/>
    <w:rsid w:val="00836866"/>
    <w:rsid w:val="008369BB"/>
    <w:rsid w:val="00836B33"/>
    <w:rsid w:val="0083724E"/>
    <w:rsid w:val="00837736"/>
    <w:rsid w:val="00837DAB"/>
    <w:rsid w:val="008400AC"/>
    <w:rsid w:val="00840605"/>
    <w:rsid w:val="00840EAC"/>
    <w:rsid w:val="00840F24"/>
    <w:rsid w:val="008410AD"/>
    <w:rsid w:val="00841A79"/>
    <w:rsid w:val="00841B7A"/>
    <w:rsid w:val="00842AC2"/>
    <w:rsid w:val="0084338F"/>
    <w:rsid w:val="00843831"/>
    <w:rsid w:val="00843878"/>
    <w:rsid w:val="00844E32"/>
    <w:rsid w:val="00844E4C"/>
    <w:rsid w:val="0084510D"/>
    <w:rsid w:val="00845149"/>
    <w:rsid w:val="008451A4"/>
    <w:rsid w:val="0084570A"/>
    <w:rsid w:val="00845A2C"/>
    <w:rsid w:val="00845E4B"/>
    <w:rsid w:val="00845EC4"/>
    <w:rsid w:val="0084627E"/>
    <w:rsid w:val="008464D4"/>
    <w:rsid w:val="00846675"/>
    <w:rsid w:val="0084677F"/>
    <w:rsid w:val="00846941"/>
    <w:rsid w:val="00846DE9"/>
    <w:rsid w:val="0084704C"/>
    <w:rsid w:val="008475FD"/>
    <w:rsid w:val="0084799D"/>
    <w:rsid w:val="00847A07"/>
    <w:rsid w:val="00847A62"/>
    <w:rsid w:val="00847EAF"/>
    <w:rsid w:val="00850143"/>
    <w:rsid w:val="00850446"/>
    <w:rsid w:val="008512B6"/>
    <w:rsid w:val="0085165C"/>
    <w:rsid w:val="008518F1"/>
    <w:rsid w:val="00851A57"/>
    <w:rsid w:val="00852881"/>
    <w:rsid w:val="00852897"/>
    <w:rsid w:val="00852AFE"/>
    <w:rsid w:val="0085390A"/>
    <w:rsid w:val="00853BA2"/>
    <w:rsid w:val="00853D03"/>
    <w:rsid w:val="008544DB"/>
    <w:rsid w:val="008548B5"/>
    <w:rsid w:val="00854D76"/>
    <w:rsid w:val="00854F3C"/>
    <w:rsid w:val="008551EB"/>
    <w:rsid w:val="0085573F"/>
    <w:rsid w:val="008561F7"/>
    <w:rsid w:val="0085626B"/>
    <w:rsid w:val="008568D2"/>
    <w:rsid w:val="00856A96"/>
    <w:rsid w:val="0085717D"/>
    <w:rsid w:val="00857797"/>
    <w:rsid w:val="00857832"/>
    <w:rsid w:val="00857C79"/>
    <w:rsid w:val="008604F4"/>
    <w:rsid w:val="00860566"/>
    <w:rsid w:val="00860832"/>
    <w:rsid w:val="00860AF3"/>
    <w:rsid w:val="00861594"/>
    <w:rsid w:val="00861F9B"/>
    <w:rsid w:val="0086292E"/>
    <w:rsid w:val="00862DDD"/>
    <w:rsid w:val="00862F18"/>
    <w:rsid w:val="008630E6"/>
    <w:rsid w:val="00863BF9"/>
    <w:rsid w:val="00863D74"/>
    <w:rsid w:val="0086471B"/>
    <w:rsid w:val="00864F56"/>
    <w:rsid w:val="00865625"/>
    <w:rsid w:val="00865868"/>
    <w:rsid w:val="00865F65"/>
    <w:rsid w:val="008662F1"/>
    <w:rsid w:val="00866874"/>
    <w:rsid w:val="00866B45"/>
    <w:rsid w:val="00866F6E"/>
    <w:rsid w:val="008671DD"/>
    <w:rsid w:val="008674A2"/>
    <w:rsid w:val="008679BA"/>
    <w:rsid w:val="00867CAC"/>
    <w:rsid w:val="00867E7D"/>
    <w:rsid w:val="00867FD0"/>
    <w:rsid w:val="00870215"/>
    <w:rsid w:val="00870BEB"/>
    <w:rsid w:val="00870C7C"/>
    <w:rsid w:val="00870CFD"/>
    <w:rsid w:val="008711B9"/>
    <w:rsid w:val="008712C9"/>
    <w:rsid w:val="008715C6"/>
    <w:rsid w:val="00871AB4"/>
    <w:rsid w:val="00871AE0"/>
    <w:rsid w:val="00871C67"/>
    <w:rsid w:val="008721A3"/>
    <w:rsid w:val="0087250C"/>
    <w:rsid w:val="00872718"/>
    <w:rsid w:val="0087289F"/>
    <w:rsid w:val="00872AF7"/>
    <w:rsid w:val="008731D2"/>
    <w:rsid w:val="0087372F"/>
    <w:rsid w:val="00873BD1"/>
    <w:rsid w:val="008740B0"/>
    <w:rsid w:val="00874277"/>
    <w:rsid w:val="008742E2"/>
    <w:rsid w:val="00874430"/>
    <w:rsid w:val="00874539"/>
    <w:rsid w:val="0087484D"/>
    <w:rsid w:val="00874C68"/>
    <w:rsid w:val="00874C71"/>
    <w:rsid w:val="00874CAD"/>
    <w:rsid w:val="00875AD1"/>
    <w:rsid w:val="00875D9F"/>
    <w:rsid w:val="008760DA"/>
    <w:rsid w:val="0087613E"/>
    <w:rsid w:val="008764D2"/>
    <w:rsid w:val="00876757"/>
    <w:rsid w:val="00876B41"/>
    <w:rsid w:val="00876E54"/>
    <w:rsid w:val="0087703B"/>
    <w:rsid w:val="008771AB"/>
    <w:rsid w:val="00877A02"/>
    <w:rsid w:val="00877E43"/>
    <w:rsid w:val="00877EE7"/>
    <w:rsid w:val="00880B56"/>
    <w:rsid w:val="00881103"/>
    <w:rsid w:val="0088186F"/>
    <w:rsid w:val="00881922"/>
    <w:rsid w:val="00881ECD"/>
    <w:rsid w:val="00881F40"/>
    <w:rsid w:val="008826B9"/>
    <w:rsid w:val="00882DC7"/>
    <w:rsid w:val="00883980"/>
    <w:rsid w:val="008842C4"/>
    <w:rsid w:val="00884DD3"/>
    <w:rsid w:val="00884F34"/>
    <w:rsid w:val="008850B5"/>
    <w:rsid w:val="00885AD9"/>
    <w:rsid w:val="00885D30"/>
    <w:rsid w:val="00886236"/>
    <w:rsid w:val="0088664B"/>
    <w:rsid w:val="00886C85"/>
    <w:rsid w:val="00886E35"/>
    <w:rsid w:val="008877D9"/>
    <w:rsid w:val="00887FAD"/>
    <w:rsid w:val="00887FE3"/>
    <w:rsid w:val="008903A9"/>
    <w:rsid w:val="00890479"/>
    <w:rsid w:val="00890728"/>
    <w:rsid w:val="0089096A"/>
    <w:rsid w:val="00890CE4"/>
    <w:rsid w:val="00890DBB"/>
    <w:rsid w:val="00891160"/>
    <w:rsid w:val="00892807"/>
    <w:rsid w:val="00892C4A"/>
    <w:rsid w:val="008931A8"/>
    <w:rsid w:val="0089343D"/>
    <w:rsid w:val="008934CE"/>
    <w:rsid w:val="008939EB"/>
    <w:rsid w:val="00893D10"/>
    <w:rsid w:val="00894138"/>
    <w:rsid w:val="00894184"/>
    <w:rsid w:val="00894320"/>
    <w:rsid w:val="00894828"/>
    <w:rsid w:val="008948B5"/>
    <w:rsid w:val="00894D16"/>
    <w:rsid w:val="00894DFD"/>
    <w:rsid w:val="00894FF5"/>
    <w:rsid w:val="008953DC"/>
    <w:rsid w:val="008960E5"/>
    <w:rsid w:val="0089629F"/>
    <w:rsid w:val="0089692E"/>
    <w:rsid w:val="008969F3"/>
    <w:rsid w:val="0089739F"/>
    <w:rsid w:val="008973D0"/>
    <w:rsid w:val="00897AFD"/>
    <w:rsid w:val="00897E97"/>
    <w:rsid w:val="008A01FA"/>
    <w:rsid w:val="008A0285"/>
    <w:rsid w:val="008A0635"/>
    <w:rsid w:val="008A0876"/>
    <w:rsid w:val="008A0EC1"/>
    <w:rsid w:val="008A1479"/>
    <w:rsid w:val="008A1550"/>
    <w:rsid w:val="008A1735"/>
    <w:rsid w:val="008A196D"/>
    <w:rsid w:val="008A1B6B"/>
    <w:rsid w:val="008A290E"/>
    <w:rsid w:val="008A29E9"/>
    <w:rsid w:val="008A2EB0"/>
    <w:rsid w:val="008A38E6"/>
    <w:rsid w:val="008A44BE"/>
    <w:rsid w:val="008A45EC"/>
    <w:rsid w:val="008A4DF4"/>
    <w:rsid w:val="008A5181"/>
    <w:rsid w:val="008A5502"/>
    <w:rsid w:val="008A56D5"/>
    <w:rsid w:val="008A58B5"/>
    <w:rsid w:val="008A59A0"/>
    <w:rsid w:val="008A5E27"/>
    <w:rsid w:val="008A602B"/>
    <w:rsid w:val="008A6406"/>
    <w:rsid w:val="008A69F0"/>
    <w:rsid w:val="008A6ADC"/>
    <w:rsid w:val="008B04D7"/>
    <w:rsid w:val="008B056A"/>
    <w:rsid w:val="008B0A39"/>
    <w:rsid w:val="008B0C4A"/>
    <w:rsid w:val="008B0CF8"/>
    <w:rsid w:val="008B0D82"/>
    <w:rsid w:val="008B0EA6"/>
    <w:rsid w:val="008B0FAC"/>
    <w:rsid w:val="008B1047"/>
    <w:rsid w:val="008B13B6"/>
    <w:rsid w:val="008B155A"/>
    <w:rsid w:val="008B1AFF"/>
    <w:rsid w:val="008B1C3A"/>
    <w:rsid w:val="008B1F93"/>
    <w:rsid w:val="008B2A34"/>
    <w:rsid w:val="008B2B90"/>
    <w:rsid w:val="008B351F"/>
    <w:rsid w:val="008B35ED"/>
    <w:rsid w:val="008B3CB9"/>
    <w:rsid w:val="008B44A4"/>
    <w:rsid w:val="008B4879"/>
    <w:rsid w:val="008B48A8"/>
    <w:rsid w:val="008B4A73"/>
    <w:rsid w:val="008B4B97"/>
    <w:rsid w:val="008B4C76"/>
    <w:rsid w:val="008B51D9"/>
    <w:rsid w:val="008B5203"/>
    <w:rsid w:val="008B52E1"/>
    <w:rsid w:val="008B5449"/>
    <w:rsid w:val="008B59FF"/>
    <w:rsid w:val="008B5AB3"/>
    <w:rsid w:val="008B6656"/>
    <w:rsid w:val="008B7270"/>
    <w:rsid w:val="008B7721"/>
    <w:rsid w:val="008B7B95"/>
    <w:rsid w:val="008B7CC6"/>
    <w:rsid w:val="008C0305"/>
    <w:rsid w:val="008C0E28"/>
    <w:rsid w:val="008C151E"/>
    <w:rsid w:val="008C1660"/>
    <w:rsid w:val="008C1AEC"/>
    <w:rsid w:val="008C1B94"/>
    <w:rsid w:val="008C20BD"/>
    <w:rsid w:val="008C23F7"/>
    <w:rsid w:val="008C2E50"/>
    <w:rsid w:val="008C30B0"/>
    <w:rsid w:val="008C3301"/>
    <w:rsid w:val="008C3303"/>
    <w:rsid w:val="008C3646"/>
    <w:rsid w:val="008C38A9"/>
    <w:rsid w:val="008C397D"/>
    <w:rsid w:val="008C3DFA"/>
    <w:rsid w:val="008C40A3"/>
    <w:rsid w:val="008C4AF0"/>
    <w:rsid w:val="008C5C09"/>
    <w:rsid w:val="008C6109"/>
    <w:rsid w:val="008C6196"/>
    <w:rsid w:val="008C64D0"/>
    <w:rsid w:val="008C658B"/>
    <w:rsid w:val="008C6BF7"/>
    <w:rsid w:val="008C6F24"/>
    <w:rsid w:val="008C74CF"/>
    <w:rsid w:val="008C758A"/>
    <w:rsid w:val="008C780F"/>
    <w:rsid w:val="008D0265"/>
    <w:rsid w:val="008D02A6"/>
    <w:rsid w:val="008D03A1"/>
    <w:rsid w:val="008D07B2"/>
    <w:rsid w:val="008D09CC"/>
    <w:rsid w:val="008D0BDC"/>
    <w:rsid w:val="008D1670"/>
    <w:rsid w:val="008D1802"/>
    <w:rsid w:val="008D197D"/>
    <w:rsid w:val="008D2007"/>
    <w:rsid w:val="008D25E1"/>
    <w:rsid w:val="008D2720"/>
    <w:rsid w:val="008D27AE"/>
    <w:rsid w:val="008D2E48"/>
    <w:rsid w:val="008D3D7E"/>
    <w:rsid w:val="008D4AA8"/>
    <w:rsid w:val="008D4B97"/>
    <w:rsid w:val="008D4C26"/>
    <w:rsid w:val="008D4D4A"/>
    <w:rsid w:val="008D59BF"/>
    <w:rsid w:val="008D5B52"/>
    <w:rsid w:val="008D5DDB"/>
    <w:rsid w:val="008D5EB0"/>
    <w:rsid w:val="008D5FB2"/>
    <w:rsid w:val="008D62E0"/>
    <w:rsid w:val="008D6638"/>
    <w:rsid w:val="008D6660"/>
    <w:rsid w:val="008D6C03"/>
    <w:rsid w:val="008D7499"/>
    <w:rsid w:val="008D79EA"/>
    <w:rsid w:val="008E03F2"/>
    <w:rsid w:val="008E059B"/>
    <w:rsid w:val="008E078B"/>
    <w:rsid w:val="008E084D"/>
    <w:rsid w:val="008E146D"/>
    <w:rsid w:val="008E1A82"/>
    <w:rsid w:val="008E1AD4"/>
    <w:rsid w:val="008E1DD1"/>
    <w:rsid w:val="008E235F"/>
    <w:rsid w:val="008E24C8"/>
    <w:rsid w:val="008E3230"/>
    <w:rsid w:val="008E36A4"/>
    <w:rsid w:val="008E3F86"/>
    <w:rsid w:val="008E4306"/>
    <w:rsid w:val="008E48F0"/>
    <w:rsid w:val="008E4F63"/>
    <w:rsid w:val="008E51C1"/>
    <w:rsid w:val="008E520F"/>
    <w:rsid w:val="008E5282"/>
    <w:rsid w:val="008E55E6"/>
    <w:rsid w:val="008E5CAE"/>
    <w:rsid w:val="008E5E02"/>
    <w:rsid w:val="008E6005"/>
    <w:rsid w:val="008E62AB"/>
    <w:rsid w:val="008E6BD0"/>
    <w:rsid w:val="008E72A9"/>
    <w:rsid w:val="008E776F"/>
    <w:rsid w:val="008E7959"/>
    <w:rsid w:val="008E7DED"/>
    <w:rsid w:val="008F0030"/>
    <w:rsid w:val="008F00F4"/>
    <w:rsid w:val="008F025B"/>
    <w:rsid w:val="008F0336"/>
    <w:rsid w:val="008F0554"/>
    <w:rsid w:val="008F080A"/>
    <w:rsid w:val="008F08F4"/>
    <w:rsid w:val="008F0F8F"/>
    <w:rsid w:val="008F12CC"/>
    <w:rsid w:val="008F221B"/>
    <w:rsid w:val="008F22B2"/>
    <w:rsid w:val="008F23DC"/>
    <w:rsid w:val="008F27F4"/>
    <w:rsid w:val="008F3EFF"/>
    <w:rsid w:val="008F3FEE"/>
    <w:rsid w:val="008F400E"/>
    <w:rsid w:val="008F431A"/>
    <w:rsid w:val="008F4508"/>
    <w:rsid w:val="008F4B3F"/>
    <w:rsid w:val="008F5CAD"/>
    <w:rsid w:val="008F60D5"/>
    <w:rsid w:val="008F662A"/>
    <w:rsid w:val="008F66D1"/>
    <w:rsid w:val="008F6760"/>
    <w:rsid w:val="008F6FD5"/>
    <w:rsid w:val="008F704D"/>
    <w:rsid w:val="009007FB"/>
    <w:rsid w:val="00900B34"/>
    <w:rsid w:val="00900D6C"/>
    <w:rsid w:val="009013D4"/>
    <w:rsid w:val="00901574"/>
    <w:rsid w:val="00901693"/>
    <w:rsid w:val="00901B34"/>
    <w:rsid w:val="00901BDE"/>
    <w:rsid w:val="009020DE"/>
    <w:rsid w:val="00902535"/>
    <w:rsid w:val="0090278B"/>
    <w:rsid w:val="009028F7"/>
    <w:rsid w:val="009029E0"/>
    <w:rsid w:val="00902C55"/>
    <w:rsid w:val="009048F3"/>
    <w:rsid w:val="00904F53"/>
    <w:rsid w:val="0090516F"/>
    <w:rsid w:val="00905584"/>
    <w:rsid w:val="009055E4"/>
    <w:rsid w:val="00905FB2"/>
    <w:rsid w:val="009061C8"/>
    <w:rsid w:val="00906464"/>
    <w:rsid w:val="00906857"/>
    <w:rsid w:val="00906C8B"/>
    <w:rsid w:val="00907344"/>
    <w:rsid w:val="009076E3"/>
    <w:rsid w:val="00907E15"/>
    <w:rsid w:val="00910016"/>
    <w:rsid w:val="0091031A"/>
    <w:rsid w:val="0091062F"/>
    <w:rsid w:val="0091088B"/>
    <w:rsid w:val="0091094C"/>
    <w:rsid w:val="00910C85"/>
    <w:rsid w:val="00911533"/>
    <w:rsid w:val="009115A0"/>
    <w:rsid w:val="009116F4"/>
    <w:rsid w:val="00911AFE"/>
    <w:rsid w:val="00911C92"/>
    <w:rsid w:val="00911FA0"/>
    <w:rsid w:val="0091202B"/>
    <w:rsid w:val="009121B2"/>
    <w:rsid w:val="009122DC"/>
    <w:rsid w:val="00912F34"/>
    <w:rsid w:val="009144A9"/>
    <w:rsid w:val="009152B1"/>
    <w:rsid w:val="009154C7"/>
    <w:rsid w:val="0091567B"/>
    <w:rsid w:val="009156A3"/>
    <w:rsid w:val="0091572E"/>
    <w:rsid w:val="009158A3"/>
    <w:rsid w:val="009162B7"/>
    <w:rsid w:val="0091660E"/>
    <w:rsid w:val="009166B9"/>
    <w:rsid w:val="0091680D"/>
    <w:rsid w:val="00916A9D"/>
    <w:rsid w:val="009170CB"/>
    <w:rsid w:val="00917A04"/>
    <w:rsid w:val="0091EB93"/>
    <w:rsid w:val="00920B3F"/>
    <w:rsid w:val="00920C7A"/>
    <w:rsid w:val="00920F2F"/>
    <w:rsid w:val="0092148A"/>
    <w:rsid w:val="00921788"/>
    <w:rsid w:val="0092181D"/>
    <w:rsid w:val="00921906"/>
    <w:rsid w:val="00921ACF"/>
    <w:rsid w:val="00922A87"/>
    <w:rsid w:val="00922C7B"/>
    <w:rsid w:val="0092321C"/>
    <w:rsid w:val="00923689"/>
    <w:rsid w:val="00923989"/>
    <w:rsid w:val="00923D73"/>
    <w:rsid w:val="00924494"/>
    <w:rsid w:val="00924E9C"/>
    <w:rsid w:val="00924EC1"/>
    <w:rsid w:val="009250DF"/>
    <w:rsid w:val="009255BE"/>
    <w:rsid w:val="00926064"/>
    <w:rsid w:val="00926ED5"/>
    <w:rsid w:val="00927483"/>
    <w:rsid w:val="00927626"/>
    <w:rsid w:val="0092777D"/>
    <w:rsid w:val="00927E04"/>
    <w:rsid w:val="009307A6"/>
    <w:rsid w:val="00930C39"/>
    <w:rsid w:val="00930ECB"/>
    <w:rsid w:val="0093102A"/>
    <w:rsid w:val="00931149"/>
    <w:rsid w:val="009311A0"/>
    <w:rsid w:val="009313FD"/>
    <w:rsid w:val="0093143A"/>
    <w:rsid w:val="0093150A"/>
    <w:rsid w:val="0093185E"/>
    <w:rsid w:val="00931976"/>
    <w:rsid w:val="00931BC0"/>
    <w:rsid w:val="00932BEF"/>
    <w:rsid w:val="00932E3D"/>
    <w:rsid w:val="00933113"/>
    <w:rsid w:val="009338FE"/>
    <w:rsid w:val="00933BF5"/>
    <w:rsid w:val="00933C28"/>
    <w:rsid w:val="00933FA3"/>
    <w:rsid w:val="0093422E"/>
    <w:rsid w:val="009342D2"/>
    <w:rsid w:val="0093453F"/>
    <w:rsid w:val="0093459F"/>
    <w:rsid w:val="00934813"/>
    <w:rsid w:val="00934AB1"/>
    <w:rsid w:val="00934D0C"/>
    <w:rsid w:val="00935B92"/>
    <w:rsid w:val="00936260"/>
    <w:rsid w:val="0093654C"/>
    <w:rsid w:val="00936727"/>
    <w:rsid w:val="009367F3"/>
    <w:rsid w:val="00936A6C"/>
    <w:rsid w:val="00937165"/>
    <w:rsid w:val="00937262"/>
    <w:rsid w:val="009403E2"/>
    <w:rsid w:val="00941185"/>
    <w:rsid w:val="00941CB7"/>
    <w:rsid w:val="00941D65"/>
    <w:rsid w:val="0094201C"/>
    <w:rsid w:val="00942075"/>
    <w:rsid w:val="0094365F"/>
    <w:rsid w:val="00943898"/>
    <w:rsid w:val="0094395F"/>
    <w:rsid w:val="00943C2A"/>
    <w:rsid w:val="00943EB5"/>
    <w:rsid w:val="009443C7"/>
    <w:rsid w:val="00944442"/>
    <w:rsid w:val="009444CB"/>
    <w:rsid w:val="00944568"/>
    <w:rsid w:val="009448F5"/>
    <w:rsid w:val="00945D50"/>
    <w:rsid w:val="00946206"/>
    <w:rsid w:val="00946B86"/>
    <w:rsid w:val="00947067"/>
    <w:rsid w:val="009471BD"/>
    <w:rsid w:val="00947B05"/>
    <w:rsid w:val="00947BA8"/>
    <w:rsid w:val="00950473"/>
    <w:rsid w:val="00950EA5"/>
    <w:rsid w:val="00951585"/>
    <w:rsid w:val="009518E9"/>
    <w:rsid w:val="00951C75"/>
    <w:rsid w:val="00951CFB"/>
    <w:rsid w:val="00951E72"/>
    <w:rsid w:val="00952116"/>
    <w:rsid w:val="009524C9"/>
    <w:rsid w:val="009525AC"/>
    <w:rsid w:val="0095291E"/>
    <w:rsid w:val="00952D90"/>
    <w:rsid w:val="0095333C"/>
    <w:rsid w:val="009534C0"/>
    <w:rsid w:val="009535E8"/>
    <w:rsid w:val="00953705"/>
    <w:rsid w:val="00953C26"/>
    <w:rsid w:val="00953DEC"/>
    <w:rsid w:val="0095408C"/>
    <w:rsid w:val="009545BB"/>
    <w:rsid w:val="0095472B"/>
    <w:rsid w:val="009549CA"/>
    <w:rsid w:val="00954E14"/>
    <w:rsid w:val="00955113"/>
    <w:rsid w:val="00955292"/>
    <w:rsid w:val="0095532B"/>
    <w:rsid w:val="0095533F"/>
    <w:rsid w:val="009557EA"/>
    <w:rsid w:val="00955BD2"/>
    <w:rsid w:val="00955CD0"/>
    <w:rsid w:val="00955FAF"/>
    <w:rsid w:val="00956184"/>
    <w:rsid w:val="00956AAF"/>
    <w:rsid w:val="00957297"/>
    <w:rsid w:val="009572D7"/>
    <w:rsid w:val="00957342"/>
    <w:rsid w:val="00957886"/>
    <w:rsid w:val="00957A61"/>
    <w:rsid w:val="00957A92"/>
    <w:rsid w:val="00960C39"/>
    <w:rsid w:val="009612DB"/>
    <w:rsid w:val="00961984"/>
    <w:rsid w:val="0096201F"/>
    <w:rsid w:val="009620CF"/>
    <w:rsid w:val="00962270"/>
    <w:rsid w:val="009622CB"/>
    <w:rsid w:val="0096258A"/>
    <w:rsid w:val="00962D47"/>
    <w:rsid w:val="009633C1"/>
    <w:rsid w:val="0096344B"/>
    <w:rsid w:val="009638AB"/>
    <w:rsid w:val="00963B84"/>
    <w:rsid w:val="00964061"/>
    <w:rsid w:val="00964E7E"/>
    <w:rsid w:val="00964EB3"/>
    <w:rsid w:val="00965192"/>
    <w:rsid w:val="009652D4"/>
    <w:rsid w:val="0096536C"/>
    <w:rsid w:val="00965647"/>
    <w:rsid w:val="00965831"/>
    <w:rsid w:val="009658D4"/>
    <w:rsid w:val="009661BB"/>
    <w:rsid w:val="0096663E"/>
    <w:rsid w:val="00966AAD"/>
    <w:rsid w:val="009675F4"/>
    <w:rsid w:val="009676AB"/>
    <w:rsid w:val="00967863"/>
    <w:rsid w:val="00967BAE"/>
    <w:rsid w:val="00967FA7"/>
    <w:rsid w:val="00970CDA"/>
    <w:rsid w:val="00970E8D"/>
    <w:rsid w:val="009715C0"/>
    <w:rsid w:val="009725C9"/>
    <w:rsid w:val="00972844"/>
    <w:rsid w:val="00972AEE"/>
    <w:rsid w:val="00972F7C"/>
    <w:rsid w:val="0097394C"/>
    <w:rsid w:val="00973B59"/>
    <w:rsid w:val="00973FD4"/>
    <w:rsid w:val="00974083"/>
    <w:rsid w:val="009740A2"/>
    <w:rsid w:val="009748D5"/>
    <w:rsid w:val="009748EF"/>
    <w:rsid w:val="00974E8D"/>
    <w:rsid w:val="00975019"/>
    <w:rsid w:val="0097539B"/>
    <w:rsid w:val="0097569E"/>
    <w:rsid w:val="009758FA"/>
    <w:rsid w:val="00975902"/>
    <w:rsid w:val="00975BB1"/>
    <w:rsid w:val="0097622A"/>
    <w:rsid w:val="00976234"/>
    <w:rsid w:val="00976890"/>
    <w:rsid w:val="00976920"/>
    <w:rsid w:val="009770B5"/>
    <w:rsid w:val="009800F4"/>
    <w:rsid w:val="00980366"/>
    <w:rsid w:val="0098068A"/>
    <w:rsid w:val="00980847"/>
    <w:rsid w:val="009811FA"/>
    <w:rsid w:val="0098173C"/>
    <w:rsid w:val="0098233E"/>
    <w:rsid w:val="00982923"/>
    <w:rsid w:val="00983B42"/>
    <w:rsid w:val="00984519"/>
    <w:rsid w:val="00984860"/>
    <w:rsid w:val="0098527D"/>
    <w:rsid w:val="00985370"/>
    <w:rsid w:val="009856B2"/>
    <w:rsid w:val="0098676B"/>
    <w:rsid w:val="009874A6"/>
    <w:rsid w:val="00987745"/>
    <w:rsid w:val="0098F52D"/>
    <w:rsid w:val="009902CF"/>
    <w:rsid w:val="00990818"/>
    <w:rsid w:val="0099128C"/>
    <w:rsid w:val="0099145B"/>
    <w:rsid w:val="00991991"/>
    <w:rsid w:val="00991A31"/>
    <w:rsid w:val="00991B89"/>
    <w:rsid w:val="0099225C"/>
    <w:rsid w:val="009922ED"/>
    <w:rsid w:val="009932FA"/>
    <w:rsid w:val="009935F7"/>
    <w:rsid w:val="00993C4B"/>
    <w:rsid w:val="0099411A"/>
    <w:rsid w:val="00994CD3"/>
    <w:rsid w:val="00995153"/>
    <w:rsid w:val="00995401"/>
    <w:rsid w:val="0099565F"/>
    <w:rsid w:val="00995892"/>
    <w:rsid w:val="00995E70"/>
    <w:rsid w:val="00996B37"/>
    <w:rsid w:val="00996B68"/>
    <w:rsid w:val="00996DAC"/>
    <w:rsid w:val="009975A7"/>
    <w:rsid w:val="00997621"/>
    <w:rsid w:val="00997C77"/>
    <w:rsid w:val="009A039C"/>
    <w:rsid w:val="009A081F"/>
    <w:rsid w:val="009A0C9D"/>
    <w:rsid w:val="009A0D2F"/>
    <w:rsid w:val="009A1261"/>
    <w:rsid w:val="009A12A5"/>
    <w:rsid w:val="009A12D8"/>
    <w:rsid w:val="009A14DA"/>
    <w:rsid w:val="009A1A8E"/>
    <w:rsid w:val="009A2083"/>
    <w:rsid w:val="009A2488"/>
    <w:rsid w:val="009A2793"/>
    <w:rsid w:val="009A2CE9"/>
    <w:rsid w:val="009A30EB"/>
    <w:rsid w:val="009A37B0"/>
    <w:rsid w:val="009A42F7"/>
    <w:rsid w:val="009A4568"/>
    <w:rsid w:val="009A4640"/>
    <w:rsid w:val="009A492B"/>
    <w:rsid w:val="009A5014"/>
    <w:rsid w:val="009A56D2"/>
    <w:rsid w:val="009A56D6"/>
    <w:rsid w:val="009A60C1"/>
    <w:rsid w:val="009A6157"/>
    <w:rsid w:val="009A629A"/>
    <w:rsid w:val="009A678A"/>
    <w:rsid w:val="009A7060"/>
    <w:rsid w:val="009A7292"/>
    <w:rsid w:val="009A7866"/>
    <w:rsid w:val="009A7DDE"/>
    <w:rsid w:val="009B0622"/>
    <w:rsid w:val="009B09F0"/>
    <w:rsid w:val="009B0AC6"/>
    <w:rsid w:val="009B0C7E"/>
    <w:rsid w:val="009B162D"/>
    <w:rsid w:val="009B1737"/>
    <w:rsid w:val="009B18D9"/>
    <w:rsid w:val="009B1A42"/>
    <w:rsid w:val="009B1C9B"/>
    <w:rsid w:val="009B1E3C"/>
    <w:rsid w:val="009B21DB"/>
    <w:rsid w:val="009B21E9"/>
    <w:rsid w:val="009B26C1"/>
    <w:rsid w:val="009B2853"/>
    <w:rsid w:val="009B2898"/>
    <w:rsid w:val="009B294D"/>
    <w:rsid w:val="009B3142"/>
    <w:rsid w:val="009B3891"/>
    <w:rsid w:val="009B389F"/>
    <w:rsid w:val="009B3D03"/>
    <w:rsid w:val="009B3E2B"/>
    <w:rsid w:val="009B42C4"/>
    <w:rsid w:val="009B44C1"/>
    <w:rsid w:val="009B474B"/>
    <w:rsid w:val="009B4F5F"/>
    <w:rsid w:val="009B503A"/>
    <w:rsid w:val="009B5EDC"/>
    <w:rsid w:val="009B5F9D"/>
    <w:rsid w:val="009B5FEA"/>
    <w:rsid w:val="009B6448"/>
    <w:rsid w:val="009B67DB"/>
    <w:rsid w:val="009B6D95"/>
    <w:rsid w:val="009B70CA"/>
    <w:rsid w:val="009B7380"/>
    <w:rsid w:val="009B7678"/>
    <w:rsid w:val="009B768C"/>
    <w:rsid w:val="009B7F0D"/>
    <w:rsid w:val="009C0577"/>
    <w:rsid w:val="009C07DA"/>
    <w:rsid w:val="009C0C6A"/>
    <w:rsid w:val="009C0C94"/>
    <w:rsid w:val="009C0D32"/>
    <w:rsid w:val="009C109F"/>
    <w:rsid w:val="009C146C"/>
    <w:rsid w:val="009C1D4C"/>
    <w:rsid w:val="009C1DE0"/>
    <w:rsid w:val="009C2B8A"/>
    <w:rsid w:val="009C2BD9"/>
    <w:rsid w:val="009C2D33"/>
    <w:rsid w:val="009C3A6F"/>
    <w:rsid w:val="009C40D0"/>
    <w:rsid w:val="009C425F"/>
    <w:rsid w:val="009C427E"/>
    <w:rsid w:val="009C4363"/>
    <w:rsid w:val="009C44D9"/>
    <w:rsid w:val="009C4658"/>
    <w:rsid w:val="009C4C00"/>
    <w:rsid w:val="009C51FC"/>
    <w:rsid w:val="009C5A99"/>
    <w:rsid w:val="009C627D"/>
    <w:rsid w:val="009C6453"/>
    <w:rsid w:val="009C6454"/>
    <w:rsid w:val="009C6F19"/>
    <w:rsid w:val="009C7820"/>
    <w:rsid w:val="009C78F4"/>
    <w:rsid w:val="009C7CC8"/>
    <w:rsid w:val="009C7F70"/>
    <w:rsid w:val="009C7F92"/>
    <w:rsid w:val="009D0046"/>
    <w:rsid w:val="009D007A"/>
    <w:rsid w:val="009D05AB"/>
    <w:rsid w:val="009D0DBC"/>
    <w:rsid w:val="009D155D"/>
    <w:rsid w:val="009D1A40"/>
    <w:rsid w:val="009D205F"/>
    <w:rsid w:val="009D25D2"/>
    <w:rsid w:val="009D2960"/>
    <w:rsid w:val="009D2A3A"/>
    <w:rsid w:val="009D2FE2"/>
    <w:rsid w:val="009D3585"/>
    <w:rsid w:val="009D3750"/>
    <w:rsid w:val="009D396D"/>
    <w:rsid w:val="009D3CD0"/>
    <w:rsid w:val="009D44F7"/>
    <w:rsid w:val="009D492B"/>
    <w:rsid w:val="009D49D7"/>
    <w:rsid w:val="009D4FDD"/>
    <w:rsid w:val="009D5C5F"/>
    <w:rsid w:val="009D6458"/>
    <w:rsid w:val="009D6988"/>
    <w:rsid w:val="009D7003"/>
    <w:rsid w:val="009D73AB"/>
    <w:rsid w:val="009D79BE"/>
    <w:rsid w:val="009E0266"/>
    <w:rsid w:val="009E0453"/>
    <w:rsid w:val="009E0CA5"/>
    <w:rsid w:val="009E0D19"/>
    <w:rsid w:val="009E12D4"/>
    <w:rsid w:val="009E1672"/>
    <w:rsid w:val="009E1889"/>
    <w:rsid w:val="009E1FEE"/>
    <w:rsid w:val="009E24C6"/>
    <w:rsid w:val="009E2597"/>
    <w:rsid w:val="009E26FC"/>
    <w:rsid w:val="009E28BA"/>
    <w:rsid w:val="009E2B02"/>
    <w:rsid w:val="009E2C17"/>
    <w:rsid w:val="009E2E8E"/>
    <w:rsid w:val="009E3018"/>
    <w:rsid w:val="009E322A"/>
    <w:rsid w:val="009E3509"/>
    <w:rsid w:val="009E3AB3"/>
    <w:rsid w:val="009E3F75"/>
    <w:rsid w:val="009E4008"/>
    <w:rsid w:val="009E45D6"/>
    <w:rsid w:val="009E5D63"/>
    <w:rsid w:val="009E5E42"/>
    <w:rsid w:val="009E5FB3"/>
    <w:rsid w:val="009E6049"/>
    <w:rsid w:val="009E6881"/>
    <w:rsid w:val="009E6B48"/>
    <w:rsid w:val="009E6FE2"/>
    <w:rsid w:val="009E7367"/>
    <w:rsid w:val="009E73DB"/>
    <w:rsid w:val="009E744D"/>
    <w:rsid w:val="009E7566"/>
    <w:rsid w:val="009E7887"/>
    <w:rsid w:val="009E7A98"/>
    <w:rsid w:val="009E7ED4"/>
    <w:rsid w:val="009E7FC4"/>
    <w:rsid w:val="009F100B"/>
    <w:rsid w:val="009F124D"/>
    <w:rsid w:val="009F1364"/>
    <w:rsid w:val="009F197F"/>
    <w:rsid w:val="009F219B"/>
    <w:rsid w:val="009F246C"/>
    <w:rsid w:val="009F281C"/>
    <w:rsid w:val="009F2968"/>
    <w:rsid w:val="009F29D2"/>
    <w:rsid w:val="009F2BEA"/>
    <w:rsid w:val="009F2DDD"/>
    <w:rsid w:val="009F2F84"/>
    <w:rsid w:val="009F2F97"/>
    <w:rsid w:val="009F2FC0"/>
    <w:rsid w:val="009F3123"/>
    <w:rsid w:val="009F417E"/>
    <w:rsid w:val="009F42CB"/>
    <w:rsid w:val="009F5BB6"/>
    <w:rsid w:val="009F5BD1"/>
    <w:rsid w:val="009F60E0"/>
    <w:rsid w:val="009F68D1"/>
    <w:rsid w:val="009F6AA9"/>
    <w:rsid w:val="009F6B66"/>
    <w:rsid w:val="009F6B8A"/>
    <w:rsid w:val="009F6D24"/>
    <w:rsid w:val="009F70BE"/>
    <w:rsid w:val="009F732F"/>
    <w:rsid w:val="009F775E"/>
    <w:rsid w:val="009F7C68"/>
    <w:rsid w:val="009F7F2A"/>
    <w:rsid w:val="00A00444"/>
    <w:rsid w:val="00A00BEF"/>
    <w:rsid w:val="00A00CAF"/>
    <w:rsid w:val="00A00D18"/>
    <w:rsid w:val="00A017B5"/>
    <w:rsid w:val="00A021D9"/>
    <w:rsid w:val="00A02999"/>
    <w:rsid w:val="00A0313E"/>
    <w:rsid w:val="00A03505"/>
    <w:rsid w:val="00A03586"/>
    <w:rsid w:val="00A03985"/>
    <w:rsid w:val="00A03DB7"/>
    <w:rsid w:val="00A03DD0"/>
    <w:rsid w:val="00A04113"/>
    <w:rsid w:val="00A0438B"/>
    <w:rsid w:val="00A044A4"/>
    <w:rsid w:val="00A04761"/>
    <w:rsid w:val="00A04F66"/>
    <w:rsid w:val="00A053BE"/>
    <w:rsid w:val="00A05788"/>
    <w:rsid w:val="00A058C3"/>
    <w:rsid w:val="00A05D27"/>
    <w:rsid w:val="00A05F21"/>
    <w:rsid w:val="00A0666B"/>
    <w:rsid w:val="00A06B46"/>
    <w:rsid w:val="00A06D59"/>
    <w:rsid w:val="00A06FF1"/>
    <w:rsid w:val="00A0733A"/>
    <w:rsid w:val="00A07632"/>
    <w:rsid w:val="00A076E3"/>
    <w:rsid w:val="00A07D54"/>
    <w:rsid w:val="00A10088"/>
    <w:rsid w:val="00A10217"/>
    <w:rsid w:val="00A10378"/>
    <w:rsid w:val="00A108BD"/>
    <w:rsid w:val="00A117BE"/>
    <w:rsid w:val="00A11E06"/>
    <w:rsid w:val="00A1200F"/>
    <w:rsid w:val="00A12DAB"/>
    <w:rsid w:val="00A13197"/>
    <w:rsid w:val="00A135DE"/>
    <w:rsid w:val="00A1370B"/>
    <w:rsid w:val="00A13F12"/>
    <w:rsid w:val="00A1408A"/>
    <w:rsid w:val="00A14969"/>
    <w:rsid w:val="00A14D69"/>
    <w:rsid w:val="00A158AE"/>
    <w:rsid w:val="00A15BBD"/>
    <w:rsid w:val="00A1658B"/>
    <w:rsid w:val="00A16612"/>
    <w:rsid w:val="00A16890"/>
    <w:rsid w:val="00A16AE1"/>
    <w:rsid w:val="00A16DAA"/>
    <w:rsid w:val="00A16FB9"/>
    <w:rsid w:val="00A170FA"/>
    <w:rsid w:val="00A17D3E"/>
    <w:rsid w:val="00A20485"/>
    <w:rsid w:val="00A20745"/>
    <w:rsid w:val="00A20DE6"/>
    <w:rsid w:val="00A21080"/>
    <w:rsid w:val="00A21899"/>
    <w:rsid w:val="00A21977"/>
    <w:rsid w:val="00A21A2E"/>
    <w:rsid w:val="00A21BB2"/>
    <w:rsid w:val="00A21D4E"/>
    <w:rsid w:val="00A21DC4"/>
    <w:rsid w:val="00A22226"/>
    <w:rsid w:val="00A223AB"/>
    <w:rsid w:val="00A224B7"/>
    <w:rsid w:val="00A2280C"/>
    <w:rsid w:val="00A22FAE"/>
    <w:rsid w:val="00A23042"/>
    <w:rsid w:val="00A23510"/>
    <w:rsid w:val="00A23527"/>
    <w:rsid w:val="00A244AD"/>
    <w:rsid w:val="00A244D4"/>
    <w:rsid w:val="00A24688"/>
    <w:rsid w:val="00A24BB3"/>
    <w:rsid w:val="00A24BFF"/>
    <w:rsid w:val="00A24EB8"/>
    <w:rsid w:val="00A24F78"/>
    <w:rsid w:val="00A25562"/>
    <w:rsid w:val="00A255D0"/>
    <w:rsid w:val="00A25639"/>
    <w:rsid w:val="00A25A3A"/>
    <w:rsid w:val="00A26354"/>
    <w:rsid w:val="00A26537"/>
    <w:rsid w:val="00A26AB1"/>
    <w:rsid w:val="00A26C23"/>
    <w:rsid w:val="00A2718F"/>
    <w:rsid w:val="00A271D0"/>
    <w:rsid w:val="00A27431"/>
    <w:rsid w:val="00A27643"/>
    <w:rsid w:val="00A27CF3"/>
    <w:rsid w:val="00A30181"/>
    <w:rsid w:val="00A303CE"/>
    <w:rsid w:val="00A307FD"/>
    <w:rsid w:val="00A30A27"/>
    <w:rsid w:val="00A30B55"/>
    <w:rsid w:val="00A30BD4"/>
    <w:rsid w:val="00A31633"/>
    <w:rsid w:val="00A31D0D"/>
    <w:rsid w:val="00A3225F"/>
    <w:rsid w:val="00A3263A"/>
    <w:rsid w:val="00A33103"/>
    <w:rsid w:val="00A33152"/>
    <w:rsid w:val="00A33CE4"/>
    <w:rsid w:val="00A33D27"/>
    <w:rsid w:val="00A34B73"/>
    <w:rsid w:val="00A34BDA"/>
    <w:rsid w:val="00A34F2D"/>
    <w:rsid w:val="00A35256"/>
    <w:rsid w:val="00A35425"/>
    <w:rsid w:val="00A356B4"/>
    <w:rsid w:val="00A35E19"/>
    <w:rsid w:val="00A35F47"/>
    <w:rsid w:val="00A36BF5"/>
    <w:rsid w:val="00A36F88"/>
    <w:rsid w:val="00A3754D"/>
    <w:rsid w:val="00A375F1"/>
    <w:rsid w:val="00A37A04"/>
    <w:rsid w:val="00A37A2F"/>
    <w:rsid w:val="00A37AEA"/>
    <w:rsid w:val="00A37B58"/>
    <w:rsid w:val="00A37BD1"/>
    <w:rsid w:val="00A3B6C6"/>
    <w:rsid w:val="00A41324"/>
    <w:rsid w:val="00A415A2"/>
    <w:rsid w:val="00A416A3"/>
    <w:rsid w:val="00A41C51"/>
    <w:rsid w:val="00A4227B"/>
    <w:rsid w:val="00A424D8"/>
    <w:rsid w:val="00A42819"/>
    <w:rsid w:val="00A42BA2"/>
    <w:rsid w:val="00A42BA7"/>
    <w:rsid w:val="00A42CFA"/>
    <w:rsid w:val="00A42E78"/>
    <w:rsid w:val="00A43567"/>
    <w:rsid w:val="00A43B17"/>
    <w:rsid w:val="00A43C58"/>
    <w:rsid w:val="00A4409C"/>
    <w:rsid w:val="00A4413B"/>
    <w:rsid w:val="00A4552F"/>
    <w:rsid w:val="00A4574E"/>
    <w:rsid w:val="00A45D08"/>
    <w:rsid w:val="00A4607B"/>
    <w:rsid w:val="00A464F7"/>
    <w:rsid w:val="00A46598"/>
    <w:rsid w:val="00A46C47"/>
    <w:rsid w:val="00A47148"/>
    <w:rsid w:val="00A47188"/>
    <w:rsid w:val="00A47B2F"/>
    <w:rsid w:val="00A50081"/>
    <w:rsid w:val="00A5016D"/>
    <w:rsid w:val="00A5035D"/>
    <w:rsid w:val="00A505AF"/>
    <w:rsid w:val="00A50B44"/>
    <w:rsid w:val="00A51145"/>
    <w:rsid w:val="00A51830"/>
    <w:rsid w:val="00A518AA"/>
    <w:rsid w:val="00A51C40"/>
    <w:rsid w:val="00A51E8B"/>
    <w:rsid w:val="00A52152"/>
    <w:rsid w:val="00A522EE"/>
    <w:rsid w:val="00A524F0"/>
    <w:rsid w:val="00A525EF"/>
    <w:rsid w:val="00A52657"/>
    <w:rsid w:val="00A528C9"/>
    <w:rsid w:val="00A529FC"/>
    <w:rsid w:val="00A52A62"/>
    <w:rsid w:val="00A53145"/>
    <w:rsid w:val="00A53AB3"/>
    <w:rsid w:val="00A53FAB"/>
    <w:rsid w:val="00A541BB"/>
    <w:rsid w:val="00A545D0"/>
    <w:rsid w:val="00A547EE"/>
    <w:rsid w:val="00A54A26"/>
    <w:rsid w:val="00A54B64"/>
    <w:rsid w:val="00A54EAA"/>
    <w:rsid w:val="00A54F1C"/>
    <w:rsid w:val="00A5522E"/>
    <w:rsid w:val="00A5547E"/>
    <w:rsid w:val="00A55B17"/>
    <w:rsid w:val="00A5605D"/>
    <w:rsid w:val="00A56083"/>
    <w:rsid w:val="00A56369"/>
    <w:rsid w:val="00A5677E"/>
    <w:rsid w:val="00A5689A"/>
    <w:rsid w:val="00A56BA3"/>
    <w:rsid w:val="00A56CC8"/>
    <w:rsid w:val="00A56E08"/>
    <w:rsid w:val="00A579C4"/>
    <w:rsid w:val="00A57B7F"/>
    <w:rsid w:val="00A57E3E"/>
    <w:rsid w:val="00A60374"/>
    <w:rsid w:val="00A60394"/>
    <w:rsid w:val="00A60697"/>
    <w:rsid w:val="00A60718"/>
    <w:rsid w:val="00A60A5A"/>
    <w:rsid w:val="00A60BD4"/>
    <w:rsid w:val="00A60D8D"/>
    <w:rsid w:val="00A60D8F"/>
    <w:rsid w:val="00A6113F"/>
    <w:rsid w:val="00A61732"/>
    <w:rsid w:val="00A620F5"/>
    <w:rsid w:val="00A62155"/>
    <w:rsid w:val="00A624B2"/>
    <w:rsid w:val="00A63582"/>
    <w:rsid w:val="00A639D8"/>
    <w:rsid w:val="00A63B02"/>
    <w:rsid w:val="00A63B86"/>
    <w:rsid w:val="00A63F0A"/>
    <w:rsid w:val="00A640C8"/>
    <w:rsid w:val="00A6473C"/>
    <w:rsid w:val="00A653CC"/>
    <w:rsid w:val="00A65514"/>
    <w:rsid w:val="00A658B1"/>
    <w:rsid w:val="00A66336"/>
    <w:rsid w:val="00A664C1"/>
    <w:rsid w:val="00A66B7D"/>
    <w:rsid w:val="00A66DDC"/>
    <w:rsid w:val="00A670BF"/>
    <w:rsid w:val="00A6739A"/>
    <w:rsid w:val="00A678F3"/>
    <w:rsid w:val="00A679FE"/>
    <w:rsid w:val="00A67D30"/>
    <w:rsid w:val="00A70160"/>
    <w:rsid w:val="00A703C5"/>
    <w:rsid w:val="00A703E5"/>
    <w:rsid w:val="00A71D08"/>
    <w:rsid w:val="00A7251D"/>
    <w:rsid w:val="00A7256A"/>
    <w:rsid w:val="00A727C0"/>
    <w:rsid w:val="00A72E60"/>
    <w:rsid w:val="00A73492"/>
    <w:rsid w:val="00A73A25"/>
    <w:rsid w:val="00A73B80"/>
    <w:rsid w:val="00A745E0"/>
    <w:rsid w:val="00A75066"/>
    <w:rsid w:val="00A7508C"/>
    <w:rsid w:val="00A7527C"/>
    <w:rsid w:val="00A756FD"/>
    <w:rsid w:val="00A7578C"/>
    <w:rsid w:val="00A7580B"/>
    <w:rsid w:val="00A759BD"/>
    <w:rsid w:val="00A75AD1"/>
    <w:rsid w:val="00A76123"/>
    <w:rsid w:val="00A76236"/>
    <w:rsid w:val="00A76714"/>
    <w:rsid w:val="00A76AE9"/>
    <w:rsid w:val="00A771B2"/>
    <w:rsid w:val="00A773B8"/>
    <w:rsid w:val="00A7759C"/>
    <w:rsid w:val="00A775AA"/>
    <w:rsid w:val="00A77736"/>
    <w:rsid w:val="00A77CE6"/>
    <w:rsid w:val="00A77D98"/>
    <w:rsid w:val="00A8086F"/>
    <w:rsid w:val="00A80D50"/>
    <w:rsid w:val="00A80D8D"/>
    <w:rsid w:val="00A80E0C"/>
    <w:rsid w:val="00A80FD5"/>
    <w:rsid w:val="00A811E5"/>
    <w:rsid w:val="00A8161F"/>
    <w:rsid w:val="00A818F1"/>
    <w:rsid w:val="00A81BD0"/>
    <w:rsid w:val="00A81C3D"/>
    <w:rsid w:val="00A82030"/>
    <w:rsid w:val="00A820FF"/>
    <w:rsid w:val="00A8228E"/>
    <w:rsid w:val="00A82737"/>
    <w:rsid w:val="00A82874"/>
    <w:rsid w:val="00A82934"/>
    <w:rsid w:val="00A82EA9"/>
    <w:rsid w:val="00A82FF6"/>
    <w:rsid w:val="00A83B01"/>
    <w:rsid w:val="00A844CE"/>
    <w:rsid w:val="00A84542"/>
    <w:rsid w:val="00A84614"/>
    <w:rsid w:val="00A84A6A"/>
    <w:rsid w:val="00A84A7D"/>
    <w:rsid w:val="00A84C97"/>
    <w:rsid w:val="00A85927"/>
    <w:rsid w:val="00A85BBE"/>
    <w:rsid w:val="00A85D57"/>
    <w:rsid w:val="00A85DA8"/>
    <w:rsid w:val="00A861A2"/>
    <w:rsid w:val="00A861F5"/>
    <w:rsid w:val="00A86292"/>
    <w:rsid w:val="00A866CF"/>
    <w:rsid w:val="00A86F26"/>
    <w:rsid w:val="00A8717F"/>
    <w:rsid w:val="00A87448"/>
    <w:rsid w:val="00A876F4"/>
    <w:rsid w:val="00A87AFF"/>
    <w:rsid w:val="00A90208"/>
    <w:rsid w:val="00A909F8"/>
    <w:rsid w:val="00A90BEA"/>
    <w:rsid w:val="00A9147A"/>
    <w:rsid w:val="00A91557"/>
    <w:rsid w:val="00A919C5"/>
    <w:rsid w:val="00A923CE"/>
    <w:rsid w:val="00A92ADB"/>
    <w:rsid w:val="00A9488D"/>
    <w:rsid w:val="00A94BDF"/>
    <w:rsid w:val="00A94CDF"/>
    <w:rsid w:val="00A94DFA"/>
    <w:rsid w:val="00A94F16"/>
    <w:rsid w:val="00A95028"/>
    <w:rsid w:val="00A9580D"/>
    <w:rsid w:val="00A95A1C"/>
    <w:rsid w:val="00A95D9E"/>
    <w:rsid w:val="00A95E4D"/>
    <w:rsid w:val="00A96AB1"/>
    <w:rsid w:val="00A972D7"/>
    <w:rsid w:val="00A97390"/>
    <w:rsid w:val="00A978C3"/>
    <w:rsid w:val="00A97CFE"/>
    <w:rsid w:val="00A97D82"/>
    <w:rsid w:val="00A97DC2"/>
    <w:rsid w:val="00AA06A4"/>
    <w:rsid w:val="00AA0A85"/>
    <w:rsid w:val="00AA0D85"/>
    <w:rsid w:val="00AA1006"/>
    <w:rsid w:val="00AA180F"/>
    <w:rsid w:val="00AA253F"/>
    <w:rsid w:val="00AA29F7"/>
    <w:rsid w:val="00AA2F46"/>
    <w:rsid w:val="00AA2F49"/>
    <w:rsid w:val="00AA39FE"/>
    <w:rsid w:val="00AA3A41"/>
    <w:rsid w:val="00AA3B91"/>
    <w:rsid w:val="00AA4136"/>
    <w:rsid w:val="00AA443D"/>
    <w:rsid w:val="00AA4858"/>
    <w:rsid w:val="00AA48B6"/>
    <w:rsid w:val="00AA4A44"/>
    <w:rsid w:val="00AA4F11"/>
    <w:rsid w:val="00AA501C"/>
    <w:rsid w:val="00AA52FC"/>
    <w:rsid w:val="00AA5D21"/>
    <w:rsid w:val="00AA5E7D"/>
    <w:rsid w:val="00AA6684"/>
    <w:rsid w:val="00AA7109"/>
    <w:rsid w:val="00AA71EF"/>
    <w:rsid w:val="00AB0095"/>
    <w:rsid w:val="00AB0500"/>
    <w:rsid w:val="00AB082F"/>
    <w:rsid w:val="00AB0AC3"/>
    <w:rsid w:val="00AB0AF8"/>
    <w:rsid w:val="00AB1AFF"/>
    <w:rsid w:val="00AB1D6E"/>
    <w:rsid w:val="00AB2373"/>
    <w:rsid w:val="00AB2B0D"/>
    <w:rsid w:val="00AB2F9A"/>
    <w:rsid w:val="00AB342A"/>
    <w:rsid w:val="00AB35A4"/>
    <w:rsid w:val="00AB3EDC"/>
    <w:rsid w:val="00AB40AE"/>
    <w:rsid w:val="00AB4137"/>
    <w:rsid w:val="00AB4515"/>
    <w:rsid w:val="00AB52A4"/>
    <w:rsid w:val="00AB564D"/>
    <w:rsid w:val="00AB566F"/>
    <w:rsid w:val="00AB5A1A"/>
    <w:rsid w:val="00AB6552"/>
    <w:rsid w:val="00AB685E"/>
    <w:rsid w:val="00AB68FF"/>
    <w:rsid w:val="00AB6A3A"/>
    <w:rsid w:val="00AB6AD1"/>
    <w:rsid w:val="00AB6EFA"/>
    <w:rsid w:val="00AB7190"/>
    <w:rsid w:val="00AB72E1"/>
    <w:rsid w:val="00AB7331"/>
    <w:rsid w:val="00AB7395"/>
    <w:rsid w:val="00AB742B"/>
    <w:rsid w:val="00AB79C3"/>
    <w:rsid w:val="00AB7B71"/>
    <w:rsid w:val="00AB7E16"/>
    <w:rsid w:val="00AB7F97"/>
    <w:rsid w:val="00AC007F"/>
    <w:rsid w:val="00AC054B"/>
    <w:rsid w:val="00AC0B42"/>
    <w:rsid w:val="00AC0C44"/>
    <w:rsid w:val="00AC0F9E"/>
    <w:rsid w:val="00AC13FF"/>
    <w:rsid w:val="00AC1654"/>
    <w:rsid w:val="00AC1CB3"/>
    <w:rsid w:val="00AC20E6"/>
    <w:rsid w:val="00AC211D"/>
    <w:rsid w:val="00AC3A21"/>
    <w:rsid w:val="00AC3B47"/>
    <w:rsid w:val="00AC40B4"/>
    <w:rsid w:val="00AC49E3"/>
    <w:rsid w:val="00AC4CAE"/>
    <w:rsid w:val="00AC53BB"/>
    <w:rsid w:val="00AC620E"/>
    <w:rsid w:val="00AC6499"/>
    <w:rsid w:val="00AC672C"/>
    <w:rsid w:val="00AC6AF5"/>
    <w:rsid w:val="00AC7089"/>
    <w:rsid w:val="00AC7232"/>
    <w:rsid w:val="00AC77D0"/>
    <w:rsid w:val="00AC7A97"/>
    <w:rsid w:val="00AC7E07"/>
    <w:rsid w:val="00AD01AE"/>
    <w:rsid w:val="00AD03B3"/>
    <w:rsid w:val="00AD0905"/>
    <w:rsid w:val="00AD0A00"/>
    <w:rsid w:val="00AD0AC2"/>
    <w:rsid w:val="00AD0DFA"/>
    <w:rsid w:val="00AD0E71"/>
    <w:rsid w:val="00AD1482"/>
    <w:rsid w:val="00AD149A"/>
    <w:rsid w:val="00AD15CD"/>
    <w:rsid w:val="00AD1700"/>
    <w:rsid w:val="00AD1948"/>
    <w:rsid w:val="00AD1C58"/>
    <w:rsid w:val="00AD1FD8"/>
    <w:rsid w:val="00AD24C3"/>
    <w:rsid w:val="00AD2641"/>
    <w:rsid w:val="00AD2824"/>
    <w:rsid w:val="00AD3A48"/>
    <w:rsid w:val="00AD3D67"/>
    <w:rsid w:val="00AD3FF8"/>
    <w:rsid w:val="00AD4585"/>
    <w:rsid w:val="00AD45D6"/>
    <w:rsid w:val="00AD4605"/>
    <w:rsid w:val="00AD4999"/>
    <w:rsid w:val="00AD4AF4"/>
    <w:rsid w:val="00AD514A"/>
    <w:rsid w:val="00AD5840"/>
    <w:rsid w:val="00AD5A81"/>
    <w:rsid w:val="00AD5C5A"/>
    <w:rsid w:val="00AD5CF5"/>
    <w:rsid w:val="00AD6039"/>
    <w:rsid w:val="00AD71EC"/>
    <w:rsid w:val="00AD7313"/>
    <w:rsid w:val="00AD745E"/>
    <w:rsid w:val="00AD77EB"/>
    <w:rsid w:val="00AD7F6C"/>
    <w:rsid w:val="00AD7FB0"/>
    <w:rsid w:val="00AE006F"/>
    <w:rsid w:val="00AE045D"/>
    <w:rsid w:val="00AE0D3E"/>
    <w:rsid w:val="00AE1240"/>
    <w:rsid w:val="00AE12B7"/>
    <w:rsid w:val="00AE153E"/>
    <w:rsid w:val="00AE16A7"/>
    <w:rsid w:val="00AE188D"/>
    <w:rsid w:val="00AE19F2"/>
    <w:rsid w:val="00AE1CD6"/>
    <w:rsid w:val="00AE1D63"/>
    <w:rsid w:val="00AE2020"/>
    <w:rsid w:val="00AE20BD"/>
    <w:rsid w:val="00AE26B3"/>
    <w:rsid w:val="00AE2943"/>
    <w:rsid w:val="00AE2ACA"/>
    <w:rsid w:val="00AE2BA2"/>
    <w:rsid w:val="00AE2E80"/>
    <w:rsid w:val="00AE3118"/>
    <w:rsid w:val="00AE32B4"/>
    <w:rsid w:val="00AE3AF8"/>
    <w:rsid w:val="00AE3BE9"/>
    <w:rsid w:val="00AE3EFC"/>
    <w:rsid w:val="00AE5310"/>
    <w:rsid w:val="00AE534F"/>
    <w:rsid w:val="00AE57F3"/>
    <w:rsid w:val="00AE5835"/>
    <w:rsid w:val="00AE587E"/>
    <w:rsid w:val="00AE591A"/>
    <w:rsid w:val="00AE5C30"/>
    <w:rsid w:val="00AE6A00"/>
    <w:rsid w:val="00AE6ADB"/>
    <w:rsid w:val="00AE6CBC"/>
    <w:rsid w:val="00AE6D90"/>
    <w:rsid w:val="00AE6F20"/>
    <w:rsid w:val="00AE7330"/>
    <w:rsid w:val="00AE7B80"/>
    <w:rsid w:val="00AE7D38"/>
    <w:rsid w:val="00AF04D7"/>
    <w:rsid w:val="00AF0939"/>
    <w:rsid w:val="00AF0960"/>
    <w:rsid w:val="00AF0FF0"/>
    <w:rsid w:val="00AF10C0"/>
    <w:rsid w:val="00AF13A9"/>
    <w:rsid w:val="00AF1EBD"/>
    <w:rsid w:val="00AF20FE"/>
    <w:rsid w:val="00AF271E"/>
    <w:rsid w:val="00AF291A"/>
    <w:rsid w:val="00AF294B"/>
    <w:rsid w:val="00AF2A47"/>
    <w:rsid w:val="00AF3638"/>
    <w:rsid w:val="00AF37CE"/>
    <w:rsid w:val="00AF3A8F"/>
    <w:rsid w:val="00AF3DE9"/>
    <w:rsid w:val="00AF40BC"/>
    <w:rsid w:val="00AF4107"/>
    <w:rsid w:val="00AF460E"/>
    <w:rsid w:val="00AF47D9"/>
    <w:rsid w:val="00AF5043"/>
    <w:rsid w:val="00AF5150"/>
    <w:rsid w:val="00AF5EA0"/>
    <w:rsid w:val="00AF601B"/>
    <w:rsid w:val="00AF62AB"/>
    <w:rsid w:val="00AF636E"/>
    <w:rsid w:val="00AF6424"/>
    <w:rsid w:val="00AF64F0"/>
    <w:rsid w:val="00AF670E"/>
    <w:rsid w:val="00AF6AF3"/>
    <w:rsid w:val="00AF719D"/>
    <w:rsid w:val="00AF76EA"/>
    <w:rsid w:val="00AF7C11"/>
    <w:rsid w:val="00B0000A"/>
    <w:rsid w:val="00B00012"/>
    <w:rsid w:val="00B0134E"/>
    <w:rsid w:val="00B0156F"/>
    <w:rsid w:val="00B026FE"/>
    <w:rsid w:val="00B02F93"/>
    <w:rsid w:val="00B031C0"/>
    <w:rsid w:val="00B035C1"/>
    <w:rsid w:val="00B036AB"/>
    <w:rsid w:val="00B039ED"/>
    <w:rsid w:val="00B039EE"/>
    <w:rsid w:val="00B0407D"/>
    <w:rsid w:val="00B0413C"/>
    <w:rsid w:val="00B0419A"/>
    <w:rsid w:val="00B0578B"/>
    <w:rsid w:val="00B059E1"/>
    <w:rsid w:val="00B05A57"/>
    <w:rsid w:val="00B05B88"/>
    <w:rsid w:val="00B05CAB"/>
    <w:rsid w:val="00B05E72"/>
    <w:rsid w:val="00B066F7"/>
    <w:rsid w:val="00B07457"/>
    <w:rsid w:val="00B076D9"/>
    <w:rsid w:val="00B07B13"/>
    <w:rsid w:val="00B10735"/>
    <w:rsid w:val="00B10FE8"/>
    <w:rsid w:val="00B11525"/>
    <w:rsid w:val="00B11630"/>
    <w:rsid w:val="00B119B2"/>
    <w:rsid w:val="00B11B33"/>
    <w:rsid w:val="00B11D3C"/>
    <w:rsid w:val="00B11D8E"/>
    <w:rsid w:val="00B121D8"/>
    <w:rsid w:val="00B12EB0"/>
    <w:rsid w:val="00B139A2"/>
    <w:rsid w:val="00B139DE"/>
    <w:rsid w:val="00B13D96"/>
    <w:rsid w:val="00B13DDB"/>
    <w:rsid w:val="00B13DEE"/>
    <w:rsid w:val="00B14235"/>
    <w:rsid w:val="00B148D9"/>
    <w:rsid w:val="00B14901"/>
    <w:rsid w:val="00B14BA5"/>
    <w:rsid w:val="00B1512D"/>
    <w:rsid w:val="00B1532C"/>
    <w:rsid w:val="00B159F2"/>
    <w:rsid w:val="00B15E8F"/>
    <w:rsid w:val="00B15FE9"/>
    <w:rsid w:val="00B16AEE"/>
    <w:rsid w:val="00B1743F"/>
    <w:rsid w:val="00B1791C"/>
    <w:rsid w:val="00B17E43"/>
    <w:rsid w:val="00B2040E"/>
    <w:rsid w:val="00B2055F"/>
    <w:rsid w:val="00B21805"/>
    <w:rsid w:val="00B21831"/>
    <w:rsid w:val="00B21B1C"/>
    <w:rsid w:val="00B21BF1"/>
    <w:rsid w:val="00B21C4D"/>
    <w:rsid w:val="00B22627"/>
    <w:rsid w:val="00B2294A"/>
    <w:rsid w:val="00B2295E"/>
    <w:rsid w:val="00B2298B"/>
    <w:rsid w:val="00B229B0"/>
    <w:rsid w:val="00B22F5D"/>
    <w:rsid w:val="00B23728"/>
    <w:rsid w:val="00B23F84"/>
    <w:rsid w:val="00B24332"/>
    <w:rsid w:val="00B2499F"/>
    <w:rsid w:val="00B24B1B"/>
    <w:rsid w:val="00B24BC7"/>
    <w:rsid w:val="00B24DB6"/>
    <w:rsid w:val="00B24EBF"/>
    <w:rsid w:val="00B24FD2"/>
    <w:rsid w:val="00B2514D"/>
    <w:rsid w:val="00B25220"/>
    <w:rsid w:val="00B255FA"/>
    <w:rsid w:val="00B2567D"/>
    <w:rsid w:val="00B2633B"/>
    <w:rsid w:val="00B267D3"/>
    <w:rsid w:val="00B26E67"/>
    <w:rsid w:val="00B27288"/>
    <w:rsid w:val="00B2795B"/>
    <w:rsid w:val="00B27A12"/>
    <w:rsid w:val="00B27FA9"/>
    <w:rsid w:val="00B300D6"/>
    <w:rsid w:val="00B30B75"/>
    <w:rsid w:val="00B319EA"/>
    <w:rsid w:val="00B32736"/>
    <w:rsid w:val="00B327EC"/>
    <w:rsid w:val="00B32E73"/>
    <w:rsid w:val="00B332D6"/>
    <w:rsid w:val="00B33934"/>
    <w:rsid w:val="00B33AEA"/>
    <w:rsid w:val="00B33D81"/>
    <w:rsid w:val="00B3494F"/>
    <w:rsid w:val="00B34986"/>
    <w:rsid w:val="00B34AB0"/>
    <w:rsid w:val="00B35815"/>
    <w:rsid w:val="00B35B11"/>
    <w:rsid w:val="00B35F9D"/>
    <w:rsid w:val="00B35FD5"/>
    <w:rsid w:val="00B36030"/>
    <w:rsid w:val="00B36327"/>
    <w:rsid w:val="00B36966"/>
    <w:rsid w:val="00B36ADA"/>
    <w:rsid w:val="00B36C02"/>
    <w:rsid w:val="00B36CC7"/>
    <w:rsid w:val="00B36CDF"/>
    <w:rsid w:val="00B36E47"/>
    <w:rsid w:val="00B37274"/>
    <w:rsid w:val="00B379B7"/>
    <w:rsid w:val="00B37A64"/>
    <w:rsid w:val="00B37A8A"/>
    <w:rsid w:val="00B37DC4"/>
    <w:rsid w:val="00B409E9"/>
    <w:rsid w:val="00B40C42"/>
    <w:rsid w:val="00B40E1E"/>
    <w:rsid w:val="00B40E76"/>
    <w:rsid w:val="00B40E9D"/>
    <w:rsid w:val="00B42151"/>
    <w:rsid w:val="00B4219D"/>
    <w:rsid w:val="00B42633"/>
    <w:rsid w:val="00B42AF2"/>
    <w:rsid w:val="00B42C30"/>
    <w:rsid w:val="00B42DD6"/>
    <w:rsid w:val="00B43E58"/>
    <w:rsid w:val="00B44AE5"/>
    <w:rsid w:val="00B45884"/>
    <w:rsid w:val="00B458A0"/>
    <w:rsid w:val="00B45DB0"/>
    <w:rsid w:val="00B45EC6"/>
    <w:rsid w:val="00B4677D"/>
    <w:rsid w:val="00B470F4"/>
    <w:rsid w:val="00B472AF"/>
    <w:rsid w:val="00B47AE1"/>
    <w:rsid w:val="00B47B7A"/>
    <w:rsid w:val="00B47BB9"/>
    <w:rsid w:val="00B5009E"/>
    <w:rsid w:val="00B5042A"/>
    <w:rsid w:val="00B506DE"/>
    <w:rsid w:val="00B5084C"/>
    <w:rsid w:val="00B509D1"/>
    <w:rsid w:val="00B50D67"/>
    <w:rsid w:val="00B516B5"/>
    <w:rsid w:val="00B5212D"/>
    <w:rsid w:val="00B52162"/>
    <w:rsid w:val="00B5268D"/>
    <w:rsid w:val="00B52AFD"/>
    <w:rsid w:val="00B52B60"/>
    <w:rsid w:val="00B52D6A"/>
    <w:rsid w:val="00B5372A"/>
    <w:rsid w:val="00B53865"/>
    <w:rsid w:val="00B54C31"/>
    <w:rsid w:val="00B54CAF"/>
    <w:rsid w:val="00B54F79"/>
    <w:rsid w:val="00B55283"/>
    <w:rsid w:val="00B55A3A"/>
    <w:rsid w:val="00B55BC7"/>
    <w:rsid w:val="00B5625B"/>
    <w:rsid w:val="00B56671"/>
    <w:rsid w:val="00B56C95"/>
    <w:rsid w:val="00B600B3"/>
    <w:rsid w:val="00B60260"/>
    <w:rsid w:val="00B60A42"/>
    <w:rsid w:val="00B60BC2"/>
    <w:rsid w:val="00B61217"/>
    <w:rsid w:val="00B61268"/>
    <w:rsid w:val="00B618D4"/>
    <w:rsid w:val="00B61BC3"/>
    <w:rsid w:val="00B61BC6"/>
    <w:rsid w:val="00B620B8"/>
    <w:rsid w:val="00B631CE"/>
    <w:rsid w:val="00B638F9"/>
    <w:rsid w:val="00B6399D"/>
    <w:rsid w:val="00B63CBC"/>
    <w:rsid w:val="00B6433E"/>
    <w:rsid w:val="00B6507B"/>
    <w:rsid w:val="00B6539E"/>
    <w:rsid w:val="00B65455"/>
    <w:rsid w:val="00B65831"/>
    <w:rsid w:val="00B65C55"/>
    <w:rsid w:val="00B65DE1"/>
    <w:rsid w:val="00B66430"/>
    <w:rsid w:val="00B6646A"/>
    <w:rsid w:val="00B6726F"/>
    <w:rsid w:val="00B67509"/>
    <w:rsid w:val="00B67A57"/>
    <w:rsid w:val="00B67AD9"/>
    <w:rsid w:val="00B67C17"/>
    <w:rsid w:val="00B67C4B"/>
    <w:rsid w:val="00B67F4A"/>
    <w:rsid w:val="00B7098F"/>
    <w:rsid w:val="00B70BB6"/>
    <w:rsid w:val="00B70CBB"/>
    <w:rsid w:val="00B70EBA"/>
    <w:rsid w:val="00B7241B"/>
    <w:rsid w:val="00B7264F"/>
    <w:rsid w:val="00B72BFB"/>
    <w:rsid w:val="00B7343A"/>
    <w:rsid w:val="00B7354F"/>
    <w:rsid w:val="00B73A3C"/>
    <w:rsid w:val="00B73C46"/>
    <w:rsid w:val="00B73E2E"/>
    <w:rsid w:val="00B73E84"/>
    <w:rsid w:val="00B74534"/>
    <w:rsid w:val="00B74A1F"/>
    <w:rsid w:val="00B75741"/>
    <w:rsid w:val="00B7592F"/>
    <w:rsid w:val="00B75FC1"/>
    <w:rsid w:val="00B76214"/>
    <w:rsid w:val="00B7676D"/>
    <w:rsid w:val="00B776B4"/>
    <w:rsid w:val="00B77CB1"/>
    <w:rsid w:val="00B77DD5"/>
    <w:rsid w:val="00B77ED0"/>
    <w:rsid w:val="00B80316"/>
    <w:rsid w:val="00B80695"/>
    <w:rsid w:val="00B80A11"/>
    <w:rsid w:val="00B810A5"/>
    <w:rsid w:val="00B81165"/>
    <w:rsid w:val="00B814EE"/>
    <w:rsid w:val="00B81618"/>
    <w:rsid w:val="00B817A6"/>
    <w:rsid w:val="00B81B22"/>
    <w:rsid w:val="00B81C1A"/>
    <w:rsid w:val="00B81D2E"/>
    <w:rsid w:val="00B8202B"/>
    <w:rsid w:val="00B8223A"/>
    <w:rsid w:val="00B825D7"/>
    <w:rsid w:val="00B8268B"/>
    <w:rsid w:val="00B83D2A"/>
    <w:rsid w:val="00B840D1"/>
    <w:rsid w:val="00B8442C"/>
    <w:rsid w:val="00B84F97"/>
    <w:rsid w:val="00B859B0"/>
    <w:rsid w:val="00B85FF0"/>
    <w:rsid w:val="00B861FD"/>
    <w:rsid w:val="00B8646B"/>
    <w:rsid w:val="00B8647A"/>
    <w:rsid w:val="00B8666B"/>
    <w:rsid w:val="00B86928"/>
    <w:rsid w:val="00B86929"/>
    <w:rsid w:val="00B87185"/>
    <w:rsid w:val="00B873C5"/>
    <w:rsid w:val="00B87600"/>
    <w:rsid w:val="00B8761A"/>
    <w:rsid w:val="00B87799"/>
    <w:rsid w:val="00B877DA"/>
    <w:rsid w:val="00B87ACD"/>
    <w:rsid w:val="00B87E95"/>
    <w:rsid w:val="00B87F44"/>
    <w:rsid w:val="00B87F71"/>
    <w:rsid w:val="00B904B0"/>
    <w:rsid w:val="00B91C17"/>
    <w:rsid w:val="00B91FAB"/>
    <w:rsid w:val="00B922C2"/>
    <w:rsid w:val="00B92314"/>
    <w:rsid w:val="00B92634"/>
    <w:rsid w:val="00B92863"/>
    <w:rsid w:val="00B92A2A"/>
    <w:rsid w:val="00B92C44"/>
    <w:rsid w:val="00B92CAB"/>
    <w:rsid w:val="00B92D4D"/>
    <w:rsid w:val="00B92D56"/>
    <w:rsid w:val="00B92DFD"/>
    <w:rsid w:val="00B934CC"/>
    <w:rsid w:val="00B94414"/>
    <w:rsid w:val="00B94440"/>
    <w:rsid w:val="00B94C0B"/>
    <w:rsid w:val="00B94EB5"/>
    <w:rsid w:val="00B94F43"/>
    <w:rsid w:val="00B9506F"/>
    <w:rsid w:val="00B95806"/>
    <w:rsid w:val="00B9593C"/>
    <w:rsid w:val="00B95DBC"/>
    <w:rsid w:val="00B96C25"/>
    <w:rsid w:val="00B96EA0"/>
    <w:rsid w:val="00B96EA2"/>
    <w:rsid w:val="00B977CE"/>
    <w:rsid w:val="00BA05BE"/>
    <w:rsid w:val="00BA0E72"/>
    <w:rsid w:val="00BA1044"/>
    <w:rsid w:val="00BA1051"/>
    <w:rsid w:val="00BA13B9"/>
    <w:rsid w:val="00BA1724"/>
    <w:rsid w:val="00BA189E"/>
    <w:rsid w:val="00BA1C8A"/>
    <w:rsid w:val="00BA1EB7"/>
    <w:rsid w:val="00BA2D73"/>
    <w:rsid w:val="00BA356B"/>
    <w:rsid w:val="00BA3945"/>
    <w:rsid w:val="00BA399F"/>
    <w:rsid w:val="00BA3D07"/>
    <w:rsid w:val="00BA3D58"/>
    <w:rsid w:val="00BA4C6F"/>
    <w:rsid w:val="00BA4D42"/>
    <w:rsid w:val="00BA546A"/>
    <w:rsid w:val="00BA5621"/>
    <w:rsid w:val="00BA62E5"/>
    <w:rsid w:val="00BA6386"/>
    <w:rsid w:val="00BA64C7"/>
    <w:rsid w:val="00BA6F68"/>
    <w:rsid w:val="00BA747B"/>
    <w:rsid w:val="00BA747D"/>
    <w:rsid w:val="00BA7620"/>
    <w:rsid w:val="00BA7DE8"/>
    <w:rsid w:val="00BB04DC"/>
    <w:rsid w:val="00BB0A2D"/>
    <w:rsid w:val="00BB0A5B"/>
    <w:rsid w:val="00BB0B6A"/>
    <w:rsid w:val="00BB0E5C"/>
    <w:rsid w:val="00BB0E71"/>
    <w:rsid w:val="00BB1D5C"/>
    <w:rsid w:val="00BB1FE5"/>
    <w:rsid w:val="00BB2271"/>
    <w:rsid w:val="00BB248E"/>
    <w:rsid w:val="00BB2D9B"/>
    <w:rsid w:val="00BB3934"/>
    <w:rsid w:val="00BB3BD2"/>
    <w:rsid w:val="00BB3F99"/>
    <w:rsid w:val="00BB3FF6"/>
    <w:rsid w:val="00BB4088"/>
    <w:rsid w:val="00BB419F"/>
    <w:rsid w:val="00BB41F2"/>
    <w:rsid w:val="00BB48D2"/>
    <w:rsid w:val="00BB5097"/>
    <w:rsid w:val="00BB5312"/>
    <w:rsid w:val="00BB54CF"/>
    <w:rsid w:val="00BB59FF"/>
    <w:rsid w:val="00BB5B76"/>
    <w:rsid w:val="00BB5C42"/>
    <w:rsid w:val="00BB69A5"/>
    <w:rsid w:val="00BB6FE8"/>
    <w:rsid w:val="00BB7983"/>
    <w:rsid w:val="00BC097A"/>
    <w:rsid w:val="00BC09BD"/>
    <w:rsid w:val="00BC09D6"/>
    <w:rsid w:val="00BC0C0C"/>
    <w:rsid w:val="00BC191F"/>
    <w:rsid w:val="00BC1ED0"/>
    <w:rsid w:val="00BC1F44"/>
    <w:rsid w:val="00BC2304"/>
    <w:rsid w:val="00BC2F20"/>
    <w:rsid w:val="00BC30B3"/>
    <w:rsid w:val="00BC31F1"/>
    <w:rsid w:val="00BC324A"/>
    <w:rsid w:val="00BC35E9"/>
    <w:rsid w:val="00BC35FD"/>
    <w:rsid w:val="00BC36A2"/>
    <w:rsid w:val="00BC3D17"/>
    <w:rsid w:val="00BC3D29"/>
    <w:rsid w:val="00BC428B"/>
    <w:rsid w:val="00BC43B5"/>
    <w:rsid w:val="00BC451B"/>
    <w:rsid w:val="00BC4D9D"/>
    <w:rsid w:val="00BC4F10"/>
    <w:rsid w:val="00BC56E3"/>
    <w:rsid w:val="00BC58ED"/>
    <w:rsid w:val="00BC62AA"/>
    <w:rsid w:val="00BC645D"/>
    <w:rsid w:val="00BC6914"/>
    <w:rsid w:val="00BC72B0"/>
    <w:rsid w:val="00BC739B"/>
    <w:rsid w:val="00BC7C2E"/>
    <w:rsid w:val="00BC7F1F"/>
    <w:rsid w:val="00BC7FFE"/>
    <w:rsid w:val="00BD0196"/>
    <w:rsid w:val="00BD021A"/>
    <w:rsid w:val="00BD0646"/>
    <w:rsid w:val="00BD06BF"/>
    <w:rsid w:val="00BD1082"/>
    <w:rsid w:val="00BD109E"/>
    <w:rsid w:val="00BD1737"/>
    <w:rsid w:val="00BD1B21"/>
    <w:rsid w:val="00BD1D89"/>
    <w:rsid w:val="00BD26C8"/>
    <w:rsid w:val="00BD290D"/>
    <w:rsid w:val="00BD330B"/>
    <w:rsid w:val="00BD38BA"/>
    <w:rsid w:val="00BD3BDB"/>
    <w:rsid w:val="00BD457F"/>
    <w:rsid w:val="00BD4640"/>
    <w:rsid w:val="00BD4CBA"/>
    <w:rsid w:val="00BD4CD5"/>
    <w:rsid w:val="00BD4D70"/>
    <w:rsid w:val="00BD4D87"/>
    <w:rsid w:val="00BD4DCD"/>
    <w:rsid w:val="00BD4F6A"/>
    <w:rsid w:val="00BD5C36"/>
    <w:rsid w:val="00BD5CFC"/>
    <w:rsid w:val="00BD609A"/>
    <w:rsid w:val="00BD681C"/>
    <w:rsid w:val="00BD6D16"/>
    <w:rsid w:val="00BD6DF5"/>
    <w:rsid w:val="00BD6E57"/>
    <w:rsid w:val="00BD704D"/>
    <w:rsid w:val="00BD7482"/>
    <w:rsid w:val="00BD753B"/>
    <w:rsid w:val="00BD75A1"/>
    <w:rsid w:val="00BD7903"/>
    <w:rsid w:val="00BD7A54"/>
    <w:rsid w:val="00BE06F3"/>
    <w:rsid w:val="00BE0A7F"/>
    <w:rsid w:val="00BE0AE6"/>
    <w:rsid w:val="00BE0B28"/>
    <w:rsid w:val="00BE2B83"/>
    <w:rsid w:val="00BE2C16"/>
    <w:rsid w:val="00BE3333"/>
    <w:rsid w:val="00BE3B7D"/>
    <w:rsid w:val="00BE4C9E"/>
    <w:rsid w:val="00BE5EE6"/>
    <w:rsid w:val="00BE684C"/>
    <w:rsid w:val="00BE6AD9"/>
    <w:rsid w:val="00BE6FF8"/>
    <w:rsid w:val="00BE732F"/>
    <w:rsid w:val="00BE7AF5"/>
    <w:rsid w:val="00BE7EE8"/>
    <w:rsid w:val="00BF020D"/>
    <w:rsid w:val="00BF08FF"/>
    <w:rsid w:val="00BF0AA2"/>
    <w:rsid w:val="00BF0BB2"/>
    <w:rsid w:val="00BF0BE5"/>
    <w:rsid w:val="00BF1AFB"/>
    <w:rsid w:val="00BF1C84"/>
    <w:rsid w:val="00BF1D3F"/>
    <w:rsid w:val="00BF2BE3"/>
    <w:rsid w:val="00BF2D15"/>
    <w:rsid w:val="00BF355D"/>
    <w:rsid w:val="00BF35F3"/>
    <w:rsid w:val="00BF394B"/>
    <w:rsid w:val="00BF3AEC"/>
    <w:rsid w:val="00BF3BFA"/>
    <w:rsid w:val="00BF455A"/>
    <w:rsid w:val="00BF4716"/>
    <w:rsid w:val="00BF4782"/>
    <w:rsid w:val="00BF4999"/>
    <w:rsid w:val="00BF4B19"/>
    <w:rsid w:val="00BF5327"/>
    <w:rsid w:val="00BF551E"/>
    <w:rsid w:val="00BF5532"/>
    <w:rsid w:val="00BF57B1"/>
    <w:rsid w:val="00BF5948"/>
    <w:rsid w:val="00BF66D0"/>
    <w:rsid w:val="00BF69BC"/>
    <w:rsid w:val="00C00BAF"/>
    <w:rsid w:val="00C00BBC"/>
    <w:rsid w:val="00C00D03"/>
    <w:rsid w:val="00C016AD"/>
    <w:rsid w:val="00C022A7"/>
    <w:rsid w:val="00C0272D"/>
    <w:rsid w:val="00C02A88"/>
    <w:rsid w:val="00C02C09"/>
    <w:rsid w:val="00C033CB"/>
    <w:rsid w:val="00C034AC"/>
    <w:rsid w:val="00C0374A"/>
    <w:rsid w:val="00C03FFA"/>
    <w:rsid w:val="00C051BC"/>
    <w:rsid w:val="00C05295"/>
    <w:rsid w:val="00C05A54"/>
    <w:rsid w:val="00C05A74"/>
    <w:rsid w:val="00C06F66"/>
    <w:rsid w:val="00C07319"/>
    <w:rsid w:val="00C073F7"/>
    <w:rsid w:val="00C07908"/>
    <w:rsid w:val="00C07A30"/>
    <w:rsid w:val="00C07A4F"/>
    <w:rsid w:val="00C07AB4"/>
    <w:rsid w:val="00C10253"/>
    <w:rsid w:val="00C10792"/>
    <w:rsid w:val="00C1137F"/>
    <w:rsid w:val="00C11900"/>
    <w:rsid w:val="00C11ABF"/>
    <w:rsid w:val="00C11E0C"/>
    <w:rsid w:val="00C1239C"/>
    <w:rsid w:val="00C12D93"/>
    <w:rsid w:val="00C13068"/>
    <w:rsid w:val="00C13130"/>
    <w:rsid w:val="00C13690"/>
    <w:rsid w:val="00C13C98"/>
    <w:rsid w:val="00C14075"/>
    <w:rsid w:val="00C14185"/>
    <w:rsid w:val="00C144A0"/>
    <w:rsid w:val="00C1492A"/>
    <w:rsid w:val="00C14BB6"/>
    <w:rsid w:val="00C14DF4"/>
    <w:rsid w:val="00C151A1"/>
    <w:rsid w:val="00C1538C"/>
    <w:rsid w:val="00C15889"/>
    <w:rsid w:val="00C159DB"/>
    <w:rsid w:val="00C16114"/>
    <w:rsid w:val="00C16500"/>
    <w:rsid w:val="00C16594"/>
    <w:rsid w:val="00C16A1D"/>
    <w:rsid w:val="00C16DE1"/>
    <w:rsid w:val="00C1751E"/>
    <w:rsid w:val="00C17DE0"/>
    <w:rsid w:val="00C205D4"/>
    <w:rsid w:val="00C20625"/>
    <w:rsid w:val="00C20706"/>
    <w:rsid w:val="00C21219"/>
    <w:rsid w:val="00C21228"/>
    <w:rsid w:val="00C215FD"/>
    <w:rsid w:val="00C218CD"/>
    <w:rsid w:val="00C22209"/>
    <w:rsid w:val="00C2226C"/>
    <w:rsid w:val="00C2231C"/>
    <w:rsid w:val="00C22423"/>
    <w:rsid w:val="00C2256B"/>
    <w:rsid w:val="00C2262C"/>
    <w:rsid w:val="00C232A0"/>
    <w:rsid w:val="00C236B6"/>
    <w:rsid w:val="00C23CE0"/>
    <w:rsid w:val="00C23D54"/>
    <w:rsid w:val="00C2402E"/>
    <w:rsid w:val="00C243F4"/>
    <w:rsid w:val="00C265D7"/>
    <w:rsid w:val="00C26B90"/>
    <w:rsid w:val="00C26E44"/>
    <w:rsid w:val="00C27775"/>
    <w:rsid w:val="00C277E3"/>
    <w:rsid w:val="00C27BC2"/>
    <w:rsid w:val="00C27D68"/>
    <w:rsid w:val="00C27EBC"/>
    <w:rsid w:val="00C303EC"/>
    <w:rsid w:val="00C30D2D"/>
    <w:rsid w:val="00C321B1"/>
    <w:rsid w:val="00C321FD"/>
    <w:rsid w:val="00C3236F"/>
    <w:rsid w:val="00C3243F"/>
    <w:rsid w:val="00C32BD4"/>
    <w:rsid w:val="00C32E7B"/>
    <w:rsid w:val="00C337A5"/>
    <w:rsid w:val="00C33DF0"/>
    <w:rsid w:val="00C33EE7"/>
    <w:rsid w:val="00C33F2B"/>
    <w:rsid w:val="00C346AC"/>
    <w:rsid w:val="00C34745"/>
    <w:rsid w:val="00C348E1"/>
    <w:rsid w:val="00C34A18"/>
    <w:rsid w:val="00C34BC1"/>
    <w:rsid w:val="00C34D81"/>
    <w:rsid w:val="00C35014"/>
    <w:rsid w:val="00C351F5"/>
    <w:rsid w:val="00C35386"/>
    <w:rsid w:val="00C355AC"/>
    <w:rsid w:val="00C35D99"/>
    <w:rsid w:val="00C362E5"/>
    <w:rsid w:val="00C3677B"/>
    <w:rsid w:val="00C3717A"/>
    <w:rsid w:val="00C37728"/>
    <w:rsid w:val="00C37A04"/>
    <w:rsid w:val="00C37BA8"/>
    <w:rsid w:val="00C40556"/>
    <w:rsid w:val="00C40F28"/>
    <w:rsid w:val="00C41191"/>
    <w:rsid w:val="00C411B5"/>
    <w:rsid w:val="00C415D3"/>
    <w:rsid w:val="00C41808"/>
    <w:rsid w:val="00C42034"/>
    <w:rsid w:val="00C42116"/>
    <w:rsid w:val="00C4251A"/>
    <w:rsid w:val="00C42CAD"/>
    <w:rsid w:val="00C42D80"/>
    <w:rsid w:val="00C430DA"/>
    <w:rsid w:val="00C43292"/>
    <w:rsid w:val="00C4332C"/>
    <w:rsid w:val="00C437CB"/>
    <w:rsid w:val="00C438CC"/>
    <w:rsid w:val="00C43CAA"/>
    <w:rsid w:val="00C43CC1"/>
    <w:rsid w:val="00C44128"/>
    <w:rsid w:val="00C44A3E"/>
    <w:rsid w:val="00C44BA3"/>
    <w:rsid w:val="00C44CEF"/>
    <w:rsid w:val="00C45489"/>
    <w:rsid w:val="00C45A30"/>
    <w:rsid w:val="00C46029"/>
    <w:rsid w:val="00C4614F"/>
    <w:rsid w:val="00C4626E"/>
    <w:rsid w:val="00C46308"/>
    <w:rsid w:val="00C4651A"/>
    <w:rsid w:val="00C46AD2"/>
    <w:rsid w:val="00C46EAD"/>
    <w:rsid w:val="00C478A7"/>
    <w:rsid w:val="00C478DA"/>
    <w:rsid w:val="00C47A3E"/>
    <w:rsid w:val="00C47C28"/>
    <w:rsid w:val="00C47F72"/>
    <w:rsid w:val="00C47F98"/>
    <w:rsid w:val="00C509EB"/>
    <w:rsid w:val="00C50A43"/>
    <w:rsid w:val="00C519AD"/>
    <w:rsid w:val="00C51B9A"/>
    <w:rsid w:val="00C51CA1"/>
    <w:rsid w:val="00C51E5D"/>
    <w:rsid w:val="00C521BE"/>
    <w:rsid w:val="00C52A00"/>
    <w:rsid w:val="00C53C18"/>
    <w:rsid w:val="00C53E13"/>
    <w:rsid w:val="00C53E91"/>
    <w:rsid w:val="00C544CF"/>
    <w:rsid w:val="00C5487B"/>
    <w:rsid w:val="00C54E11"/>
    <w:rsid w:val="00C550E5"/>
    <w:rsid w:val="00C5588F"/>
    <w:rsid w:val="00C561D5"/>
    <w:rsid w:val="00C56304"/>
    <w:rsid w:val="00C56790"/>
    <w:rsid w:val="00C567E1"/>
    <w:rsid w:val="00C56D4D"/>
    <w:rsid w:val="00C572F8"/>
    <w:rsid w:val="00C57337"/>
    <w:rsid w:val="00C5737B"/>
    <w:rsid w:val="00C57A46"/>
    <w:rsid w:val="00C57AFE"/>
    <w:rsid w:val="00C57D91"/>
    <w:rsid w:val="00C60B66"/>
    <w:rsid w:val="00C60CE8"/>
    <w:rsid w:val="00C61ACF"/>
    <w:rsid w:val="00C621D4"/>
    <w:rsid w:val="00C62849"/>
    <w:rsid w:val="00C63C9B"/>
    <w:rsid w:val="00C63D53"/>
    <w:rsid w:val="00C644D0"/>
    <w:rsid w:val="00C645C3"/>
    <w:rsid w:val="00C64621"/>
    <w:rsid w:val="00C64AFD"/>
    <w:rsid w:val="00C650E3"/>
    <w:rsid w:val="00C6521C"/>
    <w:rsid w:val="00C65312"/>
    <w:rsid w:val="00C65557"/>
    <w:rsid w:val="00C65783"/>
    <w:rsid w:val="00C65BB5"/>
    <w:rsid w:val="00C661A5"/>
    <w:rsid w:val="00C66CDB"/>
    <w:rsid w:val="00C674B4"/>
    <w:rsid w:val="00C676A6"/>
    <w:rsid w:val="00C67788"/>
    <w:rsid w:val="00C7001A"/>
    <w:rsid w:val="00C701D1"/>
    <w:rsid w:val="00C70354"/>
    <w:rsid w:val="00C70761"/>
    <w:rsid w:val="00C70BBF"/>
    <w:rsid w:val="00C71983"/>
    <w:rsid w:val="00C72508"/>
    <w:rsid w:val="00C73027"/>
    <w:rsid w:val="00C7319C"/>
    <w:rsid w:val="00C735B9"/>
    <w:rsid w:val="00C738B0"/>
    <w:rsid w:val="00C73A0D"/>
    <w:rsid w:val="00C7420D"/>
    <w:rsid w:val="00C74A04"/>
    <w:rsid w:val="00C754B4"/>
    <w:rsid w:val="00C75CC1"/>
    <w:rsid w:val="00C75CFE"/>
    <w:rsid w:val="00C75D51"/>
    <w:rsid w:val="00C75E5A"/>
    <w:rsid w:val="00C75E95"/>
    <w:rsid w:val="00C76226"/>
    <w:rsid w:val="00C76526"/>
    <w:rsid w:val="00C76ACB"/>
    <w:rsid w:val="00C77439"/>
    <w:rsid w:val="00C775A6"/>
    <w:rsid w:val="00C77E9F"/>
    <w:rsid w:val="00C80001"/>
    <w:rsid w:val="00C80036"/>
    <w:rsid w:val="00C80417"/>
    <w:rsid w:val="00C80550"/>
    <w:rsid w:val="00C80727"/>
    <w:rsid w:val="00C809E3"/>
    <w:rsid w:val="00C80C4D"/>
    <w:rsid w:val="00C8147C"/>
    <w:rsid w:val="00C8151B"/>
    <w:rsid w:val="00C81A8B"/>
    <w:rsid w:val="00C81C56"/>
    <w:rsid w:val="00C81FC3"/>
    <w:rsid w:val="00C821EA"/>
    <w:rsid w:val="00C8241F"/>
    <w:rsid w:val="00C827C6"/>
    <w:rsid w:val="00C82947"/>
    <w:rsid w:val="00C8368F"/>
    <w:rsid w:val="00C83FEE"/>
    <w:rsid w:val="00C8447A"/>
    <w:rsid w:val="00C846DF"/>
    <w:rsid w:val="00C84C9F"/>
    <w:rsid w:val="00C84DC7"/>
    <w:rsid w:val="00C84EFD"/>
    <w:rsid w:val="00C850B6"/>
    <w:rsid w:val="00C8551C"/>
    <w:rsid w:val="00C85D89"/>
    <w:rsid w:val="00C868A5"/>
    <w:rsid w:val="00C86FF7"/>
    <w:rsid w:val="00C87043"/>
    <w:rsid w:val="00C87A4F"/>
    <w:rsid w:val="00C902D0"/>
    <w:rsid w:val="00C905CD"/>
    <w:rsid w:val="00C9095A"/>
    <w:rsid w:val="00C90A19"/>
    <w:rsid w:val="00C90BAC"/>
    <w:rsid w:val="00C9108A"/>
    <w:rsid w:val="00C914B6"/>
    <w:rsid w:val="00C918FE"/>
    <w:rsid w:val="00C91A99"/>
    <w:rsid w:val="00C91E10"/>
    <w:rsid w:val="00C92350"/>
    <w:rsid w:val="00C923A8"/>
    <w:rsid w:val="00C92861"/>
    <w:rsid w:val="00C932F2"/>
    <w:rsid w:val="00C934B2"/>
    <w:rsid w:val="00C93A26"/>
    <w:rsid w:val="00C941CC"/>
    <w:rsid w:val="00C942CE"/>
    <w:rsid w:val="00C9489D"/>
    <w:rsid w:val="00C94E98"/>
    <w:rsid w:val="00C95791"/>
    <w:rsid w:val="00C95A40"/>
    <w:rsid w:val="00C95EC9"/>
    <w:rsid w:val="00C96210"/>
    <w:rsid w:val="00C96291"/>
    <w:rsid w:val="00C96657"/>
    <w:rsid w:val="00C969E5"/>
    <w:rsid w:val="00C96F7B"/>
    <w:rsid w:val="00C972DE"/>
    <w:rsid w:val="00C97546"/>
    <w:rsid w:val="00C9762C"/>
    <w:rsid w:val="00C97889"/>
    <w:rsid w:val="00C979E2"/>
    <w:rsid w:val="00C97C32"/>
    <w:rsid w:val="00CA027E"/>
    <w:rsid w:val="00CA04A6"/>
    <w:rsid w:val="00CA0526"/>
    <w:rsid w:val="00CA076C"/>
    <w:rsid w:val="00CA099A"/>
    <w:rsid w:val="00CA0EA8"/>
    <w:rsid w:val="00CA0F5B"/>
    <w:rsid w:val="00CA13F6"/>
    <w:rsid w:val="00CA1A82"/>
    <w:rsid w:val="00CA1D9D"/>
    <w:rsid w:val="00CA1F57"/>
    <w:rsid w:val="00CA1FB0"/>
    <w:rsid w:val="00CA2B35"/>
    <w:rsid w:val="00CA2E8C"/>
    <w:rsid w:val="00CA2E95"/>
    <w:rsid w:val="00CA30CD"/>
    <w:rsid w:val="00CA3190"/>
    <w:rsid w:val="00CA37ED"/>
    <w:rsid w:val="00CA382C"/>
    <w:rsid w:val="00CA3B98"/>
    <w:rsid w:val="00CA3C76"/>
    <w:rsid w:val="00CA42EA"/>
    <w:rsid w:val="00CA4427"/>
    <w:rsid w:val="00CA4867"/>
    <w:rsid w:val="00CA4B96"/>
    <w:rsid w:val="00CA5543"/>
    <w:rsid w:val="00CA57D2"/>
    <w:rsid w:val="00CA5A93"/>
    <w:rsid w:val="00CA5B20"/>
    <w:rsid w:val="00CA5B64"/>
    <w:rsid w:val="00CA5E13"/>
    <w:rsid w:val="00CA6A0F"/>
    <w:rsid w:val="00CA6DF8"/>
    <w:rsid w:val="00CA70B4"/>
    <w:rsid w:val="00CA7329"/>
    <w:rsid w:val="00CA7A29"/>
    <w:rsid w:val="00CA7E12"/>
    <w:rsid w:val="00CB01D1"/>
    <w:rsid w:val="00CB061F"/>
    <w:rsid w:val="00CB0B09"/>
    <w:rsid w:val="00CB1007"/>
    <w:rsid w:val="00CB137C"/>
    <w:rsid w:val="00CB180B"/>
    <w:rsid w:val="00CB1CA5"/>
    <w:rsid w:val="00CB1DF9"/>
    <w:rsid w:val="00CB1E39"/>
    <w:rsid w:val="00CB1E6C"/>
    <w:rsid w:val="00CB1F9E"/>
    <w:rsid w:val="00CB20CF"/>
    <w:rsid w:val="00CB262F"/>
    <w:rsid w:val="00CB2702"/>
    <w:rsid w:val="00CB28E3"/>
    <w:rsid w:val="00CB2EB7"/>
    <w:rsid w:val="00CB31C0"/>
    <w:rsid w:val="00CB326A"/>
    <w:rsid w:val="00CB333D"/>
    <w:rsid w:val="00CB398F"/>
    <w:rsid w:val="00CB3BBA"/>
    <w:rsid w:val="00CB3F5E"/>
    <w:rsid w:val="00CB41B7"/>
    <w:rsid w:val="00CB420C"/>
    <w:rsid w:val="00CB42D1"/>
    <w:rsid w:val="00CB4416"/>
    <w:rsid w:val="00CB442D"/>
    <w:rsid w:val="00CB44D8"/>
    <w:rsid w:val="00CB4704"/>
    <w:rsid w:val="00CB4C5A"/>
    <w:rsid w:val="00CB4C8A"/>
    <w:rsid w:val="00CB5211"/>
    <w:rsid w:val="00CB5222"/>
    <w:rsid w:val="00CB5308"/>
    <w:rsid w:val="00CB5519"/>
    <w:rsid w:val="00CB57F1"/>
    <w:rsid w:val="00CB5910"/>
    <w:rsid w:val="00CB5A03"/>
    <w:rsid w:val="00CB5BF0"/>
    <w:rsid w:val="00CB5C3C"/>
    <w:rsid w:val="00CB5F58"/>
    <w:rsid w:val="00CB6118"/>
    <w:rsid w:val="00CB764E"/>
    <w:rsid w:val="00CB774E"/>
    <w:rsid w:val="00CC04E4"/>
    <w:rsid w:val="00CC07EE"/>
    <w:rsid w:val="00CC0ABD"/>
    <w:rsid w:val="00CC0E39"/>
    <w:rsid w:val="00CC1230"/>
    <w:rsid w:val="00CC1444"/>
    <w:rsid w:val="00CC14BC"/>
    <w:rsid w:val="00CC14D8"/>
    <w:rsid w:val="00CC15CF"/>
    <w:rsid w:val="00CC211B"/>
    <w:rsid w:val="00CC2473"/>
    <w:rsid w:val="00CC27C7"/>
    <w:rsid w:val="00CC35EF"/>
    <w:rsid w:val="00CC3701"/>
    <w:rsid w:val="00CC3918"/>
    <w:rsid w:val="00CC39F1"/>
    <w:rsid w:val="00CC3CC9"/>
    <w:rsid w:val="00CC470B"/>
    <w:rsid w:val="00CC47BC"/>
    <w:rsid w:val="00CC4A5A"/>
    <w:rsid w:val="00CC4BB0"/>
    <w:rsid w:val="00CC4DD5"/>
    <w:rsid w:val="00CC52BE"/>
    <w:rsid w:val="00CC56CD"/>
    <w:rsid w:val="00CC5908"/>
    <w:rsid w:val="00CC5A32"/>
    <w:rsid w:val="00CC5B07"/>
    <w:rsid w:val="00CC5D0D"/>
    <w:rsid w:val="00CC64F5"/>
    <w:rsid w:val="00CC68EA"/>
    <w:rsid w:val="00CC6D13"/>
    <w:rsid w:val="00CC6E4D"/>
    <w:rsid w:val="00CC744B"/>
    <w:rsid w:val="00CC74B7"/>
    <w:rsid w:val="00CC7928"/>
    <w:rsid w:val="00CC7B91"/>
    <w:rsid w:val="00CC7F25"/>
    <w:rsid w:val="00CD0A39"/>
    <w:rsid w:val="00CD0BEF"/>
    <w:rsid w:val="00CD0CA4"/>
    <w:rsid w:val="00CD0F1D"/>
    <w:rsid w:val="00CD0F88"/>
    <w:rsid w:val="00CD1E72"/>
    <w:rsid w:val="00CD216F"/>
    <w:rsid w:val="00CD3428"/>
    <w:rsid w:val="00CD3909"/>
    <w:rsid w:val="00CD3DBC"/>
    <w:rsid w:val="00CD4298"/>
    <w:rsid w:val="00CD476B"/>
    <w:rsid w:val="00CD5319"/>
    <w:rsid w:val="00CD5394"/>
    <w:rsid w:val="00CD5E4A"/>
    <w:rsid w:val="00CD634A"/>
    <w:rsid w:val="00CD669F"/>
    <w:rsid w:val="00CD69D7"/>
    <w:rsid w:val="00CD6D4D"/>
    <w:rsid w:val="00CD7C9C"/>
    <w:rsid w:val="00CD7D59"/>
    <w:rsid w:val="00CD7D7F"/>
    <w:rsid w:val="00CD7DE3"/>
    <w:rsid w:val="00CDB6FC"/>
    <w:rsid w:val="00CE004E"/>
    <w:rsid w:val="00CE0F42"/>
    <w:rsid w:val="00CE2140"/>
    <w:rsid w:val="00CE2577"/>
    <w:rsid w:val="00CE2DEF"/>
    <w:rsid w:val="00CE2EA2"/>
    <w:rsid w:val="00CE2F1B"/>
    <w:rsid w:val="00CE35A2"/>
    <w:rsid w:val="00CE36C7"/>
    <w:rsid w:val="00CE36E8"/>
    <w:rsid w:val="00CE3850"/>
    <w:rsid w:val="00CE3CE7"/>
    <w:rsid w:val="00CE47A9"/>
    <w:rsid w:val="00CE49C7"/>
    <w:rsid w:val="00CE5533"/>
    <w:rsid w:val="00CE592C"/>
    <w:rsid w:val="00CE5E1B"/>
    <w:rsid w:val="00CE6248"/>
    <w:rsid w:val="00CE62D4"/>
    <w:rsid w:val="00CE6DF0"/>
    <w:rsid w:val="00CE7153"/>
    <w:rsid w:val="00CE71AA"/>
    <w:rsid w:val="00CE7299"/>
    <w:rsid w:val="00CE7A0E"/>
    <w:rsid w:val="00CE7A6B"/>
    <w:rsid w:val="00CF039F"/>
    <w:rsid w:val="00CF092A"/>
    <w:rsid w:val="00CF0CC4"/>
    <w:rsid w:val="00CF0D02"/>
    <w:rsid w:val="00CF1209"/>
    <w:rsid w:val="00CF1E29"/>
    <w:rsid w:val="00CF2B21"/>
    <w:rsid w:val="00CF3201"/>
    <w:rsid w:val="00CF322A"/>
    <w:rsid w:val="00CF374D"/>
    <w:rsid w:val="00CF3835"/>
    <w:rsid w:val="00CF3918"/>
    <w:rsid w:val="00CF3BD8"/>
    <w:rsid w:val="00CF3BDB"/>
    <w:rsid w:val="00CF3D70"/>
    <w:rsid w:val="00CF4069"/>
    <w:rsid w:val="00CF412A"/>
    <w:rsid w:val="00CF4223"/>
    <w:rsid w:val="00CF42C8"/>
    <w:rsid w:val="00CF445F"/>
    <w:rsid w:val="00CF4D4E"/>
    <w:rsid w:val="00CF5287"/>
    <w:rsid w:val="00CF5497"/>
    <w:rsid w:val="00CF5502"/>
    <w:rsid w:val="00CF57B7"/>
    <w:rsid w:val="00CF5DBC"/>
    <w:rsid w:val="00CF65D1"/>
    <w:rsid w:val="00CF6A77"/>
    <w:rsid w:val="00CF6AC4"/>
    <w:rsid w:val="00CF6C4A"/>
    <w:rsid w:val="00CF7108"/>
    <w:rsid w:val="00CF77A2"/>
    <w:rsid w:val="00CF7B4E"/>
    <w:rsid w:val="00CF7F3A"/>
    <w:rsid w:val="00D00149"/>
    <w:rsid w:val="00D005B1"/>
    <w:rsid w:val="00D00EF7"/>
    <w:rsid w:val="00D01654"/>
    <w:rsid w:val="00D0188F"/>
    <w:rsid w:val="00D018F3"/>
    <w:rsid w:val="00D01EAD"/>
    <w:rsid w:val="00D02BDE"/>
    <w:rsid w:val="00D03164"/>
    <w:rsid w:val="00D03401"/>
    <w:rsid w:val="00D036AD"/>
    <w:rsid w:val="00D03EC7"/>
    <w:rsid w:val="00D044D3"/>
    <w:rsid w:val="00D04828"/>
    <w:rsid w:val="00D049E5"/>
    <w:rsid w:val="00D04A35"/>
    <w:rsid w:val="00D04A39"/>
    <w:rsid w:val="00D04E53"/>
    <w:rsid w:val="00D055BE"/>
    <w:rsid w:val="00D05688"/>
    <w:rsid w:val="00D0588E"/>
    <w:rsid w:val="00D05ADB"/>
    <w:rsid w:val="00D05AE6"/>
    <w:rsid w:val="00D05F0D"/>
    <w:rsid w:val="00D06648"/>
    <w:rsid w:val="00D06AA8"/>
    <w:rsid w:val="00D06C34"/>
    <w:rsid w:val="00D070EE"/>
    <w:rsid w:val="00D0749E"/>
    <w:rsid w:val="00D0790B"/>
    <w:rsid w:val="00D0963E"/>
    <w:rsid w:val="00D104E1"/>
    <w:rsid w:val="00D10691"/>
    <w:rsid w:val="00D109C3"/>
    <w:rsid w:val="00D10F05"/>
    <w:rsid w:val="00D1125E"/>
    <w:rsid w:val="00D113D0"/>
    <w:rsid w:val="00D11701"/>
    <w:rsid w:val="00D11CE2"/>
    <w:rsid w:val="00D11CE6"/>
    <w:rsid w:val="00D11E6D"/>
    <w:rsid w:val="00D122B5"/>
    <w:rsid w:val="00D13111"/>
    <w:rsid w:val="00D135C1"/>
    <w:rsid w:val="00D1378C"/>
    <w:rsid w:val="00D13A61"/>
    <w:rsid w:val="00D13FC9"/>
    <w:rsid w:val="00D150FD"/>
    <w:rsid w:val="00D15594"/>
    <w:rsid w:val="00D157B3"/>
    <w:rsid w:val="00D158B7"/>
    <w:rsid w:val="00D15AE4"/>
    <w:rsid w:val="00D15BAB"/>
    <w:rsid w:val="00D15D0D"/>
    <w:rsid w:val="00D15F58"/>
    <w:rsid w:val="00D161DC"/>
    <w:rsid w:val="00D165B2"/>
    <w:rsid w:val="00D16849"/>
    <w:rsid w:val="00D16E01"/>
    <w:rsid w:val="00D16EE9"/>
    <w:rsid w:val="00D17321"/>
    <w:rsid w:val="00D175A2"/>
    <w:rsid w:val="00D17783"/>
    <w:rsid w:val="00D177BE"/>
    <w:rsid w:val="00D17D1D"/>
    <w:rsid w:val="00D1B54B"/>
    <w:rsid w:val="00D20297"/>
    <w:rsid w:val="00D20643"/>
    <w:rsid w:val="00D214BC"/>
    <w:rsid w:val="00D22479"/>
    <w:rsid w:val="00D22638"/>
    <w:rsid w:val="00D22F96"/>
    <w:rsid w:val="00D23287"/>
    <w:rsid w:val="00D235F5"/>
    <w:rsid w:val="00D238A1"/>
    <w:rsid w:val="00D23AA6"/>
    <w:rsid w:val="00D23EE8"/>
    <w:rsid w:val="00D2402F"/>
    <w:rsid w:val="00D240FC"/>
    <w:rsid w:val="00D250B0"/>
    <w:rsid w:val="00D25829"/>
    <w:rsid w:val="00D25899"/>
    <w:rsid w:val="00D25EC6"/>
    <w:rsid w:val="00D25F34"/>
    <w:rsid w:val="00D262C4"/>
    <w:rsid w:val="00D2660E"/>
    <w:rsid w:val="00D26C70"/>
    <w:rsid w:val="00D26D2A"/>
    <w:rsid w:val="00D26D3B"/>
    <w:rsid w:val="00D2725B"/>
    <w:rsid w:val="00D27926"/>
    <w:rsid w:val="00D27E1A"/>
    <w:rsid w:val="00D30713"/>
    <w:rsid w:val="00D30750"/>
    <w:rsid w:val="00D30948"/>
    <w:rsid w:val="00D3120E"/>
    <w:rsid w:val="00D31C97"/>
    <w:rsid w:val="00D31EBA"/>
    <w:rsid w:val="00D3244A"/>
    <w:rsid w:val="00D329CD"/>
    <w:rsid w:val="00D32AD3"/>
    <w:rsid w:val="00D32CE2"/>
    <w:rsid w:val="00D33306"/>
    <w:rsid w:val="00D3333A"/>
    <w:rsid w:val="00D33B5D"/>
    <w:rsid w:val="00D33C50"/>
    <w:rsid w:val="00D33CD2"/>
    <w:rsid w:val="00D34106"/>
    <w:rsid w:val="00D34379"/>
    <w:rsid w:val="00D34820"/>
    <w:rsid w:val="00D34942"/>
    <w:rsid w:val="00D34A5D"/>
    <w:rsid w:val="00D34BBE"/>
    <w:rsid w:val="00D350A1"/>
    <w:rsid w:val="00D35864"/>
    <w:rsid w:val="00D35A38"/>
    <w:rsid w:val="00D35A50"/>
    <w:rsid w:val="00D35D9B"/>
    <w:rsid w:val="00D360EF"/>
    <w:rsid w:val="00D36BF3"/>
    <w:rsid w:val="00D36D85"/>
    <w:rsid w:val="00D36DC2"/>
    <w:rsid w:val="00D36E2A"/>
    <w:rsid w:val="00D3766E"/>
    <w:rsid w:val="00D37954"/>
    <w:rsid w:val="00D37A5D"/>
    <w:rsid w:val="00D37B6A"/>
    <w:rsid w:val="00D37BC7"/>
    <w:rsid w:val="00D40363"/>
    <w:rsid w:val="00D403F3"/>
    <w:rsid w:val="00D4070D"/>
    <w:rsid w:val="00D40798"/>
    <w:rsid w:val="00D41296"/>
    <w:rsid w:val="00D4134A"/>
    <w:rsid w:val="00D41712"/>
    <w:rsid w:val="00D420F8"/>
    <w:rsid w:val="00D42160"/>
    <w:rsid w:val="00D429B3"/>
    <w:rsid w:val="00D42A02"/>
    <w:rsid w:val="00D42E33"/>
    <w:rsid w:val="00D42E5F"/>
    <w:rsid w:val="00D446F1"/>
    <w:rsid w:val="00D44897"/>
    <w:rsid w:val="00D448A9"/>
    <w:rsid w:val="00D44942"/>
    <w:rsid w:val="00D458DB"/>
    <w:rsid w:val="00D4604E"/>
    <w:rsid w:val="00D46318"/>
    <w:rsid w:val="00D46435"/>
    <w:rsid w:val="00D46639"/>
    <w:rsid w:val="00D466F2"/>
    <w:rsid w:val="00D47183"/>
    <w:rsid w:val="00D47672"/>
    <w:rsid w:val="00D478EE"/>
    <w:rsid w:val="00D47CD0"/>
    <w:rsid w:val="00D47FE6"/>
    <w:rsid w:val="00D502E1"/>
    <w:rsid w:val="00D508FC"/>
    <w:rsid w:val="00D50A4A"/>
    <w:rsid w:val="00D50C9F"/>
    <w:rsid w:val="00D516FC"/>
    <w:rsid w:val="00D517A1"/>
    <w:rsid w:val="00D51BD1"/>
    <w:rsid w:val="00D521DA"/>
    <w:rsid w:val="00D52271"/>
    <w:rsid w:val="00D52A68"/>
    <w:rsid w:val="00D52FA4"/>
    <w:rsid w:val="00D53903"/>
    <w:rsid w:val="00D53BFC"/>
    <w:rsid w:val="00D54028"/>
    <w:rsid w:val="00D54163"/>
    <w:rsid w:val="00D542AF"/>
    <w:rsid w:val="00D54D0D"/>
    <w:rsid w:val="00D54E35"/>
    <w:rsid w:val="00D54FF0"/>
    <w:rsid w:val="00D5533B"/>
    <w:rsid w:val="00D55466"/>
    <w:rsid w:val="00D5554C"/>
    <w:rsid w:val="00D55789"/>
    <w:rsid w:val="00D55E70"/>
    <w:rsid w:val="00D5610A"/>
    <w:rsid w:val="00D564B6"/>
    <w:rsid w:val="00D5659F"/>
    <w:rsid w:val="00D569DF"/>
    <w:rsid w:val="00D572D6"/>
    <w:rsid w:val="00D574A6"/>
    <w:rsid w:val="00D57883"/>
    <w:rsid w:val="00D578E8"/>
    <w:rsid w:val="00D578F9"/>
    <w:rsid w:val="00D57C2C"/>
    <w:rsid w:val="00D57D0C"/>
    <w:rsid w:val="00D60645"/>
    <w:rsid w:val="00D608D7"/>
    <w:rsid w:val="00D60929"/>
    <w:rsid w:val="00D60A17"/>
    <w:rsid w:val="00D6129E"/>
    <w:rsid w:val="00D619A5"/>
    <w:rsid w:val="00D62197"/>
    <w:rsid w:val="00D62682"/>
    <w:rsid w:val="00D6277D"/>
    <w:rsid w:val="00D628C3"/>
    <w:rsid w:val="00D62BA8"/>
    <w:rsid w:val="00D62E64"/>
    <w:rsid w:val="00D6312F"/>
    <w:rsid w:val="00D6339D"/>
    <w:rsid w:val="00D6395B"/>
    <w:rsid w:val="00D63CC9"/>
    <w:rsid w:val="00D63EBD"/>
    <w:rsid w:val="00D6404D"/>
    <w:rsid w:val="00D6474D"/>
    <w:rsid w:val="00D64CA6"/>
    <w:rsid w:val="00D652A4"/>
    <w:rsid w:val="00D655FB"/>
    <w:rsid w:val="00D65F60"/>
    <w:rsid w:val="00D660B9"/>
    <w:rsid w:val="00D666FF"/>
    <w:rsid w:val="00D66B6A"/>
    <w:rsid w:val="00D66D99"/>
    <w:rsid w:val="00D67174"/>
    <w:rsid w:val="00D67A92"/>
    <w:rsid w:val="00D67FD3"/>
    <w:rsid w:val="00D70043"/>
    <w:rsid w:val="00D70CE0"/>
    <w:rsid w:val="00D71166"/>
    <w:rsid w:val="00D711E1"/>
    <w:rsid w:val="00D71484"/>
    <w:rsid w:val="00D714BE"/>
    <w:rsid w:val="00D7158E"/>
    <w:rsid w:val="00D71635"/>
    <w:rsid w:val="00D719B1"/>
    <w:rsid w:val="00D71E3A"/>
    <w:rsid w:val="00D71F62"/>
    <w:rsid w:val="00D72118"/>
    <w:rsid w:val="00D72C53"/>
    <w:rsid w:val="00D7311A"/>
    <w:rsid w:val="00D7335E"/>
    <w:rsid w:val="00D73588"/>
    <w:rsid w:val="00D74004"/>
    <w:rsid w:val="00D74005"/>
    <w:rsid w:val="00D74831"/>
    <w:rsid w:val="00D74D74"/>
    <w:rsid w:val="00D74F22"/>
    <w:rsid w:val="00D758DD"/>
    <w:rsid w:val="00D75AF8"/>
    <w:rsid w:val="00D764B4"/>
    <w:rsid w:val="00D766D9"/>
    <w:rsid w:val="00D7677B"/>
    <w:rsid w:val="00D7682E"/>
    <w:rsid w:val="00D76A1D"/>
    <w:rsid w:val="00D76B06"/>
    <w:rsid w:val="00D76CC8"/>
    <w:rsid w:val="00D7732A"/>
    <w:rsid w:val="00D77425"/>
    <w:rsid w:val="00D80114"/>
    <w:rsid w:val="00D801E6"/>
    <w:rsid w:val="00D8034D"/>
    <w:rsid w:val="00D8070B"/>
    <w:rsid w:val="00D807BB"/>
    <w:rsid w:val="00D80912"/>
    <w:rsid w:val="00D80CC0"/>
    <w:rsid w:val="00D80F11"/>
    <w:rsid w:val="00D81519"/>
    <w:rsid w:val="00D816AA"/>
    <w:rsid w:val="00D81A7A"/>
    <w:rsid w:val="00D81AD9"/>
    <w:rsid w:val="00D81F65"/>
    <w:rsid w:val="00D826DB"/>
    <w:rsid w:val="00D82CD0"/>
    <w:rsid w:val="00D832C2"/>
    <w:rsid w:val="00D836E0"/>
    <w:rsid w:val="00D837BE"/>
    <w:rsid w:val="00D83B8A"/>
    <w:rsid w:val="00D83BEB"/>
    <w:rsid w:val="00D83C4E"/>
    <w:rsid w:val="00D844F1"/>
    <w:rsid w:val="00D84EAE"/>
    <w:rsid w:val="00D8538D"/>
    <w:rsid w:val="00D8556E"/>
    <w:rsid w:val="00D85810"/>
    <w:rsid w:val="00D85A60"/>
    <w:rsid w:val="00D864CC"/>
    <w:rsid w:val="00D8651F"/>
    <w:rsid w:val="00D86B63"/>
    <w:rsid w:val="00D87777"/>
    <w:rsid w:val="00D878B0"/>
    <w:rsid w:val="00D909A5"/>
    <w:rsid w:val="00D913DB"/>
    <w:rsid w:val="00D920F1"/>
    <w:rsid w:val="00D92151"/>
    <w:rsid w:val="00D92334"/>
    <w:rsid w:val="00D9239A"/>
    <w:rsid w:val="00D9297A"/>
    <w:rsid w:val="00D92C36"/>
    <w:rsid w:val="00D92DA2"/>
    <w:rsid w:val="00D92E0D"/>
    <w:rsid w:val="00D93AE0"/>
    <w:rsid w:val="00D93BE5"/>
    <w:rsid w:val="00D93E43"/>
    <w:rsid w:val="00D93F99"/>
    <w:rsid w:val="00D93FA0"/>
    <w:rsid w:val="00D94480"/>
    <w:rsid w:val="00D94C68"/>
    <w:rsid w:val="00D95196"/>
    <w:rsid w:val="00D95247"/>
    <w:rsid w:val="00D956AF"/>
    <w:rsid w:val="00D957BF"/>
    <w:rsid w:val="00D95D46"/>
    <w:rsid w:val="00D95EAD"/>
    <w:rsid w:val="00D96075"/>
    <w:rsid w:val="00D9629E"/>
    <w:rsid w:val="00D97350"/>
    <w:rsid w:val="00D978B3"/>
    <w:rsid w:val="00D9791F"/>
    <w:rsid w:val="00D9799C"/>
    <w:rsid w:val="00D97A99"/>
    <w:rsid w:val="00DA0317"/>
    <w:rsid w:val="00DA0372"/>
    <w:rsid w:val="00DA0442"/>
    <w:rsid w:val="00DA0BBE"/>
    <w:rsid w:val="00DA0D1A"/>
    <w:rsid w:val="00DA115A"/>
    <w:rsid w:val="00DA1234"/>
    <w:rsid w:val="00DA13F5"/>
    <w:rsid w:val="00DA1913"/>
    <w:rsid w:val="00DA1A43"/>
    <w:rsid w:val="00DA2180"/>
    <w:rsid w:val="00DA2756"/>
    <w:rsid w:val="00DA31FD"/>
    <w:rsid w:val="00DA3AEC"/>
    <w:rsid w:val="00DA3C18"/>
    <w:rsid w:val="00DA3C36"/>
    <w:rsid w:val="00DA3E93"/>
    <w:rsid w:val="00DA4444"/>
    <w:rsid w:val="00DA4959"/>
    <w:rsid w:val="00DA4C5D"/>
    <w:rsid w:val="00DA4FD3"/>
    <w:rsid w:val="00DA535E"/>
    <w:rsid w:val="00DA54E6"/>
    <w:rsid w:val="00DA575E"/>
    <w:rsid w:val="00DA5790"/>
    <w:rsid w:val="00DA5B79"/>
    <w:rsid w:val="00DA5EC8"/>
    <w:rsid w:val="00DA68A6"/>
    <w:rsid w:val="00DA6B94"/>
    <w:rsid w:val="00DA7CF8"/>
    <w:rsid w:val="00DB010A"/>
    <w:rsid w:val="00DB010E"/>
    <w:rsid w:val="00DB0525"/>
    <w:rsid w:val="00DB1788"/>
    <w:rsid w:val="00DB178B"/>
    <w:rsid w:val="00DB17A6"/>
    <w:rsid w:val="00DB19BE"/>
    <w:rsid w:val="00DB1CF2"/>
    <w:rsid w:val="00DB203F"/>
    <w:rsid w:val="00DB211E"/>
    <w:rsid w:val="00DB2436"/>
    <w:rsid w:val="00DB243B"/>
    <w:rsid w:val="00DB2B21"/>
    <w:rsid w:val="00DB2F3C"/>
    <w:rsid w:val="00DB339D"/>
    <w:rsid w:val="00DB3995"/>
    <w:rsid w:val="00DB405E"/>
    <w:rsid w:val="00DB422B"/>
    <w:rsid w:val="00DB4632"/>
    <w:rsid w:val="00DB4BC4"/>
    <w:rsid w:val="00DB553B"/>
    <w:rsid w:val="00DB5581"/>
    <w:rsid w:val="00DB67DA"/>
    <w:rsid w:val="00DB75C2"/>
    <w:rsid w:val="00DB75E0"/>
    <w:rsid w:val="00DB7751"/>
    <w:rsid w:val="00DB77E3"/>
    <w:rsid w:val="00DB7C3E"/>
    <w:rsid w:val="00DC01AA"/>
    <w:rsid w:val="00DC0D84"/>
    <w:rsid w:val="00DC1424"/>
    <w:rsid w:val="00DC1C55"/>
    <w:rsid w:val="00DC22AC"/>
    <w:rsid w:val="00DC26BA"/>
    <w:rsid w:val="00DC2E42"/>
    <w:rsid w:val="00DC3027"/>
    <w:rsid w:val="00DC356B"/>
    <w:rsid w:val="00DC3778"/>
    <w:rsid w:val="00DC3B61"/>
    <w:rsid w:val="00DC4371"/>
    <w:rsid w:val="00DC4E33"/>
    <w:rsid w:val="00DC51E3"/>
    <w:rsid w:val="00DC5375"/>
    <w:rsid w:val="00DC5BAC"/>
    <w:rsid w:val="00DC5C54"/>
    <w:rsid w:val="00DC6F2E"/>
    <w:rsid w:val="00DC71C2"/>
    <w:rsid w:val="00DC776D"/>
    <w:rsid w:val="00DC77D0"/>
    <w:rsid w:val="00DC7C83"/>
    <w:rsid w:val="00DD044B"/>
    <w:rsid w:val="00DD04BA"/>
    <w:rsid w:val="00DD0A99"/>
    <w:rsid w:val="00DD0DBE"/>
    <w:rsid w:val="00DD0ED8"/>
    <w:rsid w:val="00DD1018"/>
    <w:rsid w:val="00DD11E3"/>
    <w:rsid w:val="00DD177A"/>
    <w:rsid w:val="00DD1893"/>
    <w:rsid w:val="00DD19A1"/>
    <w:rsid w:val="00DD2269"/>
    <w:rsid w:val="00DD226D"/>
    <w:rsid w:val="00DD26E7"/>
    <w:rsid w:val="00DD2F1C"/>
    <w:rsid w:val="00DD2F66"/>
    <w:rsid w:val="00DD2F97"/>
    <w:rsid w:val="00DD357D"/>
    <w:rsid w:val="00DD36E8"/>
    <w:rsid w:val="00DD3838"/>
    <w:rsid w:val="00DD38E3"/>
    <w:rsid w:val="00DD38E8"/>
    <w:rsid w:val="00DD3C41"/>
    <w:rsid w:val="00DD3E21"/>
    <w:rsid w:val="00DD4342"/>
    <w:rsid w:val="00DD4541"/>
    <w:rsid w:val="00DD45C4"/>
    <w:rsid w:val="00DD47CE"/>
    <w:rsid w:val="00DD4C75"/>
    <w:rsid w:val="00DD5231"/>
    <w:rsid w:val="00DD543D"/>
    <w:rsid w:val="00DD569F"/>
    <w:rsid w:val="00DD688C"/>
    <w:rsid w:val="00DD6AD5"/>
    <w:rsid w:val="00DD6B5E"/>
    <w:rsid w:val="00DD6C6B"/>
    <w:rsid w:val="00DD7495"/>
    <w:rsid w:val="00DD75EC"/>
    <w:rsid w:val="00DD76D5"/>
    <w:rsid w:val="00DD7A75"/>
    <w:rsid w:val="00DD7AFF"/>
    <w:rsid w:val="00DD7C5A"/>
    <w:rsid w:val="00DD7D88"/>
    <w:rsid w:val="00DD7DE7"/>
    <w:rsid w:val="00DD7EF8"/>
    <w:rsid w:val="00DE037C"/>
    <w:rsid w:val="00DE0E5F"/>
    <w:rsid w:val="00DE0E63"/>
    <w:rsid w:val="00DE10AF"/>
    <w:rsid w:val="00DE182A"/>
    <w:rsid w:val="00DE1C3C"/>
    <w:rsid w:val="00DE2619"/>
    <w:rsid w:val="00DE278C"/>
    <w:rsid w:val="00DE28F5"/>
    <w:rsid w:val="00DE29E9"/>
    <w:rsid w:val="00DE2BF9"/>
    <w:rsid w:val="00DE2C90"/>
    <w:rsid w:val="00DE325C"/>
    <w:rsid w:val="00DE3402"/>
    <w:rsid w:val="00DE3439"/>
    <w:rsid w:val="00DE39B3"/>
    <w:rsid w:val="00DE3A6E"/>
    <w:rsid w:val="00DE3AB2"/>
    <w:rsid w:val="00DE3F2E"/>
    <w:rsid w:val="00DE4069"/>
    <w:rsid w:val="00DE45FE"/>
    <w:rsid w:val="00DE4AEA"/>
    <w:rsid w:val="00DE5A2C"/>
    <w:rsid w:val="00DE60F5"/>
    <w:rsid w:val="00DE60FF"/>
    <w:rsid w:val="00DE624F"/>
    <w:rsid w:val="00DE72F6"/>
    <w:rsid w:val="00DE78C9"/>
    <w:rsid w:val="00DE7D4F"/>
    <w:rsid w:val="00DF00AA"/>
    <w:rsid w:val="00DF013D"/>
    <w:rsid w:val="00DF04EF"/>
    <w:rsid w:val="00DF05F3"/>
    <w:rsid w:val="00DF0B56"/>
    <w:rsid w:val="00DF0B59"/>
    <w:rsid w:val="00DF0E17"/>
    <w:rsid w:val="00DF10A5"/>
    <w:rsid w:val="00DF111A"/>
    <w:rsid w:val="00DF1E40"/>
    <w:rsid w:val="00DF1F7A"/>
    <w:rsid w:val="00DF2124"/>
    <w:rsid w:val="00DF2193"/>
    <w:rsid w:val="00DF2245"/>
    <w:rsid w:val="00DF2503"/>
    <w:rsid w:val="00DF26BC"/>
    <w:rsid w:val="00DF2831"/>
    <w:rsid w:val="00DF294F"/>
    <w:rsid w:val="00DF29CF"/>
    <w:rsid w:val="00DF2A0E"/>
    <w:rsid w:val="00DF2B4F"/>
    <w:rsid w:val="00DF2B7D"/>
    <w:rsid w:val="00DF2B81"/>
    <w:rsid w:val="00DF2BCB"/>
    <w:rsid w:val="00DF30BB"/>
    <w:rsid w:val="00DF3362"/>
    <w:rsid w:val="00DF36BC"/>
    <w:rsid w:val="00DF36F5"/>
    <w:rsid w:val="00DF3DA7"/>
    <w:rsid w:val="00DF4B87"/>
    <w:rsid w:val="00DF516B"/>
    <w:rsid w:val="00DF53B3"/>
    <w:rsid w:val="00DF5530"/>
    <w:rsid w:val="00DF55B0"/>
    <w:rsid w:val="00DF5B77"/>
    <w:rsid w:val="00DF5E4E"/>
    <w:rsid w:val="00DF5F86"/>
    <w:rsid w:val="00DF5FAE"/>
    <w:rsid w:val="00DF695B"/>
    <w:rsid w:val="00DF6985"/>
    <w:rsid w:val="00DF6FFB"/>
    <w:rsid w:val="00DF720C"/>
    <w:rsid w:val="00DF7374"/>
    <w:rsid w:val="00DF7634"/>
    <w:rsid w:val="00DF7A46"/>
    <w:rsid w:val="00DF7C9A"/>
    <w:rsid w:val="00DF7E0F"/>
    <w:rsid w:val="00E00139"/>
    <w:rsid w:val="00E00196"/>
    <w:rsid w:val="00E001AE"/>
    <w:rsid w:val="00E0024B"/>
    <w:rsid w:val="00E00DF2"/>
    <w:rsid w:val="00E00F63"/>
    <w:rsid w:val="00E00FDE"/>
    <w:rsid w:val="00E01994"/>
    <w:rsid w:val="00E01A1B"/>
    <w:rsid w:val="00E01D60"/>
    <w:rsid w:val="00E0228E"/>
    <w:rsid w:val="00E0233D"/>
    <w:rsid w:val="00E02AB9"/>
    <w:rsid w:val="00E02AD5"/>
    <w:rsid w:val="00E031A0"/>
    <w:rsid w:val="00E031D7"/>
    <w:rsid w:val="00E034E4"/>
    <w:rsid w:val="00E04011"/>
    <w:rsid w:val="00E04658"/>
    <w:rsid w:val="00E04B98"/>
    <w:rsid w:val="00E04DFF"/>
    <w:rsid w:val="00E052B6"/>
    <w:rsid w:val="00E05B46"/>
    <w:rsid w:val="00E05F90"/>
    <w:rsid w:val="00E0681C"/>
    <w:rsid w:val="00E06A06"/>
    <w:rsid w:val="00E076F8"/>
    <w:rsid w:val="00E078B4"/>
    <w:rsid w:val="00E07E59"/>
    <w:rsid w:val="00E10315"/>
    <w:rsid w:val="00E1077C"/>
    <w:rsid w:val="00E10F29"/>
    <w:rsid w:val="00E10FD6"/>
    <w:rsid w:val="00E11098"/>
    <w:rsid w:val="00E110A6"/>
    <w:rsid w:val="00E115FA"/>
    <w:rsid w:val="00E119EE"/>
    <w:rsid w:val="00E126EF"/>
    <w:rsid w:val="00E12722"/>
    <w:rsid w:val="00E1382E"/>
    <w:rsid w:val="00E1392F"/>
    <w:rsid w:val="00E13DCB"/>
    <w:rsid w:val="00E13E45"/>
    <w:rsid w:val="00E13F7A"/>
    <w:rsid w:val="00E1419D"/>
    <w:rsid w:val="00E1439F"/>
    <w:rsid w:val="00E14552"/>
    <w:rsid w:val="00E14C06"/>
    <w:rsid w:val="00E14C70"/>
    <w:rsid w:val="00E151BE"/>
    <w:rsid w:val="00E155D0"/>
    <w:rsid w:val="00E161DD"/>
    <w:rsid w:val="00E17147"/>
    <w:rsid w:val="00E175EC"/>
    <w:rsid w:val="00E17661"/>
    <w:rsid w:val="00E20A61"/>
    <w:rsid w:val="00E21016"/>
    <w:rsid w:val="00E2121A"/>
    <w:rsid w:val="00E21E24"/>
    <w:rsid w:val="00E22AAF"/>
    <w:rsid w:val="00E22C8B"/>
    <w:rsid w:val="00E22EB2"/>
    <w:rsid w:val="00E22FC0"/>
    <w:rsid w:val="00E23460"/>
    <w:rsid w:val="00E23BB0"/>
    <w:rsid w:val="00E23E1B"/>
    <w:rsid w:val="00E24307"/>
    <w:rsid w:val="00E2452D"/>
    <w:rsid w:val="00E2512B"/>
    <w:rsid w:val="00E257A8"/>
    <w:rsid w:val="00E25C0D"/>
    <w:rsid w:val="00E25D8D"/>
    <w:rsid w:val="00E261B7"/>
    <w:rsid w:val="00E26CB7"/>
    <w:rsid w:val="00E27249"/>
    <w:rsid w:val="00E2729D"/>
    <w:rsid w:val="00E27394"/>
    <w:rsid w:val="00E27AE8"/>
    <w:rsid w:val="00E27EE1"/>
    <w:rsid w:val="00E30107"/>
    <w:rsid w:val="00E3015B"/>
    <w:rsid w:val="00E30294"/>
    <w:rsid w:val="00E30DCE"/>
    <w:rsid w:val="00E3101E"/>
    <w:rsid w:val="00E3104E"/>
    <w:rsid w:val="00E3119C"/>
    <w:rsid w:val="00E31284"/>
    <w:rsid w:val="00E313E5"/>
    <w:rsid w:val="00E314DB"/>
    <w:rsid w:val="00E31B1B"/>
    <w:rsid w:val="00E31B84"/>
    <w:rsid w:val="00E31D0D"/>
    <w:rsid w:val="00E321E7"/>
    <w:rsid w:val="00E32327"/>
    <w:rsid w:val="00E3262E"/>
    <w:rsid w:val="00E32711"/>
    <w:rsid w:val="00E32C43"/>
    <w:rsid w:val="00E32EC6"/>
    <w:rsid w:val="00E32F55"/>
    <w:rsid w:val="00E335BD"/>
    <w:rsid w:val="00E34231"/>
    <w:rsid w:val="00E34361"/>
    <w:rsid w:val="00E345E8"/>
    <w:rsid w:val="00E3473B"/>
    <w:rsid w:val="00E35706"/>
    <w:rsid w:val="00E35875"/>
    <w:rsid w:val="00E36504"/>
    <w:rsid w:val="00E36D3F"/>
    <w:rsid w:val="00E36EE3"/>
    <w:rsid w:val="00E371C4"/>
    <w:rsid w:val="00E37240"/>
    <w:rsid w:val="00E3736A"/>
    <w:rsid w:val="00E37566"/>
    <w:rsid w:val="00E37F39"/>
    <w:rsid w:val="00E40315"/>
    <w:rsid w:val="00E40416"/>
    <w:rsid w:val="00E4136B"/>
    <w:rsid w:val="00E413AE"/>
    <w:rsid w:val="00E415F0"/>
    <w:rsid w:val="00E41922"/>
    <w:rsid w:val="00E41E49"/>
    <w:rsid w:val="00E42E2E"/>
    <w:rsid w:val="00E42E34"/>
    <w:rsid w:val="00E42F0F"/>
    <w:rsid w:val="00E43320"/>
    <w:rsid w:val="00E44064"/>
    <w:rsid w:val="00E4435E"/>
    <w:rsid w:val="00E44501"/>
    <w:rsid w:val="00E44526"/>
    <w:rsid w:val="00E44CA4"/>
    <w:rsid w:val="00E45099"/>
    <w:rsid w:val="00E45202"/>
    <w:rsid w:val="00E454A1"/>
    <w:rsid w:val="00E4595D"/>
    <w:rsid w:val="00E46173"/>
    <w:rsid w:val="00E46DE6"/>
    <w:rsid w:val="00E46FC5"/>
    <w:rsid w:val="00E472E9"/>
    <w:rsid w:val="00E47700"/>
    <w:rsid w:val="00E477F3"/>
    <w:rsid w:val="00E47956"/>
    <w:rsid w:val="00E47D72"/>
    <w:rsid w:val="00E47D8C"/>
    <w:rsid w:val="00E50036"/>
    <w:rsid w:val="00E502EE"/>
    <w:rsid w:val="00E508A9"/>
    <w:rsid w:val="00E5095D"/>
    <w:rsid w:val="00E50ADB"/>
    <w:rsid w:val="00E5182F"/>
    <w:rsid w:val="00E51865"/>
    <w:rsid w:val="00E51D29"/>
    <w:rsid w:val="00E51E27"/>
    <w:rsid w:val="00E52212"/>
    <w:rsid w:val="00E52499"/>
    <w:rsid w:val="00E524FB"/>
    <w:rsid w:val="00E529CE"/>
    <w:rsid w:val="00E53898"/>
    <w:rsid w:val="00E53C88"/>
    <w:rsid w:val="00E53FE3"/>
    <w:rsid w:val="00E541D4"/>
    <w:rsid w:val="00E547D6"/>
    <w:rsid w:val="00E54818"/>
    <w:rsid w:val="00E5493C"/>
    <w:rsid w:val="00E54BC7"/>
    <w:rsid w:val="00E550DF"/>
    <w:rsid w:val="00E553B0"/>
    <w:rsid w:val="00E55497"/>
    <w:rsid w:val="00E55734"/>
    <w:rsid w:val="00E55E97"/>
    <w:rsid w:val="00E55F8E"/>
    <w:rsid w:val="00E56297"/>
    <w:rsid w:val="00E5674D"/>
    <w:rsid w:val="00E57388"/>
    <w:rsid w:val="00E578EE"/>
    <w:rsid w:val="00E57B1B"/>
    <w:rsid w:val="00E57C5A"/>
    <w:rsid w:val="00E60078"/>
    <w:rsid w:val="00E6026B"/>
    <w:rsid w:val="00E603E0"/>
    <w:rsid w:val="00E60BB2"/>
    <w:rsid w:val="00E61018"/>
    <w:rsid w:val="00E613EA"/>
    <w:rsid w:val="00E61576"/>
    <w:rsid w:val="00E616B4"/>
    <w:rsid w:val="00E6182D"/>
    <w:rsid w:val="00E61B17"/>
    <w:rsid w:val="00E61DDB"/>
    <w:rsid w:val="00E61E3B"/>
    <w:rsid w:val="00E62299"/>
    <w:rsid w:val="00E63236"/>
    <w:rsid w:val="00E63A2C"/>
    <w:rsid w:val="00E64219"/>
    <w:rsid w:val="00E646FD"/>
    <w:rsid w:val="00E64C70"/>
    <w:rsid w:val="00E65000"/>
    <w:rsid w:val="00E653E0"/>
    <w:rsid w:val="00E6562B"/>
    <w:rsid w:val="00E6585C"/>
    <w:rsid w:val="00E65DF0"/>
    <w:rsid w:val="00E65F9F"/>
    <w:rsid w:val="00E660CB"/>
    <w:rsid w:val="00E664B5"/>
    <w:rsid w:val="00E67086"/>
    <w:rsid w:val="00E6717E"/>
    <w:rsid w:val="00E676E3"/>
    <w:rsid w:val="00E67E09"/>
    <w:rsid w:val="00E703BE"/>
    <w:rsid w:val="00E7046C"/>
    <w:rsid w:val="00E7082A"/>
    <w:rsid w:val="00E70AA9"/>
    <w:rsid w:val="00E70CC4"/>
    <w:rsid w:val="00E71406"/>
    <w:rsid w:val="00E714C4"/>
    <w:rsid w:val="00E715A7"/>
    <w:rsid w:val="00E718A4"/>
    <w:rsid w:val="00E71B9B"/>
    <w:rsid w:val="00E71CD7"/>
    <w:rsid w:val="00E71FE7"/>
    <w:rsid w:val="00E72A6A"/>
    <w:rsid w:val="00E72D4A"/>
    <w:rsid w:val="00E73BD1"/>
    <w:rsid w:val="00E74033"/>
    <w:rsid w:val="00E74561"/>
    <w:rsid w:val="00E74862"/>
    <w:rsid w:val="00E7666A"/>
    <w:rsid w:val="00E7689B"/>
    <w:rsid w:val="00E76AAD"/>
    <w:rsid w:val="00E77049"/>
    <w:rsid w:val="00E77122"/>
    <w:rsid w:val="00E773AF"/>
    <w:rsid w:val="00E77859"/>
    <w:rsid w:val="00E778C8"/>
    <w:rsid w:val="00E8071B"/>
    <w:rsid w:val="00E80922"/>
    <w:rsid w:val="00E80B25"/>
    <w:rsid w:val="00E80DF8"/>
    <w:rsid w:val="00E81587"/>
    <w:rsid w:val="00E8169C"/>
    <w:rsid w:val="00E8198A"/>
    <w:rsid w:val="00E81995"/>
    <w:rsid w:val="00E81C18"/>
    <w:rsid w:val="00E81E55"/>
    <w:rsid w:val="00E824E1"/>
    <w:rsid w:val="00E826D2"/>
    <w:rsid w:val="00E8291C"/>
    <w:rsid w:val="00E82D27"/>
    <w:rsid w:val="00E83189"/>
    <w:rsid w:val="00E83507"/>
    <w:rsid w:val="00E8457B"/>
    <w:rsid w:val="00E84886"/>
    <w:rsid w:val="00E86746"/>
    <w:rsid w:val="00E86E0F"/>
    <w:rsid w:val="00E871DD"/>
    <w:rsid w:val="00E87306"/>
    <w:rsid w:val="00E87536"/>
    <w:rsid w:val="00E87CE0"/>
    <w:rsid w:val="00E87FE4"/>
    <w:rsid w:val="00E900E8"/>
    <w:rsid w:val="00E9023B"/>
    <w:rsid w:val="00E90392"/>
    <w:rsid w:val="00E90A82"/>
    <w:rsid w:val="00E90D25"/>
    <w:rsid w:val="00E91324"/>
    <w:rsid w:val="00E91391"/>
    <w:rsid w:val="00E913DD"/>
    <w:rsid w:val="00E91A48"/>
    <w:rsid w:val="00E91C8F"/>
    <w:rsid w:val="00E91E42"/>
    <w:rsid w:val="00E92238"/>
    <w:rsid w:val="00E923A3"/>
    <w:rsid w:val="00E925EB"/>
    <w:rsid w:val="00E938D6"/>
    <w:rsid w:val="00E93AA0"/>
    <w:rsid w:val="00E94CF7"/>
    <w:rsid w:val="00E94D5B"/>
    <w:rsid w:val="00E951BA"/>
    <w:rsid w:val="00E95257"/>
    <w:rsid w:val="00E9567F"/>
    <w:rsid w:val="00E9572E"/>
    <w:rsid w:val="00E967B4"/>
    <w:rsid w:val="00E96B38"/>
    <w:rsid w:val="00E96C74"/>
    <w:rsid w:val="00E974FE"/>
    <w:rsid w:val="00E9765E"/>
    <w:rsid w:val="00E97CDA"/>
    <w:rsid w:val="00E97EAE"/>
    <w:rsid w:val="00EA08F6"/>
    <w:rsid w:val="00EA0F9D"/>
    <w:rsid w:val="00EA101F"/>
    <w:rsid w:val="00EA11C9"/>
    <w:rsid w:val="00EA1440"/>
    <w:rsid w:val="00EA16BF"/>
    <w:rsid w:val="00EA1C22"/>
    <w:rsid w:val="00EA1DAA"/>
    <w:rsid w:val="00EA1DDE"/>
    <w:rsid w:val="00EA2C05"/>
    <w:rsid w:val="00EA4127"/>
    <w:rsid w:val="00EA4C1C"/>
    <w:rsid w:val="00EA4D2D"/>
    <w:rsid w:val="00EA5658"/>
    <w:rsid w:val="00EA58B6"/>
    <w:rsid w:val="00EA5AC1"/>
    <w:rsid w:val="00EA5E7F"/>
    <w:rsid w:val="00EA5FA2"/>
    <w:rsid w:val="00EA62AE"/>
    <w:rsid w:val="00EA6650"/>
    <w:rsid w:val="00EA6D9A"/>
    <w:rsid w:val="00EA749E"/>
    <w:rsid w:val="00EA7569"/>
    <w:rsid w:val="00EA756D"/>
    <w:rsid w:val="00EA7716"/>
    <w:rsid w:val="00EA7747"/>
    <w:rsid w:val="00EA78C6"/>
    <w:rsid w:val="00EA79E1"/>
    <w:rsid w:val="00EA7A21"/>
    <w:rsid w:val="00EA7A47"/>
    <w:rsid w:val="00EA7B1D"/>
    <w:rsid w:val="00EA7B54"/>
    <w:rsid w:val="00EA7E50"/>
    <w:rsid w:val="00EB07FB"/>
    <w:rsid w:val="00EB0AFB"/>
    <w:rsid w:val="00EB0B73"/>
    <w:rsid w:val="00EB0F25"/>
    <w:rsid w:val="00EB14BC"/>
    <w:rsid w:val="00EB174B"/>
    <w:rsid w:val="00EB1BBB"/>
    <w:rsid w:val="00EB1C63"/>
    <w:rsid w:val="00EB1F63"/>
    <w:rsid w:val="00EB2AD4"/>
    <w:rsid w:val="00EB2CAE"/>
    <w:rsid w:val="00EB3484"/>
    <w:rsid w:val="00EB3AC3"/>
    <w:rsid w:val="00EB3E0A"/>
    <w:rsid w:val="00EB41E1"/>
    <w:rsid w:val="00EB43C8"/>
    <w:rsid w:val="00EB46C9"/>
    <w:rsid w:val="00EB487A"/>
    <w:rsid w:val="00EB4B8B"/>
    <w:rsid w:val="00EB4BAD"/>
    <w:rsid w:val="00EB4C2C"/>
    <w:rsid w:val="00EB4C41"/>
    <w:rsid w:val="00EB52D8"/>
    <w:rsid w:val="00EB5563"/>
    <w:rsid w:val="00EB5FBA"/>
    <w:rsid w:val="00EB6428"/>
    <w:rsid w:val="00EB6BB0"/>
    <w:rsid w:val="00EB6C73"/>
    <w:rsid w:val="00EB7F32"/>
    <w:rsid w:val="00EC020B"/>
    <w:rsid w:val="00EC1B32"/>
    <w:rsid w:val="00EC2046"/>
    <w:rsid w:val="00EC255B"/>
    <w:rsid w:val="00EC28FA"/>
    <w:rsid w:val="00EC3727"/>
    <w:rsid w:val="00EC445A"/>
    <w:rsid w:val="00EC4DC8"/>
    <w:rsid w:val="00EC5613"/>
    <w:rsid w:val="00EC56D8"/>
    <w:rsid w:val="00EC58EA"/>
    <w:rsid w:val="00EC5BE3"/>
    <w:rsid w:val="00EC6569"/>
    <w:rsid w:val="00EC6941"/>
    <w:rsid w:val="00EC6B7A"/>
    <w:rsid w:val="00EC6D53"/>
    <w:rsid w:val="00EC71AE"/>
    <w:rsid w:val="00EC7955"/>
    <w:rsid w:val="00EC7ABD"/>
    <w:rsid w:val="00ED00FC"/>
    <w:rsid w:val="00ED0EB9"/>
    <w:rsid w:val="00ED0F51"/>
    <w:rsid w:val="00ED22D5"/>
    <w:rsid w:val="00ED2525"/>
    <w:rsid w:val="00ED25E8"/>
    <w:rsid w:val="00ED2D9F"/>
    <w:rsid w:val="00ED30D7"/>
    <w:rsid w:val="00ED3A3E"/>
    <w:rsid w:val="00ED40F7"/>
    <w:rsid w:val="00ED42D2"/>
    <w:rsid w:val="00ED46A4"/>
    <w:rsid w:val="00ED47E2"/>
    <w:rsid w:val="00ED4D8A"/>
    <w:rsid w:val="00ED4E9F"/>
    <w:rsid w:val="00ED4EE2"/>
    <w:rsid w:val="00ED5574"/>
    <w:rsid w:val="00ED5702"/>
    <w:rsid w:val="00ED58CD"/>
    <w:rsid w:val="00ED5A9F"/>
    <w:rsid w:val="00ED6625"/>
    <w:rsid w:val="00ED6738"/>
    <w:rsid w:val="00ED7446"/>
    <w:rsid w:val="00ED7758"/>
    <w:rsid w:val="00ED7EAE"/>
    <w:rsid w:val="00EE03BD"/>
    <w:rsid w:val="00EE1F94"/>
    <w:rsid w:val="00EE2432"/>
    <w:rsid w:val="00EE2662"/>
    <w:rsid w:val="00EE283B"/>
    <w:rsid w:val="00EE3016"/>
    <w:rsid w:val="00EE375E"/>
    <w:rsid w:val="00EE3DBB"/>
    <w:rsid w:val="00EE3FF1"/>
    <w:rsid w:val="00EE42DA"/>
    <w:rsid w:val="00EE4C64"/>
    <w:rsid w:val="00EE5025"/>
    <w:rsid w:val="00EE5347"/>
    <w:rsid w:val="00EE56C8"/>
    <w:rsid w:val="00EE57E4"/>
    <w:rsid w:val="00EE5F6E"/>
    <w:rsid w:val="00EE647A"/>
    <w:rsid w:val="00EE6888"/>
    <w:rsid w:val="00EE6C2B"/>
    <w:rsid w:val="00EE7232"/>
    <w:rsid w:val="00EE7ED4"/>
    <w:rsid w:val="00EF02EF"/>
    <w:rsid w:val="00EF10F6"/>
    <w:rsid w:val="00EF1EF6"/>
    <w:rsid w:val="00EF25FC"/>
    <w:rsid w:val="00EF27E9"/>
    <w:rsid w:val="00EF2AC2"/>
    <w:rsid w:val="00EF38D7"/>
    <w:rsid w:val="00EF440A"/>
    <w:rsid w:val="00EF45F3"/>
    <w:rsid w:val="00EF4A79"/>
    <w:rsid w:val="00EF4F5C"/>
    <w:rsid w:val="00EF537E"/>
    <w:rsid w:val="00EF54E7"/>
    <w:rsid w:val="00EF58DA"/>
    <w:rsid w:val="00EF5D49"/>
    <w:rsid w:val="00EF5D81"/>
    <w:rsid w:val="00EF5D83"/>
    <w:rsid w:val="00EF6955"/>
    <w:rsid w:val="00EF6ADD"/>
    <w:rsid w:val="00EF6BCE"/>
    <w:rsid w:val="00EF73C6"/>
    <w:rsid w:val="00EF74FD"/>
    <w:rsid w:val="00EF78E4"/>
    <w:rsid w:val="00EF7A08"/>
    <w:rsid w:val="00F01019"/>
    <w:rsid w:val="00F0104E"/>
    <w:rsid w:val="00F01D74"/>
    <w:rsid w:val="00F020E0"/>
    <w:rsid w:val="00F023B5"/>
    <w:rsid w:val="00F02436"/>
    <w:rsid w:val="00F026B6"/>
    <w:rsid w:val="00F02844"/>
    <w:rsid w:val="00F02DEB"/>
    <w:rsid w:val="00F0305B"/>
    <w:rsid w:val="00F03092"/>
    <w:rsid w:val="00F0355F"/>
    <w:rsid w:val="00F03B71"/>
    <w:rsid w:val="00F03BEA"/>
    <w:rsid w:val="00F03F50"/>
    <w:rsid w:val="00F04013"/>
    <w:rsid w:val="00F042A3"/>
    <w:rsid w:val="00F04502"/>
    <w:rsid w:val="00F045BC"/>
    <w:rsid w:val="00F05ACE"/>
    <w:rsid w:val="00F05EEF"/>
    <w:rsid w:val="00F05F3E"/>
    <w:rsid w:val="00F065AF"/>
    <w:rsid w:val="00F06C1D"/>
    <w:rsid w:val="00F06D0A"/>
    <w:rsid w:val="00F06E7F"/>
    <w:rsid w:val="00F076D9"/>
    <w:rsid w:val="00F07C2B"/>
    <w:rsid w:val="00F0CA35"/>
    <w:rsid w:val="00F10AC9"/>
    <w:rsid w:val="00F10B9E"/>
    <w:rsid w:val="00F10F03"/>
    <w:rsid w:val="00F11781"/>
    <w:rsid w:val="00F11799"/>
    <w:rsid w:val="00F11A80"/>
    <w:rsid w:val="00F120F1"/>
    <w:rsid w:val="00F124BC"/>
    <w:rsid w:val="00F12826"/>
    <w:rsid w:val="00F12942"/>
    <w:rsid w:val="00F1295C"/>
    <w:rsid w:val="00F12B2C"/>
    <w:rsid w:val="00F134DE"/>
    <w:rsid w:val="00F13C38"/>
    <w:rsid w:val="00F13CE4"/>
    <w:rsid w:val="00F13DCD"/>
    <w:rsid w:val="00F1470A"/>
    <w:rsid w:val="00F1480E"/>
    <w:rsid w:val="00F14C90"/>
    <w:rsid w:val="00F14F22"/>
    <w:rsid w:val="00F15039"/>
    <w:rsid w:val="00F153A7"/>
    <w:rsid w:val="00F1581F"/>
    <w:rsid w:val="00F158F5"/>
    <w:rsid w:val="00F15F75"/>
    <w:rsid w:val="00F15FAA"/>
    <w:rsid w:val="00F15FEE"/>
    <w:rsid w:val="00F16473"/>
    <w:rsid w:val="00F16530"/>
    <w:rsid w:val="00F16700"/>
    <w:rsid w:val="00F16A23"/>
    <w:rsid w:val="00F16C4E"/>
    <w:rsid w:val="00F16C76"/>
    <w:rsid w:val="00F16D3F"/>
    <w:rsid w:val="00F17421"/>
    <w:rsid w:val="00F174F2"/>
    <w:rsid w:val="00F17677"/>
    <w:rsid w:val="00F17B5F"/>
    <w:rsid w:val="00F17D52"/>
    <w:rsid w:val="00F2111F"/>
    <w:rsid w:val="00F2143F"/>
    <w:rsid w:val="00F217C7"/>
    <w:rsid w:val="00F21BBA"/>
    <w:rsid w:val="00F21BE8"/>
    <w:rsid w:val="00F21F45"/>
    <w:rsid w:val="00F2246A"/>
    <w:rsid w:val="00F22DA6"/>
    <w:rsid w:val="00F2389F"/>
    <w:rsid w:val="00F238A9"/>
    <w:rsid w:val="00F24464"/>
    <w:rsid w:val="00F24465"/>
    <w:rsid w:val="00F2460F"/>
    <w:rsid w:val="00F24792"/>
    <w:rsid w:val="00F24857"/>
    <w:rsid w:val="00F249A8"/>
    <w:rsid w:val="00F24D31"/>
    <w:rsid w:val="00F24DA8"/>
    <w:rsid w:val="00F26026"/>
    <w:rsid w:val="00F261FC"/>
    <w:rsid w:val="00F26379"/>
    <w:rsid w:val="00F2638C"/>
    <w:rsid w:val="00F269D8"/>
    <w:rsid w:val="00F26CD8"/>
    <w:rsid w:val="00F26E16"/>
    <w:rsid w:val="00F276A4"/>
    <w:rsid w:val="00F27743"/>
    <w:rsid w:val="00F27872"/>
    <w:rsid w:val="00F27EE3"/>
    <w:rsid w:val="00F300AB"/>
    <w:rsid w:val="00F300FA"/>
    <w:rsid w:val="00F30A27"/>
    <w:rsid w:val="00F30C06"/>
    <w:rsid w:val="00F30C1E"/>
    <w:rsid w:val="00F30F83"/>
    <w:rsid w:val="00F310C3"/>
    <w:rsid w:val="00F310F6"/>
    <w:rsid w:val="00F31150"/>
    <w:rsid w:val="00F319D3"/>
    <w:rsid w:val="00F31C61"/>
    <w:rsid w:val="00F3237D"/>
    <w:rsid w:val="00F32715"/>
    <w:rsid w:val="00F32A1D"/>
    <w:rsid w:val="00F32D2F"/>
    <w:rsid w:val="00F3300A"/>
    <w:rsid w:val="00F331CF"/>
    <w:rsid w:val="00F33577"/>
    <w:rsid w:val="00F3441B"/>
    <w:rsid w:val="00F346C0"/>
    <w:rsid w:val="00F34E60"/>
    <w:rsid w:val="00F3513D"/>
    <w:rsid w:val="00F355DF"/>
    <w:rsid w:val="00F35BA9"/>
    <w:rsid w:val="00F36D78"/>
    <w:rsid w:val="00F36EDD"/>
    <w:rsid w:val="00F371F8"/>
    <w:rsid w:val="00F373A5"/>
    <w:rsid w:val="00F3764E"/>
    <w:rsid w:val="00F376B2"/>
    <w:rsid w:val="00F37CED"/>
    <w:rsid w:val="00F404A7"/>
    <w:rsid w:val="00F40593"/>
    <w:rsid w:val="00F4091C"/>
    <w:rsid w:val="00F40D85"/>
    <w:rsid w:val="00F41197"/>
    <w:rsid w:val="00F412A9"/>
    <w:rsid w:val="00F41463"/>
    <w:rsid w:val="00F4185F"/>
    <w:rsid w:val="00F41EF2"/>
    <w:rsid w:val="00F41F77"/>
    <w:rsid w:val="00F4251C"/>
    <w:rsid w:val="00F425C5"/>
    <w:rsid w:val="00F429A6"/>
    <w:rsid w:val="00F42B92"/>
    <w:rsid w:val="00F42CD7"/>
    <w:rsid w:val="00F42D49"/>
    <w:rsid w:val="00F43427"/>
    <w:rsid w:val="00F43FDB"/>
    <w:rsid w:val="00F442A8"/>
    <w:rsid w:val="00F442D5"/>
    <w:rsid w:val="00F447DF"/>
    <w:rsid w:val="00F449A0"/>
    <w:rsid w:val="00F44A39"/>
    <w:rsid w:val="00F45406"/>
    <w:rsid w:val="00F456A7"/>
    <w:rsid w:val="00F456E4"/>
    <w:rsid w:val="00F45BDB"/>
    <w:rsid w:val="00F45F6A"/>
    <w:rsid w:val="00F46006"/>
    <w:rsid w:val="00F463F4"/>
    <w:rsid w:val="00F46485"/>
    <w:rsid w:val="00F464C7"/>
    <w:rsid w:val="00F466D8"/>
    <w:rsid w:val="00F46C1C"/>
    <w:rsid w:val="00F47DDA"/>
    <w:rsid w:val="00F47F4E"/>
    <w:rsid w:val="00F5008B"/>
    <w:rsid w:val="00F50136"/>
    <w:rsid w:val="00F50F06"/>
    <w:rsid w:val="00F5143E"/>
    <w:rsid w:val="00F51A28"/>
    <w:rsid w:val="00F51CC9"/>
    <w:rsid w:val="00F52AE4"/>
    <w:rsid w:val="00F52F2A"/>
    <w:rsid w:val="00F531E6"/>
    <w:rsid w:val="00F531EA"/>
    <w:rsid w:val="00F53202"/>
    <w:rsid w:val="00F5343F"/>
    <w:rsid w:val="00F53873"/>
    <w:rsid w:val="00F53A43"/>
    <w:rsid w:val="00F53DA5"/>
    <w:rsid w:val="00F53F5D"/>
    <w:rsid w:val="00F543F1"/>
    <w:rsid w:val="00F5464E"/>
    <w:rsid w:val="00F54A0C"/>
    <w:rsid w:val="00F5581C"/>
    <w:rsid w:val="00F55E47"/>
    <w:rsid w:val="00F5634F"/>
    <w:rsid w:val="00F5769E"/>
    <w:rsid w:val="00F578CF"/>
    <w:rsid w:val="00F57EF2"/>
    <w:rsid w:val="00F60311"/>
    <w:rsid w:val="00F6075F"/>
    <w:rsid w:val="00F608C6"/>
    <w:rsid w:val="00F60F38"/>
    <w:rsid w:val="00F61310"/>
    <w:rsid w:val="00F62D5D"/>
    <w:rsid w:val="00F62EB5"/>
    <w:rsid w:val="00F63495"/>
    <w:rsid w:val="00F634BF"/>
    <w:rsid w:val="00F634FE"/>
    <w:rsid w:val="00F63614"/>
    <w:rsid w:val="00F6387D"/>
    <w:rsid w:val="00F63D64"/>
    <w:rsid w:val="00F64058"/>
    <w:rsid w:val="00F64353"/>
    <w:rsid w:val="00F6466D"/>
    <w:rsid w:val="00F64967"/>
    <w:rsid w:val="00F64A22"/>
    <w:rsid w:val="00F64C3C"/>
    <w:rsid w:val="00F64EEE"/>
    <w:rsid w:val="00F6502B"/>
    <w:rsid w:val="00F655D6"/>
    <w:rsid w:val="00F656F1"/>
    <w:rsid w:val="00F65AFC"/>
    <w:rsid w:val="00F66455"/>
    <w:rsid w:val="00F665FC"/>
    <w:rsid w:val="00F66669"/>
    <w:rsid w:val="00F67DC9"/>
    <w:rsid w:val="00F70493"/>
    <w:rsid w:val="00F70893"/>
    <w:rsid w:val="00F70DB2"/>
    <w:rsid w:val="00F70E1C"/>
    <w:rsid w:val="00F710AD"/>
    <w:rsid w:val="00F7179A"/>
    <w:rsid w:val="00F71C10"/>
    <w:rsid w:val="00F71F5F"/>
    <w:rsid w:val="00F72B8B"/>
    <w:rsid w:val="00F72F20"/>
    <w:rsid w:val="00F72F3F"/>
    <w:rsid w:val="00F734BB"/>
    <w:rsid w:val="00F7389F"/>
    <w:rsid w:val="00F7394D"/>
    <w:rsid w:val="00F73975"/>
    <w:rsid w:val="00F73C77"/>
    <w:rsid w:val="00F74393"/>
    <w:rsid w:val="00F74C80"/>
    <w:rsid w:val="00F74DB4"/>
    <w:rsid w:val="00F75125"/>
    <w:rsid w:val="00F75A17"/>
    <w:rsid w:val="00F76183"/>
    <w:rsid w:val="00F76447"/>
    <w:rsid w:val="00F76BA5"/>
    <w:rsid w:val="00F77182"/>
    <w:rsid w:val="00F771E0"/>
    <w:rsid w:val="00F77258"/>
    <w:rsid w:val="00F772F7"/>
    <w:rsid w:val="00F777D0"/>
    <w:rsid w:val="00F77E27"/>
    <w:rsid w:val="00F805B0"/>
    <w:rsid w:val="00F80969"/>
    <w:rsid w:val="00F80DE3"/>
    <w:rsid w:val="00F81166"/>
    <w:rsid w:val="00F81220"/>
    <w:rsid w:val="00F8138E"/>
    <w:rsid w:val="00F815F3"/>
    <w:rsid w:val="00F81A99"/>
    <w:rsid w:val="00F81D92"/>
    <w:rsid w:val="00F81FC2"/>
    <w:rsid w:val="00F822F9"/>
    <w:rsid w:val="00F82C24"/>
    <w:rsid w:val="00F82E98"/>
    <w:rsid w:val="00F83008"/>
    <w:rsid w:val="00F83ED0"/>
    <w:rsid w:val="00F84091"/>
    <w:rsid w:val="00F84139"/>
    <w:rsid w:val="00F8479B"/>
    <w:rsid w:val="00F84A3E"/>
    <w:rsid w:val="00F84D5C"/>
    <w:rsid w:val="00F84E43"/>
    <w:rsid w:val="00F85345"/>
    <w:rsid w:val="00F8550B"/>
    <w:rsid w:val="00F85891"/>
    <w:rsid w:val="00F85AC9"/>
    <w:rsid w:val="00F8656B"/>
    <w:rsid w:val="00F8673E"/>
    <w:rsid w:val="00F86804"/>
    <w:rsid w:val="00F86CBA"/>
    <w:rsid w:val="00F86D7E"/>
    <w:rsid w:val="00F86F1B"/>
    <w:rsid w:val="00F87197"/>
    <w:rsid w:val="00F8723E"/>
    <w:rsid w:val="00F909E9"/>
    <w:rsid w:val="00F90B4E"/>
    <w:rsid w:val="00F91498"/>
    <w:rsid w:val="00F91AAF"/>
    <w:rsid w:val="00F91BBB"/>
    <w:rsid w:val="00F91C7C"/>
    <w:rsid w:val="00F91D41"/>
    <w:rsid w:val="00F91DEE"/>
    <w:rsid w:val="00F91FC9"/>
    <w:rsid w:val="00F9274E"/>
    <w:rsid w:val="00F92EFC"/>
    <w:rsid w:val="00F93E93"/>
    <w:rsid w:val="00F93FB1"/>
    <w:rsid w:val="00F943BD"/>
    <w:rsid w:val="00F952C0"/>
    <w:rsid w:val="00F956BE"/>
    <w:rsid w:val="00F9583B"/>
    <w:rsid w:val="00F95A26"/>
    <w:rsid w:val="00F95BDF"/>
    <w:rsid w:val="00F96224"/>
    <w:rsid w:val="00F96409"/>
    <w:rsid w:val="00F96422"/>
    <w:rsid w:val="00F9647B"/>
    <w:rsid w:val="00F96A88"/>
    <w:rsid w:val="00F9722D"/>
    <w:rsid w:val="00F97290"/>
    <w:rsid w:val="00F972BC"/>
    <w:rsid w:val="00F974A7"/>
    <w:rsid w:val="00F97643"/>
    <w:rsid w:val="00F97920"/>
    <w:rsid w:val="00F97BA8"/>
    <w:rsid w:val="00F97FBE"/>
    <w:rsid w:val="00FA036C"/>
    <w:rsid w:val="00FA0CBA"/>
    <w:rsid w:val="00FA0FFF"/>
    <w:rsid w:val="00FA11D8"/>
    <w:rsid w:val="00FA126D"/>
    <w:rsid w:val="00FA26C6"/>
    <w:rsid w:val="00FA27E0"/>
    <w:rsid w:val="00FA2CBA"/>
    <w:rsid w:val="00FA2D46"/>
    <w:rsid w:val="00FA2EC2"/>
    <w:rsid w:val="00FA3207"/>
    <w:rsid w:val="00FA3720"/>
    <w:rsid w:val="00FA3F3F"/>
    <w:rsid w:val="00FA4354"/>
    <w:rsid w:val="00FA465A"/>
    <w:rsid w:val="00FA4CC5"/>
    <w:rsid w:val="00FA4E6B"/>
    <w:rsid w:val="00FA572F"/>
    <w:rsid w:val="00FA57CF"/>
    <w:rsid w:val="00FA57E7"/>
    <w:rsid w:val="00FA5B73"/>
    <w:rsid w:val="00FA5CAF"/>
    <w:rsid w:val="00FA5E78"/>
    <w:rsid w:val="00FA668A"/>
    <w:rsid w:val="00FA6B94"/>
    <w:rsid w:val="00FA6C86"/>
    <w:rsid w:val="00FA6CF6"/>
    <w:rsid w:val="00FA6F1B"/>
    <w:rsid w:val="00FA7497"/>
    <w:rsid w:val="00FA7690"/>
    <w:rsid w:val="00FA7E01"/>
    <w:rsid w:val="00FB02AC"/>
    <w:rsid w:val="00FB0446"/>
    <w:rsid w:val="00FB04C3"/>
    <w:rsid w:val="00FB0522"/>
    <w:rsid w:val="00FB0843"/>
    <w:rsid w:val="00FB0864"/>
    <w:rsid w:val="00FB091E"/>
    <w:rsid w:val="00FB0DF6"/>
    <w:rsid w:val="00FB2044"/>
    <w:rsid w:val="00FB20DF"/>
    <w:rsid w:val="00FB2146"/>
    <w:rsid w:val="00FB244D"/>
    <w:rsid w:val="00FB24D3"/>
    <w:rsid w:val="00FB2722"/>
    <w:rsid w:val="00FB277A"/>
    <w:rsid w:val="00FB27E0"/>
    <w:rsid w:val="00FB27F7"/>
    <w:rsid w:val="00FB282A"/>
    <w:rsid w:val="00FB296C"/>
    <w:rsid w:val="00FB2B37"/>
    <w:rsid w:val="00FB2DF0"/>
    <w:rsid w:val="00FB3093"/>
    <w:rsid w:val="00FB3F8B"/>
    <w:rsid w:val="00FB3FAD"/>
    <w:rsid w:val="00FB3FC0"/>
    <w:rsid w:val="00FB4639"/>
    <w:rsid w:val="00FB4693"/>
    <w:rsid w:val="00FB4E26"/>
    <w:rsid w:val="00FB5192"/>
    <w:rsid w:val="00FB51F6"/>
    <w:rsid w:val="00FB54C6"/>
    <w:rsid w:val="00FB5535"/>
    <w:rsid w:val="00FB5CD9"/>
    <w:rsid w:val="00FB643E"/>
    <w:rsid w:val="00FB6599"/>
    <w:rsid w:val="00FB6690"/>
    <w:rsid w:val="00FB7026"/>
    <w:rsid w:val="00FB7565"/>
    <w:rsid w:val="00FB7D9E"/>
    <w:rsid w:val="00FC0BC0"/>
    <w:rsid w:val="00FC0F6D"/>
    <w:rsid w:val="00FC10E7"/>
    <w:rsid w:val="00FC1775"/>
    <w:rsid w:val="00FC1D1E"/>
    <w:rsid w:val="00FC1E60"/>
    <w:rsid w:val="00FC2070"/>
    <w:rsid w:val="00FC22B0"/>
    <w:rsid w:val="00FC240A"/>
    <w:rsid w:val="00FC2828"/>
    <w:rsid w:val="00FC2907"/>
    <w:rsid w:val="00FC2E9A"/>
    <w:rsid w:val="00FC35FF"/>
    <w:rsid w:val="00FC377A"/>
    <w:rsid w:val="00FC3F45"/>
    <w:rsid w:val="00FC3FF6"/>
    <w:rsid w:val="00FC41E4"/>
    <w:rsid w:val="00FC4653"/>
    <w:rsid w:val="00FC4EC6"/>
    <w:rsid w:val="00FC4F87"/>
    <w:rsid w:val="00FC50B0"/>
    <w:rsid w:val="00FC5246"/>
    <w:rsid w:val="00FC53DF"/>
    <w:rsid w:val="00FC5443"/>
    <w:rsid w:val="00FC55B3"/>
    <w:rsid w:val="00FC56EA"/>
    <w:rsid w:val="00FC60E7"/>
    <w:rsid w:val="00FC61CB"/>
    <w:rsid w:val="00FC63D6"/>
    <w:rsid w:val="00FC72B0"/>
    <w:rsid w:val="00FC746B"/>
    <w:rsid w:val="00FC7D1F"/>
    <w:rsid w:val="00FC7D56"/>
    <w:rsid w:val="00FD006E"/>
    <w:rsid w:val="00FD00E9"/>
    <w:rsid w:val="00FD0531"/>
    <w:rsid w:val="00FD05B6"/>
    <w:rsid w:val="00FD0634"/>
    <w:rsid w:val="00FD0FC9"/>
    <w:rsid w:val="00FD106C"/>
    <w:rsid w:val="00FD1520"/>
    <w:rsid w:val="00FD15E8"/>
    <w:rsid w:val="00FD1944"/>
    <w:rsid w:val="00FD1A24"/>
    <w:rsid w:val="00FD1B06"/>
    <w:rsid w:val="00FD1D5A"/>
    <w:rsid w:val="00FD1FB6"/>
    <w:rsid w:val="00FD2CC7"/>
    <w:rsid w:val="00FD3AE4"/>
    <w:rsid w:val="00FD3F79"/>
    <w:rsid w:val="00FD42F4"/>
    <w:rsid w:val="00FD4674"/>
    <w:rsid w:val="00FD4827"/>
    <w:rsid w:val="00FD48FD"/>
    <w:rsid w:val="00FD52F9"/>
    <w:rsid w:val="00FD5860"/>
    <w:rsid w:val="00FD5B15"/>
    <w:rsid w:val="00FD6332"/>
    <w:rsid w:val="00FD6449"/>
    <w:rsid w:val="00FD67E6"/>
    <w:rsid w:val="00FD7607"/>
    <w:rsid w:val="00FD763A"/>
    <w:rsid w:val="00FD7F7E"/>
    <w:rsid w:val="00FD7F8F"/>
    <w:rsid w:val="00FE008A"/>
    <w:rsid w:val="00FE0147"/>
    <w:rsid w:val="00FE05AF"/>
    <w:rsid w:val="00FE0987"/>
    <w:rsid w:val="00FE163D"/>
    <w:rsid w:val="00FE17B5"/>
    <w:rsid w:val="00FE18B8"/>
    <w:rsid w:val="00FE1DB7"/>
    <w:rsid w:val="00FE1F7D"/>
    <w:rsid w:val="00FE1FDE"/>
    <w:rsid w:val="00FE290D"/>
    <w:rsid w:val="00FE29C1"/>
    <w:rsid w:val="00FE29E9"/>
    <w:rsid w:val="00FE2B9E"/>
    <w:rsid w:val="00FE2D85"/>
    <w:rsid w:val="00FE2F55"/>
    <w:rsid w:val="00FE3482"/>
    <w:rsid w:val="00FE348B"/>
    <w:rsid w:val="00FE37CF"/>
    <w:rsid w:val="00FE3977"/>
    <w:rsid w:val="00FE398E"/>
    <w:rsid w:val="00FE3B60"/>
    <w:rsid w:val="00FE422C"/>
    <w:rsid w:val="00FE4430"/>
    <w:rsid w:val="00FE4EA7"/>
    <w:rsid w:val="00FE4FCB"/>
    <w:rsid w:val="00FE544D"/>
    <w:rsid w:val="00FE5DD0"/>
    <w:rsid w:val="00FE6021"/>
    <w:rsid w:val="00FE6168"/>
    <w:rsid w:val="00FE6171"/>
    <w:rsid w:val="00FE6617"/>
    <w:rsid w:val="00FE699A"/>
    <w:rsid w:val="00FE6B67"/>
    <w:rsid w:val="00FE6D8E"/>
    <w:rsid w:val="00FE7294"/>
    <w:rsid w:val="00FE7461"/>
    <w:rsid w:val="00FE762B"/>
    <w:rsid w:val="00FE7962"/>
    <w:rsid w:val="00FE7AB9"/>
    <w:rsid w:val="00FE7EB1"/>
    <w:rsid w:val="00FF0022"/>
    <w:rsid w:val="00FF020C"/>
    <w:rsid w:val="00FF0496"/>
    <w:rsid w:val="00FF07F5"/>
    <w:rsid w:val="00FF158B"/>
    <w:rsid w:val="00FF1687"/>
    <w:rsid w:val="00FF17C2"/>
    <w:rsid w:val="00FF1F3F"/>
    <w:rsid w:val="00FF2536"/>
    <w:rsid w:val="00FF2920"/>
    <w:rsid w:val="00FF2BD0"/>
    <w:rsid w:val="00FF3662"/>
    <w:rsid w:val="00FF3AA3"/>
    <w:rsid w:val="00FF3BF5"/>
    <w:rsid w:val="00FF3D63"/>
    <w:rsid w:val="00FF470F"/>
    <w:rsid w:val="00FF49D8"/>
    <w:rsid w:val="00FF518E"/>
    <w:rsid w:val="00FF5A39"/>
    <w:rsid w:val="00FF5B64"/>
    <w:rsid w:val="00FF5F7A"/>
    <w:rsid w:val="00FF6506"/>
    <w:rsid w:val="00FF65F3"/>
    <w:rsid w:val="00FF6736"/>
    <w:rsid w:val="00FF6A6D"/>
    <w:rsid w:val="00FF6CC0"/>
    <w:rsid w:val="00FF6D53"/>
    <w:rsid w:val="00FF716C"/>
    <w:rsid w:val="00FF7EA0"/>
    <w:rsid w:val="0107F3AF"/>
    <w:rsid w:val="01138DB7"/>
    <w:rsid w:val="0129172A"/>
    <w:rsid w:val="01366E03"/>
    <w:rsid w:val="0141163D"/>
    <w:rsid w:val="014A76F2"/>
    <w:rsid w:val="014DB97D"/>
    <w:rsid w:val="0154863B"/>
    <w:rsid w:val="0158616E"/>
    <w:rsid w:val="017088B3"/>
    <w:rsid w:val="01748E2F"/>
    <w:rsid w:val="01845137"/>
    <w:rsid w:val="0190C454"/>
    <w:rsid w:val="01CD9A00"/>
    <w:rsid w:val="01F6CCF1"/>
    <w:rsid w:val="01FB8C03"/>
    <w:rsid w:val="0204325A"/>
    <w:rsid w:val="02052BE6"/>
    <w:rsid w:val="02054464"/>
    <w:rsid w:val="020B2025"/>
    <w:rsid w:val="02195DC8"/>
    <w:rsid w:val="021FE34F"/>
    <w:rsid w:val="0249D2D9"/>
    <w:rsid w:val="02564CA0"/>
    <w:rsid w:val="02593A8A"/>
    <w:rsid w:val="0263A8A2"/>
    <w:rsid w:val="02755F03"/>
    <w:rsid w:val="02799693"/>
    <w:rsid w:val="0279D970"/>
    <w:rsid w:val="027E8022"/>
    <w:rsid w:val="028A0EEC"/>
    <w:rsid w:val="02A63FDF"/>
    <w:rsid w:val="02AB6B8E"/>
    <w:rsid w:val="02BC513C"/>
    <w:rsid w:val="02BE254B"/>
    <w:rsid w:val="02C7C1A8"/>
    <w:rsid w:val="02CD6A7F"/>
    <w:rsid w:val="02DE769F"/>
    <w:rsid w:val="02ECD7C3"/>
    <w:rsid w:val="02F08366"/>
    <w:rsid w:val="02FA5EA1"/>
    <w:rsid w:val="031FC870"/>
    <w:rsid w:val="033B6423"/>
    <w:rsid w:val="034B2D4B"/>
    <w:rsid w:val="03508C7C"/>
    <w:rsid w:val="035AB40D"/>
    <w:rsid w:val="035FB46E"/>
    <w:rsid w:val="03614C83"/>
    <w:rsid w:val="036185FF"/>
    <w:rsid w:val="0368C1B4"/>
    <w:rsid w:val="036B6441"/>
    <w:rsid w:val="03739E53"/>
    <w:rsid w:val="0374E2E3"/>
    <w:rsid w:val="0377BD12"/>
    <w:rsid w:val="037F538A"/>
    <w:rsid w:val="038B633D"/>
    <w:rsid w:val="038BF80B"/>
    <w:rsid w:val="039D8AAF"/>
    <w:rsid w:val="03AB0903"/>
    <w:rsid w:val="03AE19A4"/>
    <w:rsid w:val="03B217A3"/>
    <w:rsid w:val="03BED5D3"/>
    <w:rsid w:val="03C56FB6"/>
    <w:rsid w:val="03D20659"/>
    <w:rsid w:val="03DCD35A"/>
    <w:rsid w:val="03E73AE1"/>
    <w:rsid w:val="03EDE80B"/>
    <w:rsid w:val="0401AD9D"/>
    <w:rsid w:val="0411B571"/>
    <w:rsid w:val="042DBFF3"/>
    <w:rsid w:val="04377952"/>
    <w:rsid w:val="0438D1A4"/>
    <w:rsid w:val="0466A8DB"/>
    <w:rsid w:val="046808EC"/>
    <w:rsid w:val="048A15F1"/>
    <w:rsid w:val="04ACE035"/>
    <w:rsid w:val="04BB7BFF"/>
    <w:rsid w:val="04E0F50A"/>
    <w:rsid w:val="04E18D7B"/>
    <w:rsid w:val="050DB3A4"/>
    <w:rsid w:val="051A2CE2"/>
    <w:rsid w:val="05210FEB"/>
    <w:rsid w:val="0532F99A"/>
    <w:rsid w:val="0541E55E"/>
    <w:rsid w:val="054AB0B7"/>
    <w:rsid w:val="0562AE89"/>
    <w:rsid w:val="056CA167"/>
    <w:rsid w:val="059BF113"/>
    <w:rsid w:val="05A0D939"/>
    <w:rsid w:val="05A191C4"/>
    <w:rsid w:val="05B2D375"/>
    <w:rsid w:val="05B8021F"/>
    <w:rsid w:val="05C50159"/>
    <w:rsid w:val="05D7DA7B"/>
    <w:rsid w:val="05DF010A"/>
    <w:rsid w:val="05E44A06"/>
    <w:rsid w:val="05E92539"/>
    <w:rsid w:val="05EBBDC4"/>
    <w:rsid w:val="05F51C00"/>
    <w:rsid w:val="05FEBC8F"/>
    <w:rsid w:val="060157C0"/>
    <w:rsid w:val="06242C16"/>
    <w:rsid w:val="063828CC"/>
    <w:rsid w:val="063CF46C"/>
    <w:rsid w:val="063F4BC9"/>
    <w:rsid w:val="0644ABFC"/>
    <w:rsid w:val="06499D8F"/>
    <w:rsid w:val="06537B8F"/>
    <w:rsid w:val="065545C3"/>
    <w:rsid w:val="065EE377"/>
    <w:rsid w:val="06651CE6"/>
    <w:rsid w:val="0666C0EC"/>
    <w:rsid w:val="066772D3"/>
    <w:rsid w:val="066CA0C7"/>
    <w:rsid w:val="066E3C01"/>
    <w:rsid w:val="066ED707"/>
    <w:rsid w:val="06850966"/>
    <w:rsid w:val="068A8BB7"/>
    <w:rsid w:val="06CCDFB4"/>
    <w:rsid w:val="06D3805A"/>
    <w:rsid w:val="06D95E94"/>
    <w:rsid w:val="06E0C735"/>
    <w:rsid w:val="06E5B2F3"/>
    <w:rsid w:val="06EB7454"/>
    <w:rsid w:val="06ECE93C"/>
    <w:rsid w:val="06ECF237"/>
    <w:rsid w:val="06EE3BC8"/>
    <w:rsid w:val="06FCB3BD"/>
    <w:rsid w:val="07095DFE"/>
    <w:rsid w:val="070C4DA7"/>
    <w:rsid w:val="071E0A42"/>
    <w:rsid w:val="07223A89"/>
    <w:rsid w:val="072666CF"/>
    <w:rsid w:val="07392704"/>
    <w:rsid w:val="073A4604"/>
    <w:rsid w:val="0741D863"/>
    <w:rsid w:val="07610B75"/>
    <w:rsid w:val="07648CB7"/>
    <w:rsid w:val="076A5EC8"/>
    <w:rsid w:val="076C9BAF"/>
    <w:rsid w:val="077169E2"/>
    <w:rsid w:val="077A0262"/>
    <w:rsid w:val="079C96EB"/>
    <w:rsid w:val="07A8D45D"/>
    <w:rsid w:val="07CEA791"/>
    <w:rsid w:val="07D328C5"/>
    <w:rsid w:val="07E3A365"/>
    <w:rsid w:val="07FD1F8B"/>
    <w:rsid w:val="08003D97"/>
    <w:rsid w:val="0807973E"/>
    <w:rsid w:val="0811381E"/>
    <w:rsid w:val="081EF694"/>
    <w:rsid w:val="08378919"/>
    <w:rsid w:val="0837992B"/>
    <w:rsid w:val="0839CAEA"/>
    <w:rsid w:val="08546055"/>
    <w:rsid w:val="0861912C"/>
    <w:rsid w:val="0865CA2C"/>
    <w:rsid w:val="086A577A"/>
    <w:rsid w:val="086A57B5"/>
    <w:rsid w:val="086FC4D4"/>
    <w:rsid w:val="0875A4DB"/>
    <w:rsid w:val="0883D4B7"/>
    <w:rsid w:val="08906C46"/>
    <w:rsid w:val="0892953B"/>
    <w:rsid w:val="08939E59"/>
    <w:rsid w:val="0893CF91"/>
    <w:rsid w:val="08AACBBB"/>
    <w:rsid w:val="08C237B3"/>
    <w:rsid w:val="08CFF0FA"/>
    <w:rsid w:val="08E0F6B4"/>
    <w:rsid w:val="08E533E3"/>
    <w:rsid w:val="08EDA034"/>
    <w:rsid w:val="08F835FD"/>
    <w:rsid w:val="0912649B"/>
    <w:rsid w:val="091439F3"/>
    <w:rsid w:val="091BBB36"/>
    <w:rsid w:val="092EE1F3"/>
    <w:rsid w:val="0937896E"/>
    <w:rsid w:val="093C29C2"/>
    <w:rsid w:val="0957D81A"/>
    <w:rsid w:val="095E3C98"/>
    <w:rsid w:val="09604551"/>
    <w:rsid w:val="09717E29"/>
    <w:rsid w:val="097D06ED"/>
    <w:rsid w:val="0984D7F5"/>
    <w:rsid w:val="099EB1DE"/>
    <w:rsid w:val="09A42354"/>
    <w:rsid w:val="09AB9E72"/>
    <w:rsid w:val="09BD95B4"/>
    <w:rsid w:val="09EA5D42"/>
    <w:rsid w:val="09ECE652"/>
    <w:rsid w:val="0A0CFBE6"/>
    <w:rsid w:val="0A20470C"/>
    <w:rsid w:val="0A4921F4"/>
    <w:rsid w:val="0A5896DD"/>
    <w:rsid w:val="0A6D3114"/>
    <w:rsid w:val="0A6ED08A"/>
    <w:rsid w:val="0A7302BE"/>
    <w:rsid w:val="0A8CA6C8"/>
    <w:rsid w:val="0A96ACDA"/>
    <w:rsid w:val="0A9C6515"/>
    <w:rsid w:val="0AA61029"/>
    <w:rsid w:val="0AAB4F84"/>
    <w:rsid w:val="0AAD3970"/>
    <w:rsid w:val="0AB4C19B"/>
    <w:rsid w:val="0ABBED72"/>
    <w:rsid w:val="0AC33B66"/>
    <w:rsid w:val="0AC864EA"/>
    <w:rsid w:val="0ACAAEF4"/>
    <w:rsid w:val="0AD13642"/>
    <w:rsid w:val="0AFB3348"/>
    <w:rsid w:val="0B15C60C"/>
    <w:rsid w:val="0B15E158"/>
    <w:rsid w:val="0B1DA2A6"/>
    <w:rsid w:val="0B219B14"/>
    <w:rsid w:val="0B21B6A3"/>
    <w:rsid w:val="0B2DF42A"/>
    <w:rsid w:val="0B34CF10"/>
    <w:rsid w:val="0B461912"/>
    <w:rsid w:val="0B6140C0"/>
    <w:rsid w:val="0B6529CF"/>
    <w:rsid w:val="0B68C893"/>
    <w:rsid w:val="0B70FAB7"/>
    <w:rsid w:val="0B718746"/>
    <w:rsid w:val="0BAEC2FA"/>
    <w:rsid w:val="0BB1C4A6"/>
    <w:rsid w:val="0BBFE266"/>
    <w:rsid w:val="0BD3EE9E"/>
    <w:rsid w:val="0BD5D447"/>
    <w:rsid w:val="0BD6DDC9"/>
    <w:rsid w:val="0BDB8682"/>
    <w:rsid w:val="0BE0EC3E"/>
    <w:rsid w:val="0BE2CF00"/>
    <w:rsid w:val="0C29D0E4"/>
    <w:rsid w:val="0C2C8ED9"/>
    <w:rsid w:val="0C3904E8"/>
    <w:rsid w:val="0C3A09E1"/>
    <w:rsid w:val="0C3AD83C"/>
    <w:rsid w:val="0C60883C"/>
    <w:rsid w:val="0C643976"/>
    <w:rsid w:val="0C7341AC"/>
    <w:rsid w:val="0C77E64B"/>
    <w:rsid w:val="0C7976E5"/>
    <w:rsid w:val="0C799F12"/>
    <w:rsid w:val="0C836403"/>
    <w:rsid w:val="0C978947"/>
    <w:rsid w:val="0CA2799F"/>
    <w:rsid w:val="0CA7588C"/>
    <w:rsid w:val="0CB6BC45"/>
    <w:rsid w:val="0CCBD269"/>
    <w:rsid w:val="0CF37D02"/>
    <w:rsid w:val="0CF3E786"/>
    <w:rsid w:val="0CFCF31D"/>
    <w:rsid w:val="0D0CACA3"/>
    <w:rsid w:val="0D2B296C"/>
    <w:rsid w:val="0D33039E"/>
    <w:rsid w:val="0D3E8F39"/>
    <w:rsid w:val="0D44E8A4"/>
    <w:rsid w:val="0D452D78"/>
    <w:rsid w:val="0D466E70"/>
    <w:rsid w:val="0D4A2B35"/>
    <w:rsid w:val="0D6ABCB9"/>
    <w:rsid w:val="0D80914A"/>
    <w:rsid w:val="0D8B551C"/>
    <w:rsid w:val="0D960266"/>
    <w:rsid w:val="0D98E9AA"/>
    <w:rsid w:val="0D9C20E5"/>
    <w:rsid w:val="0DA43520"/>
    <w:rsid w:val="0DB0B140"/>
    <w:rsid w:val="0DD08892"/>
    <w:rsid w:val="0DD93731"/>
    <w:rsid w:val="0DEB14C0"/>
    <w:rsid w:val="0DED5E0D"/>
    <w:rsid w:val="0E03461C"/>
    <w:rsid w:val="0E049EFD"/>
    <w:rsid w:val="0E0DFC79"/>
    <w:rsid w:val="0E1871F7"/>
    <w:rsid w:val="0E2291A1"/>
    <w:rsid w:val="0E42239F"/>
    <w:rsid w:val="0E5D6DA3"/>
    <w:rsid w:val="0E632267"/>
    <w:rsid w:val="0E801D7E"/>
    <w:rsid w:val="0E8305B4"/>
    <w:rsid w:val="0E8497A6"/>
    <w:rsid w:val="0E9CCA91"/>
    <w:rsid w:val="0EA10433"/>
    <w:rsid w:val="0EA67A37"/>
    <w:rsid w:val="0EB1EC2B"/>
    <w:rsid w:val="0EBBDB3A"/>
    <w:rsid w:val="0EC99A8C"/>
    <w:rsid w:val="0ED2D208"/>
    <w:rsid w:val="0EE02550"/>
    <w:rsid w:val="0F0090BD"/>
    <w:rsid w:val="0F063C06"/>
    <w:rsid w:val="0F1E140A"/>
    <w:rsid w:val="0F3970D3"/>
    <w:rsid w:val="0F438B4D"/>
    <w:rsid w:val="0F69515C"/>
    <w:rsid w:val="0F79A63E"/>
    <w:rsid w:val="0F79B9CC"/>
    <w:rsid w:val="0F9C7AF6"/>
    <w:rsid w:val="0FBE6202"/>
    <w:rsid w:val="0FD2D5ED"/>
    <w:rsid w:val="0FD644B7"/>
    <w:rsid w:val="0FF877C7"/>
    <w:rsid w:val="0FFECCC4"/>
    <w:rsid w:val="1010A620"/>
    <w:rsid w:val="10145747"/>
    <w:rsid w:val="101A2EF2"/>
    <w:rsid w:val="102972B5"/>
    <w:rsid w:val="10405431"/>
    <w:rsid w:val="1045C011"/>
    <w:rsid w:val="104A00B7"/>
    <w:rsid w:val="105088F5"/>
    <w:rsid w:val="105A7EC6"/>
    <w:rsid w:val="108F07C3"/>
    <w:rsid w:val="10959119"/>
    <w:rsid w:val="10985F1E"/>
    <w:rsid w:val="10A688E2"/>
    <w:rsid w:val="10B13D0F"/>
    <w:rsid w:val="10DFF604"/>
    <w:rsid w:val="10E2227E"/>
    <w:rsid w:val="10F45A69"/>
    <w:rsid w:val="10FAEEC6"/>
    <w:rsid w:val="10FF7257"/>
    <w:rsid w:val="11089474"/>
    <w:rsid w:val="1113D0F3"/>
    <w:rsid w:val="111F7A90"/>
    <w:rsid w:val="1133F5D8"/>
    <w:rsid w:val="113C3C39"/>
    <w:rsid w:val="11451866"/>
    <w:rsid w:val="115413C3"/>
    <w:rsid w:val="11575E9B"/>
    <w:rsid w:val="115A99AC"/>
    <w:rsid w:val="115DFDC7"/>
    <w:rsid w:val="11624967"/>
    <w:rsid w:val="118192E5"/>
    <w:rsid w:val="118A27C5"/>
    <w:rsid w:val="1191A395"/>
    <w:rsid w:val="119AD11F"/>
    <w:rsid w:val="11A0A012"/>
    <w:rsid w:val="11C4764A"/>
    <w:rsid w:val="11DC1AE2"/>
    <w:rsid w:val="11F42E97"/>
    <w:rsid w:val="11FB54AF"/>
    <w:rsid w:val="1200EFE4"/>
    <w:rsid w:val="120302EB"/>
    <w:rsid w:val="1207D1FF"/>
    <w:rsid w:val="1229060D"/>
    <w:rsid w:val="1237A25B"/>
    <w:rsid w:val="1238A1D4"/>
    <w:rsid w:val="125359C1"/>
    <w:rsid w:val="12545DA2"/>
    <w:rsid w:val="126182B3"/>
    <w:rsid w:val="12777341"/>
    <w:rsid w:val="1284ECE7"/>
    <w:rsid w:val="12905979"/>
    <w:rsid w:val="12A1F262"/>
    <w:rsid w:val="12A749C8"/>
    <w:rsid w:val="12B8CFE2"/>
    <w:rsid w:val="12BAC5C3"/>
    <w:rsid w:val="12D2BABD"/>
    <w:rsid w:val="12D3FC8D"/>
    <w:rsid w:val="12DA953A"/>
    <w:rsid w:val="12DFDE55"/>
    <w:rsid w:val="12E7ADEB"/>
    <w:rsid w:val="12EA721E"/>
    <w:rsid w:val="12F816F2"/>
    <w:rsid w:val="130791AC"/>
    <w:rsid w:val="130CA1AE"/>
    <w:rsid w:val="13112797"/>
    <w:rsid w:val="131CF42C"/>
    <w:rsid w:val="134A5556"/>
    <w:rsid w:val="134CBF09"/>
    <w:rsid w:val="135AC974"/>
    <w:rsid w:val="135E54CD"/>
    <w:rsid w:val="136810CC"/>
    <w:rsid w:val="136B1390"/>
    <w:rsid w:val="136FA0DF"/>
    <w:rsid w:val="138E9A8B"/>
    <w:rsid w:val="13940CA8"/>
    <w:rsid w:val="13B4AFBA"/>
    <w:rsid w:val="13C330A9"/>
    <w:rsid w:val="13C3A24C"/>
    <w:rsid w:val="13CC5F7D"/>
    <w:rsid w:val="13D5AEE9"/>
    <w:rsid w:val="13E3DE53"/>
    <w:rsid w:val="1409143A"/>
    <w:rsid w:val="140EB2DB"/>
    <w:rsid w:val="1413A0E5"/>
    <w:rsid w:val="1413B29B"/>
    <w:rsid w:val="1433A5C0"/>
    <w:rsid w:val="144ADFD5"/>
    <w:rsid w:val="145BA5BF"/>
    <w:rsid w:val="1462BD23"/>
    <w:rsid w:val="146AE72A"/>
    <w:rsid w:val="146D44FF"/>
    <w:rsid w:val="1473A184"/>
    <w:rsid w:val="147B6B12"/>
    <w:rsid w:val="14AD6DC3"/>
    <w:rsid w:val="14B4DAC5"/>
    <w:rsid w:val="14C7E297"/>
    <w:rsid w:val="14CDCA26"/>
    <w:rsid w:val="14D5B802"/>
    <w:rsid w:val="14D8E161"/>
    <w:rsid w:val="14DB1AFF"/>
    <w:rsid w:val="14E14C8D"/>
    <w:rsid w:val="14E7ACAE"/>
    <w:rsid w:val="14EE512C"/>
    <w:rsid w:val="14F04A0A"/>
    <w:rsid w:val="14F820A8"/>
    <w:rsid w:val="15040FE2"/>
    <w:rsid w:val="150DBE4A"/>
    <w:rsid w:val="151A40EE"/>
    <w:rsid w:val="153414F7"/>
    <w:rsid w:val="153456A0"/>
    <w:rsid w:val="154C75EF"/>
    <w:rsid w:val="1558E294"/>
    <w:rsid w:val="155AD24B"/>
    <w:rsid w:val="15692E86"/>
    <w:rsid w:val="156A0684"/>
    <w:rsid w:val="15753FD8"/>
    <w:rsid w:val="1578D8B8"/>
    <w:rsid w:val="159A5210"/>
    <w:rsid w:val="15A0960B"/>
    <w:rsid w:val="15A39452"/>
    <w:rsid w:val="15B8B242"/>
    <w:rsid w:val="15BDAEFE"/>
    <w:rsid w:val="15C0ADF9"/>
    <w:rsid w:val="15DC13ED"/>
    <w:rsid w:val="15DE2BCB"/>
    <w:rsid w:val="15EDF1C2"/>
    <w:rsid w:val="16022EE2"/>
    <w:rsid w:val="16024AC9"/>
    <w:rsid w:val="16059BD7"/>
    <w:rsid w:val="1605F2A8"/>
    <w:rsid w:val="160704C3"/>
    <w:rsid w:val="16075B8F"/>
    <w:rsid w:val="161273DA"/>
    <w:rsid w:val="161E34D8"/>
    <w:rsid w:val="16270898"/>
    <w:rsid w:val="162C383C"/>
    <w:rsid w:val="1634ECE7"/>
    <w:rsid w:val="165136F7"/>
    <w:rsid w:val="165CACA8"/>
    <w:rsid w:val="1666B32B"/>
    <w:rsid w:val="16678A69"/>
    <w:rsid w:val="166E8298"/>
    <w:rsid w:val="167CEE44"/>
    <w:rsid w:val="1680747B"/>
    <w:rsid w:val="16868F96"/>
    <w:rsid w:val="168A02C9"/>
    <w:rsid w:val="169B9BE8"/>
    <w:rsid w:val="16B41BC3"/>
    <w:rsid w:val="16B5B389"/>
    <w:rsid w:val="16C46015"/>
    <w:rsid w:val="16C88F76"/>
    <w:rsid w:val="16D6DB6B"/>
    <w:rsid w:val="16E5E24B"/>
    <w:rsid w:val="16EA864E"/>
    <w:rsid w:val="16EB055F"/>
    <w:rsid w:val="16EB3735"/>
    <w:rsid w:val="16F40BC5"/>
    <w:rsid w:val="17000CB9"/>
    <w:rsid w:val="1707D3B7"/>
    <w:rsid w:val="17135245"/>
    <w:rsid w:val="171F4208"/>
    <w:rsid w:val="1731BE3E"/>
    <w:rsid w:val="1738A539"/>
    <w:rsid w:val="173AA10A"/>
    <w:rsid w:val="17462204"/>
    <w:rsid w:val="174EEC16"/>
    <w:rsid w:val="174FC499"/>
    <w:rsid w:val="17528EA2"/>
    <w:rsid w:val="175A7CEF"/>
    <w:rsid w:val="175D40F2"/>
    <w:rsid w:val="1761345F"/>
    <w:rsid w:val="178017E1"/>
    <w:rsid w:val="1780EF23"/>
    <w:rsid w:val="17903E08"/>
    <w:rsid w:val="1798DA59"/>
    <w:rsid w:val="179D4925"/>
    <w:rsid w:val="17AEF5BD"/>
    <w:rsid w:val="17BE0227"/>
    <w:rsid w:val="17C0723C"/>
    <w:rsid w:val="17CCE590"/>
    <w:rsid w:val="17E9ABEE"/>
    <w:rsid w:val="17EA7EC6"/>
    <w:rsid w:val="17F6422F"/>
    <w:rsid w:val="1806675C"/>
    <w:rsid w:val="181D79B0"/>
    <w:rsid w:val="1825F1EE"/>
    <w:rsid w:val="1830593D"/>
    <w:rsid w:val="1838BFC8"/>
    <w:rsid w:val="185F9B34"/>
    <w:rsid w:val="1861169F"/>
    <w:rsid w:val="18646390"/>
    <w:rsid w:val="187D7DFF"/>
    <w:rsid w:val="1880DE33"/>
    <w:rsid w:val="188F159F"/>
    <w:rsid w:val="18B20BF0"/>
    <w:rsid w:val="18E55FB9"/>
    <w:rsid w:val="18FA8259"/>
    <w:rsid w:val="19015A85"/>
    <w:rsid w:val="1913CC33"/>
    <w:rsid w:val="191AB13E"/>
    <w:rsid w:val="1924CE30"/>
    <w:rsid w:val="19278A7E"/>
    <w:rsid w:val="1927C23D"/>
    <w:rsid w:val="1929D7CE"/>
    <w:rsid w:val="193D366B"/>
    <w:rsid w:val="194359CA"/>
    <w:rsid w:val="194CC22D"/>
    <w:rsid w:val="197226C1"/>
    <w:rsid w:val="1989E6D7"/>
    <w:rsid w:val="198CDDB5"/>
    <w:rsid w:val="198DCC07"/>
    <w:rsid w:val="199F3E55"/>
    <w:rsid w:val="19B75E2B"/>
    <w:rsid w:val="19BAB31C"/>
    <w:rsid w:val="19BF1FF0"/>
    <w:rsid w:val="19C2D32D"/>
    <w:rsid w:val="19D70E8F"/>
    <w:rsid w:val="19F2D607"/>
    <w:rsid w:val="19F3222D"/>
    <w:rsid w:val="19FBD48D"/>
    <w:rsid w:val="19FC0E59"/>
    <w:rsid w:val="1A02707A"/>
    <w:rsid w:val="1A068034"/>
    <w:rsid w:val="1A0D51B6"/>
    <w:rsid w:val="1A2E41DD"/>
    <w:rsid w:val="1A3243EC"/>
    <w:rsid w:val="1A35BF34"/>
    <w:rsid w:val="1A3908B7"/>
    <w:rsid w:val="1A4AC603"/>
    <w:rsid w:val="1A56A117"/>
    <w:rsid w:val="1A5EB0A6"/>
    <w:rsid w:val="1A62E657"/>
    <w:rsid w:val="1A67F8F7"/>
    <w:rsid w:val="1A6D3313"/>
    <w:rsid w:val="1A8AF8B7"/>
    <w:rsid w:val="1A98255B"/>
    <w:rsid w:val="1AC23C23"/>
    <w:rsid w:val="1AE6FB49"/>
    <w:rsid w:val="1AF9BCE8"/>
    <w:rsid w:val="1AFCFEC6"/>
    <w:rsid w:val="1B27F739"/>
    <w:rsid w:val="1B465575"/>
    <w:rsid w:val="1B6F0ACA"/>
    <w:rsid w:val="1B7C9096"/>
    <w:rsid w:val="1B833B1F"/>
    <w:rsid w:val="1B83DA55"/>
    <w:rsid w:val="1B8606A8"/>
    <w:rsid w:val="1B8C666D"/>
    <w:rsid w:val="1BA376D8"/>
    <w:rsid w:val="1BB94B83"/>
    <w:rsid w:val="1BC876A3"/>
    <w:rsid w:val="1BE28D94"/>
    <w:rsid w:val="1BF06938"/>
    <w:rsid w:val="1BF21EA3"/>
    <w:rsid w:val="1C0C0287"/>
    <w:rsid w:val="1C14A7AC"/>
    <w:rsid w:val="1C194327"/>
    <w:rsid w:val="1C2E7C6B"/>
    <w:rsid w:val="1C3D25A0"/>
    <w:rsid w:val="1C47A1D5"/>
    <w:rsid w:val="1C4DAC48"/>
    <w:rsid w:val="1C5C17F3"/>
    <w:rsid w:val="1C657D67"/>
    <w:rsid w:val="1C782C07"/>
    <w:rsid w:val="1C89C40F"/>
    <w:rsid w:val="1C8AD7C3"/>
    <w:rsid w:val="1C9CE50A"/>
    <w:rsid w:val="1CB13580"/>
    <w:rsid w:val="1CB786E7"/>
    <w:rsid w:val="1CBD69D4"/>
    <w:rsid w:val="1CC8D00A"/>
    <w:rsid w:val="1CDC1B34"/>
    <w:rsid w:val="1CDE0F29"/>
    <w:rsid w:val="1CEE9B0A"/>
    <w:rsid w:val="1D04256E"/>
    <w:rsid w:val="1D1DD428"/>
    <w:rsid w:val="1D24B473"/>
    <w:rsid w:val="1D2DC09C"/>
    <w:rsid w:val="1D4A8F08"/>
    <w:rsid w:val="1D5636F5"/>
    <w:rsid w:val="1D5FCDDB"/>
    <w:rsid w:val="1D77C1E7"/>
    <w:rsid w:val="1D8058FB"/>
    <w:rsid w:val="1D9D6CAE"/>
    <w:rsid w:val="1D9E3628"/>
    <w:rsid w:val="1D9E7185"/>
    <w:rsid w:val="1DC1CB9F"/>
    <w:rsid w:val="1E0D7A98"/>
    <w:rsid w:val="1E5582C0"/>
    <w:rsid w:val="1E55F916"/>
    <w:rsid w:val="1E593546"/>
    <w:rsid w:val="1E64B2A1"/>
    <w:rsid w:val="1E67403C"/>
    <w:rsid w:val="1E770365"/>
    <w:rsid w:val="1E82BCA8"/>
    <w:rsid w:val="1E8D6B46"/>
    <w:rsid w:val="1EA925F2"/>
    <w:rsid w:val="1EBDBA70"/>
    <w:rsid w:val="1EC018A1"/>
    <w:rsid w:val="1EC394AF"/>
    <w:rsid w:val="1ED8CFD8"/>
    <w:rsid w:val="1EDABF6C"/>
    <w:rsid w:val="1EDD65D6"/>
    <w:rsid w:val="1EE1ED50"/>
    <w:rsid w:val="1EEE428D"/>
    <w:rsid w:val="1EF13345"/>
    <w:rsid w:val="1EF213E5"/>
    <w:rsid w:val="1F119641"/>
    <w:rsid w:val="1F24D3A0"/>
    <w:rsid w:val="1F384694"/>
    <w:rsid w:val="1F3A0EC3"/>
    <w:rsid w:val="1F407B85"/>
    <w:rsid w:val="1F46B1F4"/>
    <w:rsid w:val="1F481CE8"/>
    <w:rsid w:val="1F6298F2"/>
    <w:rsid w:val="1F643D5D"/>
    <w:rsid w:val="1F801A10"/>
    <w:rsid w:val="1F8D1BB1"/>
    <w:rsid w:val="1F91CBCF"/>
    <w:rsid w:val="1F9A8A93"/>
    <w:rsid w:val="1F9CFC24"/>
    <w:rsid w:val="1F9F5387"/>
    <w:rsid w:val="1FB47D73"/>
    <w:rsid w:val="1FB88FF3"/>
    <w:rsid w:val="1FD58E66"/>
    <w:rsid w:val="1FE05357"/>
    <w:rsid w:val="1FF04DE5"/>
    <w:rsid w:val="2006195D"/>
    <w:rsid w:val="20184DCB"/>
    <w:rsid w:val="201CBC56"/>
    <w:rsid w:val="203BA693"/>
    <w:rsid w:val="20449514"/>
    <w:rsid w:val="2058F092"/>
    <w:rsid w:val="205A5B96"/>
    <w:rsid w:val="20C6E011"/>
    <w:rsid w:val="20C99D87"/>
    <w:rsid w:val="20CE7A9D"/>
    <w:rsid w:val="20D0C376"/>
    <w:rsid w:val="20EFA3C5"/>
    <w:rsid w:val="20F595B0"/>
    <w:rsid w:val="2100C5AB"/>
    <w:rsid w:val="21200630"/>
    <w:rsid w:val="212375C6"/>
    <w:rsid w:val="212AE0BA"/>
    <w:rsid w:val="214667D6"/>
    <w:rsid w:val="215C9BF6"/>
    <w:rsid w:val="2163F0E9"/>
    <w:rsid w:val="2166CAD9"/>
    <w:rsid w:val="21A040DE"/>
    <w:rsid w:val="21A6C114"/>
    <w:rsid w:val="21B426AC"/>
    <w:rsid w:val="21B95C67"/>
    <w:rsid w:val="21BE3D53"/>
    <w:rsid w:val="21D0C7AA"/>
    <w:rsid w:val="21D6393C"/>
    <w:rsid w:val="21DA1EE0"/>
    <w:rsid w:val="21E2A8F5"/>
    <w:rsid w:val="21E40D3F"/>
    <w:rsid w:val="21E4ECE7"/>
    <w:rsid w:val="2208F314"/>
    <w:rsid w:val="22110E88"/>
    <w:rsid w:val="2214A4DC"/>
    <w:rsid w:val="223EC121"/>
    <w:rsid w:val="225DE509"/>
    <w:rsid w:val="22650CC5"/>
    <w:rsid w:val="226DD2B3"/>
    <w:rsid w:val="22776ADD"/>
    <w:rsid w:val="2277F04D"/>
    <w:rsid w:val="227E7395"/>
    <w:rsid w:val="228884AB"/>
    <w:rsid w:val="228EBEEA"/>
    <w:rsid w:val="229A5548"/>
    <w:rsid w:val="229AA23E"/>
    <w:rsid w:val="229D8A51"/>
    <w:rsid w:val="22A3EB32"/>
    <w:rsid w:val="22BE951E"/>
    <w:rsid w:val="22C529B3"/>
    <w:rsid w:val="22CF29BF"/>
    <w:rsid w:val="22DDE4D0"/>
    <w:rsid w:val="22E1F06A"/>
    <w:rsid w:val="22F02AE1"/>
    <w:rsid w:val="22FC653D"/>
    <w:rsid w:val="23003D18"/>
    <w:rsid w:val="230120C4"/>
    <w:rsid w:val="2308E2C9"/>
    <w:rsid w:val="2309D7E8"/>
    <w:rsid w:val="2310A817"/>
    <w:rsid w:val="2311C235"/>
    <w:rsid w:val="2313425E"/>
    <w:rsid w:val="23233FCA"/>
    <w:rsid w:val="23253E5A"/>
    <w:rsid w:val="232983AC"/>
    <w:rsid w:val="232F8A84"/>
    <w:rsid w:val="23435566"/>
    <w:rsid w:val="234D5100"/>
    <w:rsid w:val="236148F9"/>
    <w:rsid w:val="236D7946"/>
    <w:rsid w:val="23755C1B"/>
    <w:rsid w:val="237E6461"/>
    <w:rsid w:val="2386FD7C"/>
    <w:rsid w:val="238F0D6D"/>
    <w:rsid w:val="2396FDEB"/>
    <w:rsid w:val="239D616F"/>
    <w:rsid w:val="23A2F8B7"/>
    <w:rsid w:val="23A9238C"/>
    <w:rsid w:val="23C3791D"/>
    <w:rsid w:val="23C45D68"/>
    <w:rsid w:val="23CBDB23"/>
    <w:rsid w:val="23D44BB5"/>
    <w:rsid w:val="23D5DA9A"/>
    <w:rsid w:val="23E5356F"/>
    <w:rsid w:val="23EBEC19"/>
    <w:rsid w:val="23F3E4A8"/>
    <w:rsid w:val="23FA324F"/>
    <w:rsid w:val="23FD0138"/>
    <w:rsid w:val="2434B261"/>
    <w:rsid w:val="2437A148"/>
    <w:rsid w:val="243C7C7A"/>
    <w:rsid w:val="2447F8B2"/>
    <w:rsid w:val="2461ABE1"/>
    <w:rsid w:val="2477AFA4"/>
    <w:rsid w:val="248BABEC"/>
    <w:rsid w:val="2493969C"/>
    <w:rsid w:val="24BD566D"/>
    <w:rsid w:val="24C1E0D2"/>
    <w:rsid w:val="24D492CC"/>
    <w:rsid w:val="24E137F9"/>
    <w:rsid w:val="24E1F2AE"/>
    <w:rsid w:val="24EBBE2D"/>
    <w:rsid w:val="24EF7EFF"/>
    <w:rsid w:val="24F63B1A"/>
    <w:rsid w:val="24FF6681"/>
    <w:rsid w:val="250C807B"/>
    <w:rsid w:val="2511D1F0"/>
    <w:rsid w:val="2519183B"/>
    <w:rsid w:val="251D7A60"/>
    <w:rsid w:val="252C848B"/>
    <w:rsid w:val="2536F937"/>
    <w:rsid w:val="25412C3F"/>
    <w:rsid w:val="25504FDF"/>
    <w:rsid w:val="255219B1"/>
    <w:rsid w:val="2556A600"/>
    <w:rsid w:val="25576A4F"/>
    <w:rsid w:val="25600F1E"/>
    <w:rsid w:val="25A6A35F"/>
    <w:rsid w:val="25B3E45D"/>
    <w:rsid w:val="25B58D2B"/>
    <w:rsid w:val="25C03BF2"/>
    <w:rsid w:val="25D5DC18"/>
    <w:rsid w:val="25DE2892"/>
    <w:rsid w:val="2605B13D"/>
    <w:rsid w:val="260F48A7"/>
    <w:rsid w:val="26256CDF"/>
    <w:rsid w:val="2640D6C9"/>
    <w:rsid w:val="26445626"/>
    <w:rsid w:val="26466871"/>
    <w:rsid w:val="2647F56E"/>
    <w:rsid w:val="264A58D4"/>
    <w:rsid w:val="26594CF5"/>
    <w:rsid w:val="266670F5"/>
    <w:rsid w:val="266A015B"/>
    <w:rsid w:val="267C31E2"/>
    <w:rsid w:val="268940B8"/>
    <w:rsid w:val="268E0F43"/>
    <w:rsid w:val="26B145E3"/>
    <w:rsid w:val="26B19310"/>
    <w:rsid w:val="26B6F6CE"/>
    <w:rsid w:val="26BA38AF"/>
    <w:rsid w:val="26BFE93F"/>
    <w:rsid w:val="26D9C0E6"/>
    <w:rsid w:val="270F3CC0"/>
    <w:rsid w:val="270F86F1"/>
    <w:rsid w:val="272F8598"/>
    <w:rsid w:val="2732F8D0"/>
    <w:rsid w:val="273609C1"/>
    <w:rsid w:val="27440446"/>
    <w:rsid w:val="27690B78"/>
    <w:rsid w:val="276E396E"/>
    <w:rsid w:val="2775B4E2"/>
    <w:rsid w:val="278CD769"/>
    <w:rsid w:val="279DB78E"/>
    <w:rsid w:val="27AB3FA8"/>
    <w:rsid w:val="27B2042C"/>
    <w:rsid w:val="27E62FF8"/>
    <w:rsid w:val="27FFE592"/>
    <w:rsid w:val="280CA896"/>
    <w:rsid w:val="28151A9F"/>
    <w:rsid w:val="2815B077"/>
    <w:rsid w:val="281A0E8B"/>
    <w:rsid w:val="281F6056"/>
    <w:rsid w:val="2826E0D1"/>
    <w:rsid w:val="283C4E95"/>
    <w:rsid w:val="2843E47A"/>
    <w:rsid w:val="284B3233"/>
    <w:rsid w:val="2882820F"/>
    <w:rsid w:val="28872CE4"/>
    <w:rsid w:val="28A7FE39"/>
    <w:rsid w:val="28AAF14C"/>
    <w:rsid w:val="28BA63FB"/>
    <w:rsid w:val="28BED96A"/>
    <w:rsid w:val="28C16073"/>
    <w:rsid w:val="28CD268D"/>
    <w:rsid w:val="28CDEBA0"/>
    <w:rsid w:val="28D6018A"/>
    <w:rsid w:val="28FB636C"/>
    <w:rsid w:val="290089FC"/>
    <w:rsid w:val="29061F66"/>
    <w:rsid w:val="29191581"/>
    <w:rsid w:val="291CCED3"/>
    <w:rsid w:val="293F022C"/>
    <w:rsid w:val="2959BA49"/>
    <w:rsid w:val="29675CD3"/>
    <w:rsid w:val="29737881"/>
    <w:rsid w:val="297CEE17"/>
    <w:rsid w:val="297FAA74"/>
    <w:rsid w:val="2985B42F"/>
    <w:rsid w:val="2986FD53"/>
    <w:rsid w:val="299D33D0"/>
    <w:rsid w:val="29A439F6"/>
    <w:rsid w:val="29BA175D"/>
    <w:rsid w:val="29C3D032"/>
    <w:rsid w:val="29D4B95F"/>
    <w:rsid w:val="29D5EE21"/>
    <w:rsid w:val="2A016FB1"/>
    <w:rsid w:val="2A05E5A4"/>
    <w:rsid w:val="2A1E97DF"/>
    <w:rsid w:val="2A224977"/>
    <w:rsid w:val="2A22F044"/>
    <w:rsid w:val="2A3374B4"/>
    <w:rsid w:val="2A3681EF"/>
    <w:rsid w:val="2A3CFF81"/>
    <w:rsid w:val="2A4A9E52"/>
    <w:rsid w:val="2A54FBDF"/>
    <w:rsid w:val="2A6813F9"/>
    <w:rsid w:val="2A6843C1"/>
    <w:rsid w:val="2A6C3C7C"/>
    <w:rsid w:val="2A6D9E44"/>
    <w:rsid w:val="2A76409F"/>
    <w:rsid w:val="2A83A5C8"/>
    <w:rsid w:val="2A83DCF7"/>
    <w:rsid w:val="2A8713FF"/>
    <w:rsid w:val="2A872475"/>
    <w:rsid w:val="2A8EFDE6"/>
    <w:rsid w:val="2A95E9A5"/>
    <w:rsid w:val="2AA1EC86"/>
    <w:rsid w:val="2AB0B58F"/>
    <w:rsid w:val="2AB84320"/>
    <w:rsid w:val="2AC31B34"/>
    <w:rsid w:val="2ACB84D1"/>
    <w:rsid w:val="2ACBA2FC"/>
    <w:rsid w:val="2ACED663"/>
    <w:rsid w:val="2AD77325"/>
    <w:rsid w:val="2AD86389"/>
    <w:rsid w:val="2AE08BD1"/>
    <w:rsid w:val="2B05FD9C"/>
    <w:rsid w:val="2B15BB69"/>
    <w:rsid w:val="2B26AD52"/>
    <w:rsid w:val="2B285B47"/>
    <w:rsid w:val="2B2DB469"/>
    <w:rsid w:val="2B331001"/>
    <w:rsid w:val="2B375120"/>
    <w:rsid w:val="2B4148F5"/>
    <w:rsid w:val="2B5C9617"/>
    <w:rsid w:val="2B6E595F"/>
    <w:rsid w:val="2B7F5CE0"/>
    <w:rsid w:val="2B82BE08"/>
    <w:rsid w:val="2BA10459"/>
    <w:rsid w:val="2BBC9E73"/>
    <w:rsid w:val="2BDCB90C"/>
    <w:rsid w:val="2BDE4CA3"/>
    <w:rsid w:val="2BE020EF"/>
    <w:rsid w:val="2BE70759"/>
    <w:rsid w:val="2BEBF21F"/>
    <w:rsid w:val="2BF043A5"/>
    <w:rsid w:val="2C154135"/>
    <w:rsid w:val="2C2081A7"/>
    <w:rsid w:val="2C2383E2"/>
    <w:rsid w:val="2C320DF2"/>
    <w:rsid w:val="2C359B08"/>
    <w:rsid w:val="2C3ADB57"/>
    <w:rsid w:val="2C454545"/>
    <w:rsid w:val="2C54C99A"/>
    <w:rsid w:val="2C6C9DE7"/>
    <w:rsid w:val="2C6CE80E"/>
    <w:rsid w:val="2C7F4009"/>
    <w:rsid w:val="2C84C98A"/>
    <w:rsid w:val="2C91D2D0"/>
    <w:rsid w:val="2C921690"/>
    <w:rsid w:val="2C929646"/>
    <w:rsid w:val="2C973C80"/>
    <w:rsid w:val="2C9C0D9A"/>
    <w:rsid w:val="2CA39274"/>
    <w:rsid w:val="2CAA08E4"/>
    <w:rsid w:val="2CB0F243"/>
    <w:rsid w:val="2CC66E36"/>
    <w:rsid w:val="2CC6EC4C"/>
    <w:rsid w:val="2CD6E9FC"/>
    <w:rsid w:val="2CEDF527"/>
    <w:rsid w:val="2CEE9032"/>
    <w:rsid w:val="2D2448CB"/>
    <w:rsid w:val="2D2A1CAE"/>
    <w:rsid w:val="2D2C8F04"/>
    <w:rsid w:val="2D4FB5B5"/>
    <w:rsid w:val="2D521751"/>
    <w:rsid w:val="2D57E69E"/>
    <w:rsid w:val="2D5A3A55"/>
    <w:rsid w:val="2D5D9727"/>
    <w:rsid w:val="2D6A4C9D"/>
    <w:rsid w:val="2D7887C5"/>
    <w:rsid w:val="2D8383C0"/>
    <w:rsid w:val="2D933243"/>
    <w:rsid w:val="2D9376ED"/>
    <w:rsid w:val="2D9AE625"/>
    <w:rsid w:val="2DAA4AE9"/>
    <w:rsid w:val="2DB3CA0E"/>
    <w:rsid w:val="2DBC75CD"/>
    <w:rsid w:val="2DDCBD30"/>
    <w:rsid w:val="2DE41FF6"/>
    <w:rsid w:val="2DE44899"/>
    <w:rsid w:val="2DF4E15C"/>
    <w:rsid w:val="2E0045D0"/>
    <w:rsid w:val="2E07F932"/>
    <w:rsid w:val="2E0E2B5D"/>
    <w:rsid w:val="2E2329A2"/>
    <w:rsid w:val="2E3FBF90"/>
    <w:rsid w:val="2E44FF24"/>
    <w:rsid w:val="2E5C70A6"/>
    <w:rsid w:val="2E5DF5DF"/>
    <w:rsid w:val="2E73DFEE"/>
    <w:rsid w:val="2E7590E0"/>
    <w:rsid w:val="2E953F67"/>
    <w:rsid w:val="2EB408DA"/>
    <w:rsid w:val="2EF1482C"/>
    <w:rsid w:val="2EFA93D6"/>
    <w:rsid w:val="2F062BC4"/>
    <w:rsid w:val="2F1A03A8"/>
    <w:rsid w:val="2F461B4A"/>
    <w:rsid w:val="2F4CCE07"/>
    <w:rsid w:val="2F8A8219"/>
    <w:rsid w:val="2FAE018E"/>
    <w:rsid w:val="2FBEBD18"/>
    <w:rsid w:val="2FC16332"/>
    <w:rsid w:val="2FCB0C3E"/>
    <w:rsid w:val="2FD7D350"/>
    <w:rsid w:val="2FDAC120"/>
    <w:rsid w:val="2FFCE55D"/>
    <w:rsid w:val="3001FBD8"/>
    <w:rsid w:val="30106B00"/>
    <w:rsid w:val="301374BD"/>
    <w:rsid w:val="3020FA0E"/>
    <w:rsid w:val="3031F2B6"/>
    <w:rsid w:val="3036BB4B"/>
    <w:rsid w:val="303EA50C"/>
    <w:rsid w:val="3056B41D"/>
    <w:rsid w:val="306521A6"/>
    <w:rsid w:val="306ACAEC"/>
    <w:rsid w:val="307D7B6A"/>
    <w:rsid w:val="30856BED"/>
    <w:rsid w:val="3085A9AF"/>
    <w:rsid w:val="308A63D0"/>
    <w:rsid w:val="308DCC89"/>
    <w:rsid w:val="309713DE"/>
    <w:rsid w:val="30A1FC25"/>
    <w:rsid w:val="30A38DBC"/>
    <w:rsid w:val="30A9ABAE"/>
    <w:rsid w:val="30B5460E"/>
    <w:rsid w:val="30D373E8"/>
    <w:rsid w:val="30E4A310"/>
    <w:rsid w:val="30E8DAFA"/>
    <w:rsid w:val="30EA2D46"/>
    <w:rsid w:val="3109976A"/>
    <w:rsid w:val="310A3477"/>
    <w:rsid w:val="31126435"/>
    <w:rsid w:val="311ED570"/>
    <w:rsid w:val="312D9FEF"/>
    <w:rsid w:val="3132F6DB"/>
    <w:rsid w:val="3139478E"/>
    <w:rsid w:val="313BDAF4"/>
    <w:rsid w:val="3143D2AE"/>
    <w:rsid w:val="316621B9"/>
    <w:rsid w:val="3167CE6F"/>
    <w:rsid w:val="3168B033"/>
    <w:rsid w:val="317140C4"/>
    <w:rsid w:val="3171E646"/>
    <w:rsid w:val="31895BF1"/>
    <w:rsid w:val="3192D824"/>
    <w:rsid w:val="319EA3BB"/>
    <w:rsid w:val="31A692A4"/>
    <w:rsid w:val="31A864C2"/>
    <w:rsid w:val="31B2FB63"/>
    <w:rsid w:val="31B812E6"/>
    <w:rsid w:val="31C390F5"/>
    <w:rsid w:val="31D19E63"/>
    <w:rsid w:val="31D8DC01"/>
    <w:rsid w:val="31EE57D0"/>
    <w:rsid w:val="31FFF1D3"/>
    <w:rsid w:val="320FD595"/>
    <w:rsid w:val="3212879A"/>
    <w:rsid w:val="321F42A0"/>
    <w:rsid w:val="322DF20B"/>
    <w:rsid w:val="3230A191"/>
    <w:rsid w:val="3234953B"/>
    <w:rsid w:val="3246EE45"/>
    <w:rsid w:val="325169E1"/>
    <w:rsid w:val="325A910A"/>
    <w:rsid w:val="3261EBB7"/>
    <w:rsid w:val="32645C81"/>
    <w:rsid w:val="3266A6BB"/>
    <w:rsid w:val="328B1905"/>
    <w:rsid w:val="32902E24"/>
    <w:rsid w:val="32982E06"/>
    <w:rsid w:val="32CDD6B7"/>
    <w:rsid w:val="32DF3570"/>
    <w:rsid w:val="32F0CDEF"/>
    <w:rsid w:val="32F1AC51"/>
    <w:rsid w:val="32FEDB13"/>
    <w:rsid w:val="3307DCC6"/>
    <w:rsid w:val="33110F81"/>
    <w:rsid w:val="3317A825"/>
    <w:rsid w:val="33213CB4"/>
    <w:rsid w:val="332A4906"/>
    <w:rsid w:val="332E8F89"/>
    <w:rsid w:val="3330889D"/>
    <w:rsid w:val="33383C6C"/>
    <w:rsid w:val="33418C10"/>
    <w:rsid w:val="334A6D00"/>
    <w:rsid w:val="334C1F25"/>
    <w:rsid w:val="3356E23A"/>
    <w:rsid w:val="335B3DC2"/>
    <w:rsid w:val="3362D655"/>
    <w:rsid w:val="336CCCC7"/>
    <w:rsid w:val="33761C7E"/>
    <w:rsid w:val="33796B44"/>
    <w:rsid w:val="339C5D71"/>
    <w:rsid w:val="33A1DF74"/>
    <w:rsid w:val="33CEA330"/>
    <w:rsid w:val="33D99CE7"/>
    <w:rsid w:val="33DC8CA1"/>
    <w:rsid w:val="33DEBEB2"/>
    <w:rsid w:val="33EA6EAD"/>
    <w:rsid w:val="33EC2055"/>
    <w:rsid w:val="33EDCFD4"/>
    <w:rsid w:val="33F21CD8"/>
    <w:rsid w:val="33FC8991"/>
    <w:rsid w:val="340850DE"/>
    <w:rsid w:val="3409BFF3"/>
    <w:rsid w:val="34181E19"/>
    <w:rsid w:val="341A3D3B"/>
    <w:rsid w:val="34314C8E"/>
    <w:rsid w:val="344A2F24"/>
    <w:rsid w:val="345C7B64"/>
    <w:rsid w:val="345EC07E"/>
    <w:rsid w:val="347A5258"/>
    <w:rsid w:val="34886459"/>
    <w:rsid w:val="348CEF21"/>
    <w:rsid w:val="34AEA54F"/>
    <w:rsid w:val="34BAA463"/>
    <w:rsid w:val="34D03A1E"/>
    <w:rsid w:val="34D8204D"/>
    <w:rsid w:val="34DBCF76"/>
    <w:rsid w:val="34EA73CA"/>
    <w:rsid w:val="34EBF29A"/>
    <w:rsid w:val="34F2F80C"/>
    <w:rsid w:val="34FAEF73"/>
    <w:rsid w:val="35160C29"/>
    <w:rsid w:val="352DC903"/>
    <w:rsid w:val="353A5C5D"/>
    <w:rsid w:val="353FA5CE"/>
    <w:rsid w:val="35548331"/>
    <w:rsid w:val="3566C618"/>
    <w:rsid w:val="3574D071"/>
    <w:rsid w:val="357C69AE"/>
    <w:rsid w:val="358CD962"/>
    <w:rsid w:val="359EA794"/>
    <w:rsid w:val="35A2E72E"/>
    <w:rsid w:val="35CCD522"/>
    <w:rsid w:val="35D2FF2E"/>
    <w:rsid w:val="35D64937"/>
    <w:rsid w:val="35D7665C"/>
    <w:rsid w:val="35E6951A"/>
    <w:rsid w:val="360AE8ED"/>
    <w:rsid w:val="362872D5"/>
    <w:rsid w:val="362B75DA"/>
    <w:rsid w:val="363DB998"/>
    <w:rsid w:val="36719E58"/>
    <w:rsid w:val="3678CCD9"/>
    <w:rsid w:val="36A26DC5"/>
    <w:rsid w:val="36A7EA47"/>
    <w:rsid w:val="36B9BDD0"/>
    <w:rsid w:val="36BB2063"/>
    <w:rsid w:val="36BC50CA"/>
    <w:rsid w:val="36DD67FB"/>
    <w:rsid w:val="36E7E81C"/>
    <w:rsid w:val="36EC8F55"/>
    <w:rsid w:val="36FC048A"/>
    <w:rsid w:val="370D339C"/>
    <w:rsid w:val="372795AF"/>
    <w:rsid w:val="372C3B62"/>
    <w:rsid w:val="3748EB1F"/>
    <w:rsid w:val="3756E296"/>
    <w:rsid w:val="3764D575"/>
    <w:rsid w:val="376C05F7"/>
    <w:rsid w:val="378A6B95"/>
    <w:rsid w:val="378D6D04"/>
    <w:rsid w:val="37915F11"/>
    <w:rsid w:val="37A07AC3"/>
    <w:rsid w:val="37DDF539"/>
    <w:rsid w:val="37E8BE36"/>
    <w:rsid w:val="37EBAFAD"/>
    <w:rsid w:val="37EC5EEB"/>
    <w:rsid w:val="37F99EFE"/>
    <w:rsid w:val="37FABBED"/>
    <w:rsid w:val="381631E2"/>
    <w:rsid w:val="3828D2D4"/>
    <w:rsid w:val="3833B40A"/>
    <w:rsid w:val="383496AE"/>
    <w:rsid w:val="38474109"/>
    <w:rsid w:val="384C6268"/>
    <w:rsid w:val="38552BBE"/>
    <w:rsid w:val="38569FD9"/>
    <w:rsid w:val="385AA623"/>
    <w:rsid w:val="385BDF5D"/>
    <w:rsid w:val="387BB61C"/>
    <w:rsid w:val="388340FC"/>
    <w:rsid w:val="38852E86"/>
    <w:rsid w:val="389A30E8"/>
    <w:rsid w:val="389E489F"/>
    <w:rsid w:val="389FA533"/>
    <w:rsid w:val="38A5091B"/>
    <w:rsid w:val="38A62042"/>
    <w:rsid w:val="38AF3EB7"/>
    <w:rsid w:val="38D103CC"/>
    <w:rsid w:val="38D44EC6"/>
    <w:rsid w:val="3910226B"/>
    <w:rsid w:val="3915D77F"/>
    <w:rsid w:val="3923386B"/>
    <w:rsid w:val="392F8CF5"/>
    <w:rsid w:val="39411885"/>
    <w:rsid w:val="3955DCE9"/>
    <w:rsid w:val="3969ACBD"/>
    <w:rsid w:val="39710E6C"/>
    <w:rsid w:val="39848E97"/>
    <w:rsid w:val="3995D930"/>
    <w:rsid w:val="39B26101"/>
    <w:rsid w:val="39BBD9A9"/>
    <w:rsid w:val="39BF5F79"/>
    <w:rsid w:val="39D3FC91"/>
    <w:rsid w:val="39F40E66"/>
    <w:rsid w:val="39F75F88"/>
    <w:rsid w:val="39F891B7"/>
    <w:rsid w:val="3A174DAB"/>
    <w:rsid w:val="3A19F2C9"/>
    <w:rsid w:val="3A2A00B6"/>
    <w:rsid w:val="3A2A83AB"/>
    <w:rsid w:val="3A312B20"/>
    <w:rsid w:val="3A3A5964"/>
    <w:rsid w:val="3A4782AF"/>
    <w:rsid w:val="3A4B9507"/>
    <w:rsid w:val="3A603C95"/>
    <w:rsid w:val="3A623C29"/>
    <w:rsid w:val="3A670B58"/>
    <w:rsid w:val="3A672DDC"/>
    <w:rsid w:val="3A7F5C93"/>
    <w:rsid w:val="3A8FC11E"/>
    <w:rsid w:val="3AC77B84"/>
    <w:rsid w:val="3ACF06E2"/>
    <w:rsid w:val="3AD7CCAE"/>
    <w:rsid w:val="3AD9AE57"/>
    <w:rsid w:val="3ADE3528"/>
    <w:rsid w:val="3ADF7AC8"/>
    <w:rsid w:val="3AE681E7"/>
    <w:rsid w:val="3AEDE184"/>
    <w:rsid w:val="3AEFF342"/>
    <w:rsid w:val="3AF24921"/>
    <w:rsid w:val="3B00F1BA"/>
    <w:rsid w:val="3B172D41"/>
    <w:rsid w:val="3B1C6C34"/>
    <w:rsid w:val="3B2F73E7"/>
    <w:rsid w:val="3B3FEAE1"/>
    <w:rsid w:val="3B408CF1"/>
    <w:rsid w:val="3B54AD07"/>
    <w:rsid w:val="3B5FE965"/>
    <w:rsid w:val="3B8A6486"/>
    <w:rsid w:val="3BA2E9FF"/>
    <w:rsid w:val="3BAE3B3A"/>
    <w:rsid w:val="3BB12159"/>
    <w:rsid w:val="3BB79981"/>
    <w:rsid w:val="3BD35A4D"/>
    <w:rsid w:val="3BD77352"/>
    <w:rsid w:val="3BFF8AF1"/>
    <w:rsid w:val="3C22C16F"/>
    <w:rsid w:val="3C25D84A"/>
    <w:rsid w:val="3C4639C1"/>
    <w:rsid w:val="3C49B6CF"/>
    <w:rsid w:val="3C53F34D"/>
    <w:rsid w:val="3C625D2F"/>
    <w:rsid w:val="3C6D02D2"/>
    <w:rsid w:val="3C731AAB"/>
    <w:rsid w:val="3C78401C"/>
    <w:rsid w:val="3C968C8E"/>
    <w:rsid w:val="3CA09F74"/>
    <w:rsid w:val="3CBD83F5"/>
    <w:rsid w:val="3CCAFDFE"/>
    <w:rsid w:val="3CD91BB8"/>
    <w:rsid w:val="3CDD8825"/>
    <w:rsid w:val="3CDD982F"/>
    <w:rsid w:val="3CE55D0C"/>
    <w:rsid w:val="3CEE69CD"/>
    <w:rsid w:val="3CF051E4"/>
    <w:rsid w:val="3CF2E2D4"/>
    <w:rsid w:val="3D0A148E"/>
    <w:rsid w:val="3D0F5FCD"/>
    <w:rsid w:val="3D21E217"/>
    <w:rsid w:val="3D26DAFE"/>
    <w:rsid w:val="3D2DF182"/>
    <w:rsid w:val="3D2F6024"/>
    <w:rsid w:val="3D3E8222"/>
    <w:rsid w:val="3D57E510"/>
    <w:rsid w:val="3D585C1E"/>
    <w:rsid w:val="3D62D9B8"/>
    <w:rsid w:val="3D76083A"/>
    <w:rsid w:val="3D7D4E37"/>
    <w:rsid w:val="3D82B5C5"/>
    <w:rsid w:val="3D8D8B76"/>
    <w:rsid w:val="3DAC65B9"/>
    <w:rsid w:val="3DBF0677"/>
    <w:rsid w:val="3DC64BFE"/>
    <w:rsid w:val="3DCA2162"/>
    <w:rsid w:val="3DE19067"/>
    <w:rsid w:val="3DFF173D"/>
    <w:rsid w:val="3E0E81CF"/>
    <w:rsid w:val="3E1A6F65"/>
    <w:rsid w:val="3E1D091A"/>
    <w:rsid w:val="3E23CC9C"/>
    <w:rsid w:val="3E2B98D5"/>
    <w:rsid w:val="3E36FD74"/>
    <w:rsid w:val="3E40EDD4"/>
    <w:rsid w:val="3E552011"/>
    <w:rsid w:val="3E584CA4"/>
    <w:rsid w:val="3E667C86"/>
    <w:rsid w:val="3E7678C7"/>
    <w:rsid w:val="3E7982FC"/>
    <w:rsid w:val="3E8214C8"/>
    <w:rsid w:val="3E836D88"/>
    <w:rsid w:val="3E8555B9"/>
    <w:rsid w:val="3E8F5E23"/>
    <w:rsid w:val="3EA6D6EB"/>
    <w:rsid w:val="3EB433A5"/>
    <w:rsid w:val="3EC8C48B"/>
    <w:rsid w:val="3EE16C7D"/>
    <w:rsid w:val="3EE5DF54"/>
    <w:rsid w:val="3F03188C"/>
    <w:rsid w:val="3F060C28"/>
    <w:rsid w:val="3F07996F"/>
    <w:rsid w:val="3F11E78D"/>
    <w:rsid w:val="3F145E4A"/>
    <w:rsid w:val="3F1DEBE1"/>
    <w:rsid w:val="3F243D14"/>
    <w:rsid w:val="3F278697"/>
    <w:rsid w:val="3F2E4F95"/>
    <w:rsid w:val="3F3C727B"/>
    <w:rsid w:val="3F418E1E"/>
    <w:rsid w:val="3F46EAEF"/>
    <w:rsid w:val="3F470878"/>
    <w:rsid w:val="3F5F9747"/>
    <w:rsid w:val="3F67E35D"/>
    <w:rsid w:val="3F760108"/>
    <w:rsid w:val="3F7BAEE7"/>
    <w:rsid w:val="3F86E1A5"/>
    <w:rsid w:val="3F8CD5B0"/>
    <w:rsid w:val="3F9BE672"/>
    <w:rsid w:val="3F9CC938"/>
    <w:rsid w:val="3F9E9CB8"/>
    <w:rsid w:val="3FA41A16"/>
    <w:rsid w:val="3FDA1BD9"/>
    <w:rsid w:val="3FDDFCB3"/>
    <w:rsid w:val="401070A8"/>
    <w:rsid w:val="4014237D"/>
    <w:rsid w:val="4019F560"/>
    <w:rsid w:val="4034DBC1"/>
    <w:rsid w:val="4037B3ED"/>
    <w:rsid w:val="4049D388"/>
    <w:rsid w:val="4051414E"/>
    <w:rsid w:val="4056E42C"/>
    <w:rsid w:val="4060AC7F"/>
    <w:rsid w:val="4071E9B8"/>
    <w:rsid w:val="4092666F"/>
    <w:rsid w:val="4094EACE"/>
    <w:rsid w:val="40A5DFDD"/>
    <w:rsid w:val="40B8F7C2"/>
    <w:rsid w:val="40D86BCF"/>
    <w:rsid w:val="40E1CF66"/>
    <w:rsid w:val="411744E9"/>
    <w:rsid w:val="411E2F27"/>
    <w:rsid w:val="4124D707"/>
    <w:rsid w:val="41273917"/>
    <w:rsid w:val="41348499"/>
    <w:rsid w:val="413B5222"/>
    <w:rsid w:val="4154AA4F"/>
    <w:rsid w:val="415AEE7E"/>
    <w:rsid w:val="415C6834"/>
    <w:rsid w:val="415D367F"/>
    <w:rsid w:val="416E4A10"/>
    <w:rsid w:val="41744B93"/>
    <w:rsid w:val="417BA67B"/>
    <w:rsid w:val="418A7708"/>
    <w:rsid w:val="41B19F7D"/>
    <w:rsid w:val="41C04441"/>
    <w:rsid w:val="41C626B3"/>
    <w:rsid w:val="41DA9650"/>
    <w:rsid w:val="42149DAC"/>
    <w:rsid w:val="4215B8D4"/>
    <w:rsid w:val="421769D1"/>
    <w:rsid w:val="4233BF2A"/>
    <w:rsid w:val="42436F8C"/>
    <w:rsid w:val="42482C25"/>
    <w:rsid w:val="424B2BA3"/>
    <w:rsid w:val="424C1040"/>
    <w:rsid w:val="424D1919"/>
    <w:rsid w:val="425A6CDA"/>
    <w:rsid w:val="42647ECE"/>
    <w:rsid w:val="4267ED78"/>
    <w:rsid w:val="42778E2F"/>
    <w:rsid w:val="4282FDE3"/>
    <w:rsid w:val="42AA807C"/>
    <w:rsid w:val="42AB6FEA"/>
    <w:rsid w:val="42B9964D"/>
    <w:rsid w:val="42C60109"/>
    <w:rsid w:val="42CE9869"/>
    <w:rsid w:val="42DFF6B2"/>
    <w:rsid w:val="42EF314B"/>
    <w:rsid w:val="42FF48AD"/>
    <w:rsid w:val="431888C3"/>
    <w:rsid w:val="431ACE07"/>
    <w:rsid w:val="431AEDE0"/>
    <w:rsid w:val="431D0853"/>
    <w:rsid w:val="43211A45"/>
    <w:rsid w:val="43320AFA"/>
    <w:rsid w:val="434C24BB"/>
    <w:rsid w:val="434C2581"/>
    <w:rsid w:val="435613BF"/>
    <w:rsid w:val="43868478"/>
    <w:rsid w:val="43A09206"/>
    <w:rsid w:val="43AF3A1B"/>
    <w:rsid w:val="43B82542"/>
    <w:rsid w:val="43C8E292"/>
    <w:rsid w:val="43D561EE"/>
    <w:rsid w:val="43E66ABF"/>
    <w:rsid w:val="43FA35C8"/>
    <w:rsid w:val="441F33D0"/>
    <w:rsid w:val="44280CEC"/>
    <w:rsid w:val="442CD226"/>
    <w:rsid w:val="44361226"/>
    <w:rsid w:val="443B6EEE"/>
    <w:rsid w:val="443B7636"/>
    <w:rsid w:val="443B9771"/>
    <w:rsid w:val="445811B6"/>
    <w:rsid w:val="445BF904"/>
    <w:rsid w:val="445C9D25"/>
    <w:rsid w:val="446548F4"/>
    <w:rsid w:val="4475C540"/>
    <w:rsid w:val="447AB262"/>
    <w:rsid w:val="4487E634"/>
    <w:rsid w:val="448EABA3"/>
    <w:rsid w:val="44A318EA"/>
    <w:rsid w:val="44A338C3"/>
    <w:rsid w:val="44A477F5"/>
    <w:rsid w:val="44A5FB32"/>
    <w:rsid w:val="44ADBB29"/>
    <w:rsid w:val="44C49459"/>
    <w:rsid w:val="44CF076E"/>
    <w:rsid w:val="44D05EF1"/>
    <w:rsid w:val="44DF59FB"/>
    <w:rsid w:val="44E21C1D"/>
    <w:rsid w:val="44E383A4"/>
    <w:rsid w:val="44EA8EEA"/>
    <w:rsid w:val="44EC2D3C"/>
    <w:rsid w:val="44F677F1"/>
    <w:rsid w:val="44F67AA1"/>
    <w:rsid w:val="44FB80D2"/>
    <w:rsid w:val="45093E69"/>
    <w:rsid w:val="452343B9"/>
    <w:rsid w:val="4526DA62"/>
    <w:rsid w:val="452A5BD6"/>
    <w:rsid w:val="4535A817"/>
    <w:rsid w:val="453A17B9"/>
    <w:rsid w:val="454ED478"/>
    <w:rsid w:val="45551D80"/>
    <w:rsid w:val="455A215D"/>
    <w:rsid w:val="455C8940"/>
    <w:rsid w:val="4561ED8F"/>
    <w:rsid w:val="45647054"/>
    <w:rsid w:val="4565C494"/>
    <w:rsid w:val="456E9A8E"/>
    <w:rsid w:val="4575F3BB"/>
    <w:rsid w:val="459894FE"/>
    <w:rsid w:val="45B2A554"/>
    <w:rsid w:val="45D0FA6C"/>
    <w:rsid w:val="4625E57D"/>
    <w:rsid w:val="4626D20D"/>
    <w:rsid w:val="462C909D"/>
    <w:rsid w:val="463768B9"/>
    <w:rsid w:val="4651BA3E"/>
    <w:rsid w:val="46634A83"/>
    <w:rsid w:val="466998F9"/>
    <w:rsid w:val="4671B679"/>
    <w:rsid w:val="4675ED49"/>
    <w:rsid w:val="4676C2D8"/>
    <w:rsid w:val="467F6DC9"/>
    <w:rsid w:val="468355D1"/>
    <w:rsid w:val="468F82D3"/>
    <w:rsid w:val="46A2EE0D"/>
    <w:rsid w:val="46BDB60E"/>
    <w:rsid w:val="46C3CF82"/>
    <w:rsid w:val="46C7963B"/>
    <w:rsid w:val="46D8C392"/>
    <w:rsid w:val="46D98A3C"/>
    <w:rsid w:val="46DE31F5"/>
    <w:rsid w:val="46F49CBA"/>
    <w:rsid w:val="4703718F"/>
    <w:rsid w:val="470D7C37"/>
    <w:rsid w:val="471648BA"/>
    <w:rsid w:val="475E2A2E"/>
    <w:rsid w:val="477D4095"/>
    <w:rsid w:val="4790470C"/>
    <w:rsid w:val="47AE9765"/>
    <w:rsid w:val="47B94909"/>
    <w:rsid w:val="47BF7570"/>
    <w:rsid w:val="47D3391A"/>
    <w:rsid w:val="47D4635F"/>
    <w:rsid w:val="47D7FC48"/>
    <w:rsid w:val="47D9EFFE"/>
    <w:rsid w:val="47DBE4FB"/>
    <w:rsid w:val="47EDFEF6"/>
    <w:rsid w:val="48086334"/>
    <w:rsid w:val="481017D4"/>
    <w:rsid w:val="481601AA"/>
    <w:rsid w:val="4818537B"/>
    <w:rsid w:val="481F99A4"/>
    <w:rsid w:val="483DF993"/>
    <w:rsid w:val="485E28D5"/>
    <w:rsid w:val="486BE86D"/>
    <w:rsid w:val="4878B64C"/>
    <w:rsid w:val="487911DB"/>
    <w:rsid w:val="4885D48A"/>
    <w:rsid w:val="489CC523"/>
    <w:rsid w:val="48AF7582"/>
    <w:rsid w:val="48B88ED1"/>
    <w:rsid w:val="48FE18BD"/>
    <w:rsid w:val="491768CB"/>
    <w:rsid w:val="491FFAF2"/>
    <w:rsid w:val="4926B9F1"/>
    <w:rsid w:val="4941EDE1"/>
    <w:rsid w:val="4948A31A"/>
    <w:rsid w:val="494AE568"/>
    <w:rsid w:val="496EBB2F"/>
    <w:rsid w:val="4974BF32"/>
    <w:rsid w:val="49779F06"/>
    <w:rsid w:val="497A9B43"/>
    <w:rsid w:val="497B409C"/>
    <w:rsid w:val="497CAB08"/>
    <w:rsid w:val="4981D840"/>
    <w:rsid w:val="49ACA0E1"/>
    <w:rsid w:val="49AE8BD9"/>
    <w:rsid w:val="49B5966B"/>
    <w:rsid w:val="49D2BB66"/>
    <w:rsid w:val="49DC2493"/>
    <w:rsid w:val="49EC5538"/>
    <w:rsid w:val="49ED7658"/>
    <w:rsid w:val="49FB5E50"/>
    <w:rsid w:val="49FD4BB3"/>
    <w:rsid w:val="4A086F5F"/>
    <w:rsid w:val="4A0FE942"/>
    <w:rsid w:val="4A24AA34"/>
    <w:rsid w:val="4A2ABD49"/>
    <w:rsid w:val="4A38C082"/>
    <w:rsid w:val="4A6A7F7E"/>
    <w:rsid w:val="4A74C112"/>
    <w:rsid w:val="4A924970"/>
    <w:rsid w:val="4A9505B3"/>
    <w:rsid w:val="4AA07262"/>
    <w:rsid w:val="4AA45C08"/>
    <w:rsid w:val="4AAC452C"/>
    <w:rsid w:val="4AB77696"/>
    <w:rsid w:val="4ACDFFC1"/>
    <w:rsid w:val="4AD81B29"/>
    <w:rsid w:val="4AD9EE15"/>
    <w:rsid w:val="4B00D7FA"/>
    <w:rsid w:val="4B0F3005"/>
    <w:rsid w:val="4B1B4B61"/>
    <w:rsid w:val="4B25198C"/>
    <w:rsid w:val="4B2874E8"/>
    <w:rsid w:val="4B362FA8"/>
    <w:rsid w:val="4B38542B"/>
    <w:rsid w:val="4B48D593"/>
    <w:rsid w:val="4B511323"/>
    <w:rsid w:val="4B515DA1"/>
    <w:rsid w:val="4B55242E"/>
    <w:rsid w:val="4B60352A"/>
    <w:rsid w:val="4B67B4ED"/>
    <w:rsid w:val="4B71178A"/>
    <w:rsid w:val="4B760D2F"/>
    <w:rsid w:val="4B791BE2"/>
    <w:rsid w:val="4B84BE25"/>
    <w:rsid w:val="4B915D85"/>
    <w:rsid w:val="4B9670A8"/>
    <w:rsid w:val="4BA5E121"/>
    <w:rsid w:val="4BB83D7E"/>
    <w:rsid w:val="4BCA25ED"/>
    <w:rsid w:val="4BCB3E24"/>
    <w:rsid w:val="4BCCEAD8"/>
    <w:rsid w:val="4BD153AD"/>
    <w:rsid w:val="4BD484C3"/>
    <w:rsid w:val="4BD50348"/>
    <w:rsid w:val="4BF3277F"/>
    <w:rsid w:val="4C0B3420"/>
    <w:rsid w:val="4C1B0B17"/>
    <w:rsid w:val="4C386959"/>
    <w:rsid w:val="4C3AEDE4"/>
    <w:rsid w:val="4C5202FA"/>
    <w:rsid w:val="4C608018"/>
    <w:rsid w:val="4C6B1F69"/>
    <w:rsid w:val="4C7DBD5B"/>
    <w:rsid w:val="4C86BB91"/>
    <w:rsid w:val="4C93EDF6"/>
    <w:rsid w:val="4C9C2E9F"/>
    <w:rsid w:val="4CA5150D"/>
    <w:rsid w:val="4CAB0E93"/>
    <w:rsid w:val="4CBA732B"/>
    <w:rsid w:val="4CCE67C0"/>
    <w:rsid w:val="4CD0D737"/>
    <w:rsid w:val="4CD33FB2"/>
    <w:rsid w:val="4CE54B2A"/>
    <w:rsid w:val="4CE6162B"/>
    <w:rsid w:val="4CFDFC34"/>
    <w:rsid w:val="4CFE5643"/>
    <w:rsid w:val="4D30F601"/>
    <w:rsid w:val="4D399B26"/>
    <w:rsid w:val="4D58631B"/>
    <w:rsid w:val="4D5C482D"/>
    <w:rsid w:val="4D67418F"/>
    <w:rsid w:val="4D7C8AC5"/>
    <w:rsid w:val="4D920D9D"/>
    <w:rsid w:val="4DA0FE43"/>
    <w:rsid w:val="4DA7F1C7"/>
    <w:rsid w:val="4DBA53F3"/>
    <w:rsid w:val="4DBB52FD"/>
    <w:rsid w:val="4DC3AEF6"/>
    <w:rsid w:val="4DD19641"/>
    <w:rsid w:val="4DD2B969"/>
    <w:rsid w:val="4DD66E34"/>
    <w:rsid w:val="4DDA127C"/>
    <w:rsid w:val="4DDC3255"/>
    <w:rsid w:val="4E0A104C"/>
    <w:rsid w:val="4E0B6D8C"/>
    <w:rsid w:val="4E0DD5FB"/>
    <w:rsid w:val="4E1B8FA1"/>
    <w:rsid w:val="4E1BA0B7"/>
    <w:rsid w:val="4E281145"/>
    <w:rsid w:val="4E32E924"/>
    <w:rsid w:val="4E61E275"/>
    <w:rsid w:val="4E6643D6"/>
    <w:rsid w:val="4E86D030"/>
    <w:rsid w:val="4E8FAFC6"/>
    <w:rsid w:val="4E91A829"/>
    <w:rsid w:val="4E9F25C3"/>
    <w:rsid w:val="4EAE2F20"/>
    <w:rsid w:val="4EC438F6"/>
    <w:rsid w:val="4EE940D3"/>
    <w:rsid w:val="4EF4B273"/>
    <w:rsid w:val="4EFCD2D7"/>
    <w:rsid w:val="4F04F61B"/>
    <w:rsid w:val="4F076F50"/>
    <w:rsid w:val="4F16AC0A"/>
    <w:rsid w:val="4F18CE5E"/>
    <w:rsid w:val="4F21B8D2"/>
    <w:rsid w:val="4F2639D5"/>
    <w:rsid w:val="4F317758"/>
    <w:rsid w:val="4F454C20"/>
    <w:rsid w:val="4F4CBC6E"/>
    <w:rsid w:val="4F4EA6B0"/>
    <w:rsid w:val="4F4FB523"/>
    <w:rsid w:val="4F688981"/>
    <w:rsid w:val="4F6E9B07"/>
    <w:rsid w:val="4F7228A1"/>
    <w:rsid w:val="4F739C66"/>
    <w:rsid w:val="4F92D25D"/>
    <w:rsid w:val="4F9AF824"/>
    <w:rsid w:val="4FAE438E"/>
    <w:rsid w:val="4FB67080"/>
    <w:rsid w:val="4FB6A599"/>
    <w:rsid w:val="4FD9903B"/>
    <w:rsid w:val="4FD9D8BB"/>
    <w:rsid w:val="4FED33E5"/>
    <w:rsid w:val="500FFC1A"/>
    <w:rsid w:val="5011BD96"/>
    <w:rsid w:val="5018AB26"/>
    <w:rsid w:val="50263C9D"/>
    <w:rsid w:val="502B23E1"/>
    <w:rsid w:val="503C529F"/>
    <w:rsid w:val="504B8079"/>
    <w:rsid w:val="50632696"/>
    <w:rsid w:val="508930A2"/>
    <w:rsid w:val="508F07F3"/>
    <w:rsid w:val="50A8FCC4"/>
    <w:rsid w:val="50B0753E"/>
    <w:rsid w:val="50B2A104"/>
    <w:rsid w:val="50E76402"/>
    <w:rsid w:val="50E7A459"/>
    <w:rsid w:val="50F8BF9B"/>
    <w:rsid w:val="510FF952"/>
    <w:rsid w:val="512589F3"/>
    <w:rsid w:val="512EA2BE"/>
    <w:rsid w:val="513F1B34"/>
    <w:rsid w:val="514334E2"/>
    <w:rsid w:val="5150FD01"/>
    <w:rsid w:val="5164DA94"/>
    <w:rsid w:val="517EEA9A"/>
    <w:rsid w:val="5181B048"/>
    <w:rsid w:val="518B30EC"/>
    <w:rsid w:val="518D2F4D"/>
    <w:rsid w:val="51AD508D"/>
    <w:rsid w:val="51AF4FFB"/>
    <w:rsid w:val="51C247E6"/>
    <w:rsid w:val="51E73CF3"/>
    <w:rsid w:val="51FC05C5"/>
    <w:rsid w:val="5271D26B"/>
    <w:rsid w:val="528DA2E9"/>
    <w:rsid w:val="52913FA4"/>
    <w:rsid w:val="52931E63"/>
    <w:rsid w:val="529F9EF1"/>
    <w:rsid w:val="52A11CAF"/>
    <w:rsid w:val="52ACD6B3"/>
    <w:rsid w:val="52AE667F"/>
    <w:rsid w:val="52B571D8"/>
    <w:rsid w:val="52C1C414"/>
    <w:rsid w:val="52C27C82"/>
    <w:rsid w:val="52DC2924"/>
    <w:rsid w:val="52F76F25"/>
    <w:rsid w:val="52FB7F73"/>
    <w:rsid w:val="53099662"/>
    <w:rsid w:val="530D6D46"/>
    <w:rsid w:val="530EF5F6"/>
    <w:rsid w:val="5313CC85"/>
    <w:rsid w:val="531CD861"/>
    <w:rsid w:val="532945C5"/>
    <w:rsid w:val="532BA746"/>
    <w:rsid w:val="53303909"/>
    <w:rsid w:val="536EDE94"/>
    <w:rsid w:val="5379A08D"/>
    <w:rsid w:val="538160E2"/>
    <w:rsid w:val="538FB44D"/>
    <w:rsid w:val="5399AD21"/>
    <w:rsid w:val="53B5C6A5"/>
    <w:rsid w:val="53CED962"/>
    <w:rsid w:val="53D157DC"/>
    <w:rsid w:val="53D4CBC4"/>
    <w:rsid w:val="53F3C434"/>
    <w:rsid w:val="542A5758"/>
    <w:rsid w:val="54387675"/>
    <w:rsid w:val="5439B06F"/>
    <w:rsid w:val="54484A88"/>
    <w:rsid w:val="544A57CE"/>
    <w:rsid w:val="547F87BC"/>
    <w:rsid w:val="5490325D"/>
    <w:rsid w:val="549881D6"/>
    <w:rsid w:val="54B4BCFD"/>
    <w:rsid w:val="54C3471E"/>
    <w:rsid w:val="54E6F0BD"/>
    <w:rsid w:val="54F0515E"/>
    <w:rsid w:val="55091012"/>
    <w:rsid w:val="5513695A"/>
    <w:rsid w:val="55321965"/>
    <w:rsid w:val="55367121"/>
    <w:rsid w:val="554FAA52"/>
    <w:rsid w:val="554FD36F"/>
    <w:rsid w:val="557A06F3"/>
    <w:rsid w:val="557B7005"/>
    <w:rsid w:val="557BF6B7"/>
    <w:rsid w:val="5590FCE1"/>
    <w:rsid w:val="55A294D8"/>
    <w:rsid w:val="55B98A1C"/>
    <w:rsid w:val="55BA301E"/>
    <w:rsid w:val="55BAD7BE"/>
    <w:rsid w:val="55E9B522"/>
    <w:rsid w:val="55E9F495"/>
    <w:rsid w:val="560221A5"/>
    <w:rsid w:val="5616EAC3"/>
    <w:rsid w:val="562CB995"/>
    <w:rsid w:val="5635347B"/>
    <w:rsid w:val="56357DC3"/>
    <w:rsid w:val="5656D055"/>
    <w:rsid w:val="565A376A"/>
    <w:rsid w:val="567B77D4"/>
    <w:rsid w:val="5680B94D"/>
    <w:rsid w:val="5680C1B0"/>
    <w:rsid w:val="56813D08"/>
    <w:rsid w:val="5682D571"/>
    <w:rsid w:val="56998C93"/>
    <w:rsid w:val="569FB1BE"/>
    <w:rsid w:val="56B56485"/>
    <w:rsid w:val="56B798A4"/>
    <w:rsid w:val="56BF7380"/>
    <w:rsid w:val="56CD28DA"/>
    <w:rsid w:val="56CE7ABD"/>
    <w:rsid w:val="56DC7209"/>
    <w:rsid w:val="56E08756"/>
    <w:rsid w:val="56F0DB0E"/>
    <w:rsid w:val="57231B86"/>
    <w:rsid w:val="572CD852"/>
    <w:rsid w:val="572D6C1A"/>
    <w:rsid w:val="573A1BBD"/>
    <w:rsid w:val="5764983B"/>
    <w:rsid w:val="5775D3BF"/>
    <w:rsid w:val="577720B6"/>
    <w:rsid w:val="578D0C04"/>
    <w:rsid w:val="578FE52C"/>
    <w:rsid w:val="57963E32"/>
    <w:rsid w:val="579EABF6"/>
    <w:rsid w:val="57AC9D0E"/>
    <w:rsid w:val="57ADE175"/>
    <w:rsid w:val="57B13429"/>
    <w:rsid w:val="57C91048"/>
    <w:rsid w:val="57D85B56"/>
    <w:rsid w:val="5813F614"/>
    <w:rsid w:val="58212898"/>
    <w:rsid w:val="58349B83"/>
    <w:rsid w:val="583D2149"/>
    <w:rsid w:val="584B7801"/>
    <w:rsid w:val="5874D2FC"/>
    <w:rsid w:val="5886102C"/>
    <w:rsid w:val="588E5420"/>
    <w:rsid w:val="5891CDD3"/>
    <w:rsid w:val="58A1BFE3"/>
    <w:rsid w:val="58A33871"/>
    <w:rsid w:val="58A40CFC"/>
    <w:rsid w:val="58A53036"/>
    <w:rsid w:val="58A9683F"/>
    <w:rsid w:val="58C3A370"/>
    <w:rsid w:val="58C70AAB"/>
    <w:rsid w:val="58C82160"/>
    <w:rsid w:val="58CE5E50"/>
    <w:rsid w:val="58E00DCD"/>
    <w:rsid w:val="590B34D9"/>
    <w:rsid w:val="590B565B"/>
    <w:rsid w:val="5910F92C"/>
    <w:rsid w:val="591508F8"/>
    <w:rsid w:val="5939B4A3"/>
    <w:rsid w:val="594D6857"/>
    <w:rsid w:val="59587334"/>
    <w:rsid w:val="5979D698"/>
    <w:rsid w:val="597C650A"/>
    <w:rsid w:val="597D7CA2"/>
    <w:rsid w:val="59814805"/>
    <w:rsid w:val="59909542"/>
    <w:rsid w:val="59C245D2"/>
    <w:rsid w:val="59C73236"/>
    <w:rsid w:val="59D0284F"/>
    <w:rsid w:val="59FBCF3F"/>
    <w:rsid w:val="5A17A605"/>
    <w:rsid w:val="5A249567"/>
    <w:rsid w:val="5A2B87CB"/>
    <w:rsid w:val="5A35F1A8"/>
    <w:rsid w:val="5A41D320"/>
    <w:rsid w:val="5A4D1953"/>
    <w:rsid w:val="5A54FB3E"/>
    <w:rsid w:val="5A608A28"/>
    <w:rsid w:val="5A69E832"/>
    <w:rsid w:val="5A72E47A"/>
    <w:rsid w:val="5A72FF0D"/>
    <w:rsid w:val="5A82F121"/>
    <w:rsid w:val="5A9E2121"/>
    <w:rsid w:val="5AC07439"/>
    <w:rsid w:val="5ACBDF87"/>
    <w:rsid w:val="5AD1A7B3"/>
    <w:rsid w:val="5AD5BCCD"/>
    <w:rsid w:val="5AE3471F"/>
    <w:rsid w:val="5AF0D02B"/>
    <w:rsid w:val="5B1EADEF"/>
    <w:rsid w:val="5B1F6955"/>
    <w:rsid w:val="5B2A535E"/>
    <w:rsid w:val="5B30CC62"/>
    <w:rsid w:val="5B317F04"/>
    <w:rsid w:val="5B31CA90"/>
    <w:rsid w:val="5B353289"/>
    <w:rsid w:val="5B3B6BB5"/>
    <w:rsid w:val="5B3CC051"/>
    <w:rsid w:val="5B448756"/>
    <w:rsid w:val="5B4A1C98"/>
    <w:rsid w:val="5B52E839"/>
    <w:rsid w:val="5B75D402"/>
    <w:rsid w:val="5B8814E8"/>
    <w:rsid w:val="5B915441"/>
    <w:rsid w:val="5B9CC139"/>
    <w:rsid w:val="5BB29DED"/>
    <w:rsid w:val="5BC132DE"/>
    <w:rsid w:val="5BC4E79D"/>
    <w:rsid w:val="5BCEE82D"/>
    <w:rsid w:val="5BD82742"/>
    <w:rsid w:val="5BEEA7F0"/>
    <w:rsid w:val="5BEF982A"/>
    <w:rsid w:val="5BF5A9AB"/>
    <w:rsid w:val="5BF6BC00"/>
    <w:rsid w:val="5C0132CA"/>
    <w:rsid w:val="5C1B3A11"/>
    <w:rsid w:val="5C1FD7E3"/>
    <w:rsid w:val="5C207D82"/>
    <w:rsid w:val="5C26168A"/>
    <w:rsid w:val="5C265F56"/>
    <w:rsid w:val="5C272C8A"/>
    <w:rsid w:val="5C37DDB6"/>
    <w:rsid w:val="5C408D68"/>
    <w:rsid w:val="5C48807F"/>
    <w:rsid w:val="5C48EE24"/>
    <w:rsid w:val="5C549721"/>
    <w:rsid w:val="5C54C0F3"/>
    <w:rsid w:val="5C57C766"/>
    <w:rsid w:val="5C6D6F50"/>
    <w:rsid w:val="5C836909"/>
    <w:rsid w:val="5C83A173"/>
    <w:rsid w:val="5C869209"/>
    <w:rsid w:val="5CBD8B4C"/>
    <w:rsid w:val="5CBEC17A"/>
    <w:rsid w:val="5CC745A5"/>
    <w:rsid w:val="5CE05E96"/>
    <w:rsid w:val="5CE0EF47"/>
    <w:rsid w:val="5CEEC331"/>
    <w:rsid w:val="5CF7F0BA"/>
    <w:rsid w:val="5CFE4935"/>
    <w:rsid w:val="5D0BE412"/>
    <w:rsid w:val="5D0FEEE0"/>
    <w:rsid w:val="5D189366"/>
    <w:rsid w:val="5D1AAE50"/>
    <w:rsid w:val="5D2825E0"/>
    <w:rsid w:val="5D36F921"/>
    <w:rsid w:val="5D7780C9"/>
    <w:rsid w:val="5D96BB4F"/>
    <w:rsid w:val="5DACFA1F"/>
    <w:rsid w:val="5DAFC65D"/>
    <w:rsid w:val="5DB0C720"/>
    <w:rsid w:val="5DBF2906"/>
    <w:rsid w:val="5DC208B4"/>
    <w:rsid w:val="5DD1868D"/>
    <w:rsid w:val="5DDB7126"/>
    <w:rsid w:val="5DE66F97"/>
    <w:rsid w:val="5DE9ABF2"/>
    <w:rsid w:val="5DFAED40"/>
    <w:rsid w:val="5E0EEDB3"/>
    <w:rsid w:val="5E1FFA9B"/>
    <w:rsid w:val="5E21B461"/>
    <w:rsid w:val="5E2EA86F"/>
    <w:rsid w:val="5E40FA67"/>
    <w:rsid w:val="5E4A2AE6"/>
    <w:rsid w:val="5EA5163A"/>
    <w:rsid w:val="5EA6C01F"/>
    <w:rsid w:val="5EC4DE6E"/>
    <w:rsid w:val="5EC6A7E5"/>
    <w:rsid w:val="5EE70F97"/>
    <w:rsid w:val="5F2763DF"/>
    <w:rsid w:val="5F47D391"/>
    <w:rsid w:val="5F512366"/>
    <w:rsid w:val="5F541736"/>
    <w:rsid w:val="5F57C7AC"/>
    <w:rsid w:val="5F5900B4"/>
    <w:rsid w:val="5F598B29"/>
    <w:rsid w:val="5F8050EA"/>
    <w:rsid w:val="5F84720F"/>
    <w:rsid w:val="5F8FBC93"/>
    <w:rsid w:val="5F93B621"/>
    <w:rsid w:val="5F9EDAB9"/>
    <w:rsid w:val="5FAD29E8"/>
    <w:rsid w:val="5FB0054F"/>
    <w:rsid w:val="5FB4924E"/>
    <w:rsid w:val="5FC14F1B"/>
    <w:rsid w:val="5FC52223"/>
    <w:rsid w:val="5FC935A4"/>
    <w:rsid w:val="5FD0DAC1"/>
    <w:rsid w:val="5FD274AB"/>
    <w:rsid w:val="5FD2A120"/>
    <w:rsid w:val="5FE31FFF"/>
    <w:rsid w:val="5FF0118B"/>
    <w:rsid w:val="5FFA1C07"/>
    <w:rsid w:val="60021F62"/>
    <w:rsid w:val="601BAE43"/>
    <w:rsid w:val="601F7FC4"/>
    <w:rsid w:val="603179E1"/>
    <w:rsid w:val="60589924"/>
    <w:rsid w:val="605F3FAE"/>
    <w:rsid w:val="606D7FB6"/>
    <w:rsid w:val="606DEBD1"/>
    <w:rsid w:val="60717B2D"/>
    <w:rsid w:val="6071C181"/>
    <w:rsid w:val="6079E684"/>
    <w:rsid w:val="60912F6B"/>
    <w:rsid w:val="609D55AD"/>
    <w:rsid w:val="60AC0C20"/>
    <w:rsid w:val="60B1E1E5"/>
    <w:rsid w:val="60B20400"/>
    <w:rsid w:val="60BCE199"/>
    <w:rsid w:val="60BE54FF"/>
    <w:rsid w:val="60E699B6"/>
    <w:rsid w:val="60EA868C"/>
    <w:rsid w:val="610BFAF4"/>
    <w:rsid w:val="610E1AFD"/>
    <w:rsid w:val="6114E82B"/>
    <w:rsid w:val="612444C8"/>
    <w:rsid w:val="612C85E5"/>
    <w:rsid w:val="612EBA4A"/>
    <w:rsid w:val="6131F72B"/>
    <w:rsid w:val="6133F65A"/>
    <w:rsid w:val="61371E1D"/>
    <w:rsid w:val="613BF621"/>
    <w:rsid w:val="614254FA"/>
    <w:rsid w:val="6143432E"/>
    <w:rsid w:val="614B5DAA"/>
    <w:rsid w:val="61521D0D"/>
    <w:rsid w:val="615387C2"/>
    <w:rsid w:val="6157E61F"/>
    <w:rsid w:val="615BB02C"/>
    <w:rsid w:val="619C2B9B"/>
    <w:rsid w:val="61A2847D"/>
    <w:rsid w:val="61AE8155"/>
    <w:rsid w:val="61B32AF9"/>
    <w:rsid w:val="61BA2B63"/>
    <w:rsid w:val="61CC0605"/>
    <w:rsid w:val="61DD70F1"/>
    <w:rsid w:val="61E29051"/>
    <w:rsid w:val="61E4DCE0"/>
    <w:rsid w:val="61E988AF"/>
    <w:rsid w:val="61EAC7C0"/>
    <w:rsid w:val="61F46985"/>
    <w:rsid w:val="620440B9"/>
    <w:rsid w:val="6207C423"/>
    <w:rsid w:val="62140711"/>
    <w:rsid w:val="6224DDB7"/>
    <w:rsid w:val="6227AE40"/>
    <w:rsid w:val="622C4CE3"/>
    <w:rsid w:val="62396B0C"/>
    <w:rsid w:val="62441E7A"/>
    <w:rsid w:val="6251A565"/>
    <w:rsid w:val="625ACD3A"/>
    <w:rsid w:val="626320F6"/>
    <w:rsid w:val="626F2454"/>
    <w:rsid w:val="628D46A9"/>
    <w:rsid w:val="6292C83F"/>
    <w:rsid w:val="629FC4C8"/>
    <w:rsid w:val="62A524BB"/>
    <w:rsid w:val="62ABA54B"/>
    <w:rsid w:val="62B20D87"/>
    <w:rsid w:val="62B3F638"/>
    <w:rsid w:val="62BA9021"/>
    <w:rsid w:val="62C6D1E3"/>
    <w:rsid w:val="62D056BD"/>
    <w:rsid w:val="62DDF68A"/>
    <w:rsid w:val="62E09E1A"/>
    <w:rsid w:val="62E407DF"/>
    <w:rsid w:val="62F23D1B"/>
    <w:rsid w:val="62F33C31"/>
    <w:rsid w:val="62FDF816"/>
    <w:rsid w:val="63008C3C"/>
    <w:rsid w:val="6304D5F2"/>
    <w:rsid w:val="6307FE8C"/>
    <w:rsid w:val="630827BD"/>
    <w:rsid w:val="631CCFC1"/>
    <w:rsid w:val="6324F732"/>
    <w:rsid w:val="6328EDEB"/>
    <w:rsid w:val="633862A7"/>
    <w:rsid w:val="63439225"/>
    <w:rsid w:val="6347D236"/>
    <w:rsid w:val="6357ECB3"/>
    <w:rsid w:val="6362C000"/>
    <w:rsid w:val="63A1585D"/>
    <w:rsid w:val="63B05338"/>
    <w:rsid w:val="63B0B449"/>
    <w:rsid w:val="63C21F0A"/>
    <w:rsid w:val="63C995FA"/>
    <w:rsid w:val="63CA4E0E"/>
    <w:rsid w:val="63D53B6D"/>
    <w:rsid w:val="640E01CD"/>
    <w:rsid w:val="644994E4"/>
    <w:rsid w:val="6459CC76"/>
    <w:rsid w:val="6462389C"/>
    <w:rsid w:val="64673B79"/>
    <w:rsid w:val="646A93CA"/>
    <w:rsid w:val="6481BE89"/>
    <w:rsid w:val="64A60E69"/>
    <w:rsid w:val="64C6340D"/>
    <w:rsid w:val="64F69DC9"/>
    <w:rsid w:val="65006BF3"/>
    <w:rsid w:val="652292C9"/>
    <w:rsid w:val="65267C49"/>
    <w:rsid w:val="6528D322"/>
    <w:rsid w:val="6534687B"/>
    <w:rsid w:val="656B6BD1"/>
    <w:rsid w:val="659595C9"/>
    <w:rsid w:val="659CF6B0"/>
    <w:rsid w:val="65D0523C"/>
    <w:rsid w:val="65DBA0D0"/>
    <w:rsid w:val="65DC1FA4"/>
    <w:rsid w:val="65DCE2B6"/>
    <w:rsid w:val="65DD668A"/>
    <w:rsid w:val="65F3177C"/>
    <w:rsid w:val="660C82C1"/>
    <w:rsid w:val="660FAE98"/>
    <w:rsid w:val="661BB90D"/>
    <w:rsid w:val="662F6A27"/>
    <w:rsid w:val="66346B36"/>
    <w:rsid w:val="66526938"/>
    <w:rsid w:val="665CF794"/>
    <w:rsid w:val="666C5FE3"/>
    <w:rsid w:val="66711CFD"/>
    <w:rsid w:val="66760C71"/>
    <w:rsid w:val="667EFF2E"/>
    <w:rsid w:val="6688CCFA"/>
    <w:rsid w:val="668D3CA5"/>
    <w:rsid w:val="669133F4"/>
    <w:rsid w:val="6693BA72"/>
    <w:rsid w:val="66AC05A6"/>
    <w:rsid w:val="66B3A8CB"/>
    <w:rsid w:val="66D931FF"/>
    <w:rsid w:val="66DB9907"/>
    <w:rsid w:val="66DCC13A"/>
    <w:rsid w:val="66E8C93F"/>
    <w:rsid w:val="66E91100"/>
    <w:rsid w:val="66F7F2A8"/>
    <w:rsid w:val="66FB3CB1"/>
    <w:rsid w:val="671646F2"/>
    <w:rsid w:val="672130BC"/>
    <w:rsid w:val="67215D32"/>
    <w:rsid w:val="672AB0D3"/>
    <w:rsid w:val="672CEED6"/>
    <w:rsid w:val="67351DC6"/>
    <w:rsid w:val="6737C52C"/>
    <w:rsid w:val="673AB021"/>
    <w:rsid w:val="6748EABA"/>
    <w:rsid w:val="6766E0AE"/>
    <w:rsid w:val="67698272"/>
    <w:rsid w:val="676D12A4"/>
    <w:rsid w:val="677A2787"/>
    <w:rsid w:val="67865323"/>
    <w:rsid w:val="679C2B0B"/>
    <w:rsid w:val="67A82570"/>
    <w:rsid w:val="67A87AA2"/>
    <w:rsid w:val="67B5A6C5"/>
    <w:rsid w:val="67D06FDA"/>
    <w:rsid w:val="67D4C31A"/>
    <w:rsid w:val="67D82B09"/>
    <w:rsid w:val="67E3C7D0"/>
    <w:rsid w:val="67E79DEE"/>
    <w:rsid w:val="67F0B9B7"/>
    <w:rsid w:val="67FF6599"/>
    <w:rsid w:val="681B97CA"/>
    <w:rsid w:val="68351BE6"/>
    <w:rsid w:val="683557A0"/>
    <w:rsid w:val="6839B62F"/>
    <w:rsid w:val="685F48DB"/>
    <w:rsid w:val="6865EEBA"/>
    <w:rsid w:val="686FC27E"/>
    <w:rsid w:val="6870462F"/>
    <w:rsid w:val="6885D23B"/>
    <w:rsid w:val="688B0CBB"/>
    <w:rsid w:val="689CCED4"/>
    <w:rsid w:val="68BAEA82"/>
    <w:rsid w:val="68C2BA61"/>
    <w:rsid w:val="68C4A3B8"/>
    <w:rsid w:val="68DCCA2B"/>
    <w:rsid w:val="68E60482"/>
    <w:rsid w:val="68E6BD56"/>
    <w:rsid w:val="690D5071"/>
    <w:rsid w:val="691B4117"/>
    <w:rsid w:val="6924F92D"/>
    <w:rsid w:val="6929F416"/>
    <w:rsid w:val="694E2EF8"/>
    <w:rsid w:val="69571A46"/>
    <w:rsid w:val="696722A0"/>
    <w:rsid w:val="697016BB"/>
    <w:rsid w:val="698A706D"/>
    <w:rsid w:val="6991F0F8"/>
    <w:rsid w:val="69A86FAE"/>
    <w:rsid w:val="69B01A05"/>
    <w:rsid w:val="69B49F92"/>
    <w:rsid w:val="69D6EF1A"/>
    <w:rsid w:val="69D9A1AA"/>
    <w:rsid w:val="69DF8ADA"/>
    <w:rsid w:val="69E2CDB3"/>
    <w:rsid w:val="69E62372"/>
    <w:rsid w:val="69F5974D"/>
    <w:rsid w:val="69FDBF81"/>
    <w:rsid w:val="69FF7B6A"/>
    <w:rsid w:val="6A0F594D"/>
    <w:rsid w:val="6A1090C2"/>
    <w:rsid w:val="6A27FBD6"/>
    <w:rsid w:val="6A32DD73"/>
    <w:rsid w:val="6A470511"/>
    <w:rsid w:val="6A6A1725"/>
    <w:rsid w:val="6A6A3961"/>
    <w:rsid w:val="6A6D6FF9"/>
    <w:rsid w:val="6A6F5E5C"/>
    <w:rsid w:val="6A79939A"/>
    <w:rsid w:val="6A8D5112"/>
    <w:rsid w:val="6A91AB66"/>
    <w:rsid w:val="6ACAEB22"/>
    <w:rsid w:val="6ACC86E4"/>
    <w:rsid w:val="6AD0BFA2"/>
    <w:rsid w:val="6AE32DB2"/>
    <w:rsid w:val="6AF259CF"/>
    <w:rsid w:val="6B0D2A4F"/>
    <w:rsid w:val="6B23FEE8"/>
    <w:rsid w:val="6B2B5ACB"/>
    <w:rsid w:val="6B47CC63"/>
    <w:rsid w:val="6B5C33CA"/>
    <w:rsid w:val="6B743062"/>
    <w:rsid w:val="6B7C53BF"/>
    <w:rsid w:val="6B7D4C73"/>
    <w:rsid w:val="6B826288"/>
    <w:rsid w:val="6B8510C6"/>
    <w:rsid w:val="6B980458"/>
    <w:rsid w:val="6B9EA3B5"/>
    <w:rsid w:val="6BB23B6E"/>
    <w:rsid w:val="6BB58577"/>
    <w:rsid w:val="6BBB8AB0"/>
    <w:rsid w:val="6BC82158"/>
    <w:rsid w:val="6BCF7CF3"/>
    <w:rsid w:val="6BD46F96"/>
    <w:rsid w:val="6BEA5C79"/>
    <w:rsid w:val="6BF566B5"/>
    <w:rsid w:val="6BFA837F"/>
    <w:rsid w:val="6BFF495A"/>
    <w:rsid w:val="6C08F672"/>
    <w:rsid w:val="6C20BC93"/>
    <w:rsid w:val="6C5093B6"/>
    <w:rsid w:val="6C55D4B9"/>
    <w:rsid w:val="6C57248B"/>
    <w:rsid w:val="6C57BC41"/>
    <w:rsid w:val="6C6B33BA"/>
    <w:rsid w:val="6C7077D3"/>
    <w:rsid w:val="6C8E4E23"/>
    <w:rsid w:val="6C9DE13E"/>
    <w:rsid w:val="6C9F42C6"/>
    <w:rsid w:val="6CA9775D"/>
    <w:rsid w:val="6CBB2D10"/>
    <w:rsid w:val="6CDB72D2"/>
    <w:rsid w:val="6CDF5513"/>
    <w:rsid w:val="6CEF08ED"/>
    <w:rsid w:val="6D2CEA4D"/>
    <w:rsid w:val="6D2E5626"/>
    <w:rsid w:val="6D333E4B"/>
    <w:rsid w:val="6D33AF5C"/>
    <w:rsid w:val="6D358E9C"/>
    <w:rsid w:val="6D43F97D"/>
    <w:rsid w:val="6D5442BE"/>
    <w:rsid w:val="6D59435E"/>
    <w:rsid w:val="6D7CEDBF"/>
    <w:rsid w:val="6D966B58"/>
    <w:rsid w:val="6DBD05F5"/>
    <w:rsid w:val="6DC465EF"/>
    <w:rsid w:val="6DC8CD6E"/>
    <w:rsid w:val="6DD12C62"/>
    <w:rsid w:val="6DE43CDC"/>
    <w:rsid w:val="6DF5F4C7"/>
    <w:rsid w:val="6DF9F6A1"/>
    <w:rsid w:val="6E0054F3"/>
    <w:rsid w:val="6E0411A6"/>
    <w:rsid w:val="6E0A300E"/>
    <w:rsid w:val="6E2759C5"/>
    <w:rsid w:val="6E2C18A7"/>
    <w:rsid w:val="6E3CEB31"/>
    <w:rsid w:val="6E3E22EB"/>
    <w:rsid w:val="6E3E946A"/>
    <w:rsid w:val="6E83F17A"/>
    <w:rsid w:val="6E85AB96"/>
    <w:rsid w:val="6E88E0CA"/>
    <w:rsid w:val="6E8B51BC"/>
    <w:rsid w:val="6E8C100E"/>
    <w:rsid w:val="6EBF6A34"/>
    <w:rsid w:val="6EC36D1A"/>
    <w:rsid w:val="6ED0314C"/>
    <w:rsid w:val="6EE125E2"/>
    <w:rsid w:val="6F103B45"/>
    <w:rsid w:val="6F39D597"/>
    <w:rsid w:val="6F3D1BFA"/>
    <w:rsid w:val="6F49FC38"/>
    <w:rsid w:val="6F5A30BE"/>
    <w:rsid w:val="6F60A490"/>
    <w:rsid w:val="6F651F73"/>
    <w:rsid w:val="6F672C5B"/>
    <w:rsid w:val="6F68EB3A"/>
    <w:rsid w:val="6F759E04"/>
    <w:rsid w:val="6F7E47D0"/>
    <w:rsid w:val="6F8B80BB"/>
    <w:rsid w:val="6F947A4F"/>
    <w:rsid w:val="6F9A1FF6"/>
    <w:rsid w:val="6F9BCEE7"/>
    <w:rsid w:val="6F9DC7A2"/>
    <w:rsid w:val="6FB18B96"/>
    <w:rsid w:val="6FB2D562"/>
    <w:rsid w:val="6FBEDD45"/>
    <w:rsid w:val="6FC0BFD5"/>
    <w:rsid w:val="6FD2B2C3"/>
    <w:rsid w:val="6FE4A817"/>
    <w:rsid w:val="6FEBB2AD"/>
    <w:rsid w:val="6FFE7A5D"/>
    <w:rsid w:val="6FFF616D"/>
    <w:rsid w:val="70081B21"/>
    <w:rsid w:val="701DBCDF"/>
    <w:rsid w:val="704C9DA3"/>
    <w:rsid w:val="70535038"/>
    <w:rsid w:val="7056B1D6"/>
    <w:rsid w:val="706203F4"/>
    <w:rsid w:val="7064F038"/>
    <w:rsid w:val="7075A8E7"/>
    <w:rsid w:val="70816AA2"/>
    <w:rsid w:val="7082A8AA"/>
    <w:rsid w:val="7083A380"/>
    <w:rsid w:val="709D1156"/>
    <w:rsid w:val="70A076F7"/>
    <w:rsid w:val="70B60A42"/>
    <w:rsid w:val="70B78149"/>
    <w:rsid w:val="70C47EC7"/>
    <w:rsid w:val="70FC3315"/>
    <w:rsid w:val="710085C4"/>
    <w:rsid w:val="7104956C"/>
    <w:rsid w:val="7110E3E7"/>
    <w:rsid w:val="71216BF9"/>
    <w:rsid w:val="71257F29"/>
    <w:rsid w:val="713CA694"/>
    <w:rsid w:val="715C6F39"/>
    <w:rsid w:val="716331AF"/>
    <w:rsid w:val="7175BAC3"/>
    <w:rsid w:val="717C14DC"/>
    <w:rsid w:val="718CFF9F"/>
    <w:rsid w:val="71B2BF9C"/>
    <w:rsid w:val="71B8B26B"/>
    <w:rsid w:val="71BF92A6"/>
    <w:rsid w:val="71CDD604"/>
    <w:rsid w:val="71D63ECF"/>
    <w:rsid w:val="71F912EE"/>
    <w:rsid w:val="71FF5F36"/>
    <w:rsid w:val="720185E7"/>
    <w:rsid w:val="7202F905"/>
    <w:rsid w:val="720E4587"/>
    <w:rsid w:val="7211B644"/>
    <w:rsid w:val="7219D2DC"/>
    <w:rsid w:val="7232B5FC"/>
    <w:rsid w:val="7236A8A7"/>
    <w:rsid w:val="7236D938"/>
    <w:rsid w:val="72464B48"/>
    <w:rsid w:val="7248613F"/>
    <w:rsid w:val="724C8A25"/>
    <w:rsid w:val="725949ED"/>
    <w:rsid w:val="726310EC"/>
    <w:rsid w:val="7268BC05"/>
    <w:rsid w:val="7271E431"/>
    <w:rsid w:val="7276F317"/>
    <w:rsid w:val="727EFC18"/>
    <w:rsid w:val="7282F09F"/>
    <w:rsid w:val="7284C8CF"/>
    <w:rsid w:val="72BF3395"/>
    <w:rsid w:val="72D1B3B8"/>
    <w:rsid w:val="72D4C7D1"/>
    <w:rsid w:val="72E3160D"/>
    <w:rsid w:val="72F85E8D"/>
    <w:rsid w:val="72FC4F1E"/>
    <w:rsid w:val="7301E360"/>
    <w:rsid w:val="730A0DD0"/>
    <w:rsid w:val="731647FE"/>
    <w:rsid w:val="7319A8AF"/>
    <w:rsid w:val="731A9F18"/>
    <w:rsid w:val="7347A3D2"/>
    <w:rsid w:val="734D1993"/>
    <w:rsid w:val="736FD400"/>
    <w:rsid w:val="73729D8C"/>
    <w:rsid w:val="7378E142"/>
    <w:rsid w:val="73874EC8"/>
    <w:rsid w:val="739225D8"/>
    <w:rsid w:val="73A298D5"/>
    <w:rsid w:val="73A3A702"/>
    <w:rsid w:val="73AD4EA5"/>
    <w:rsid w:val="73E435B8"/>
    <w:rsid w:val="73E6B5E9"/>
    <w:rsid w:val="73F5CEB5"/>
    <w:rsid w:val="73F82D09"/>
    <w:rsid w:val="73FA348A"/>
    <w:rsid w:val="7407D831"/>
    <w:rsid w:val="741EB45B"/>
    <w:rsid w:val="743E1FB6"/>
    <w:rsid w:val="7450DB4A"/>
    <w:rsid w:val="745A111F"/>
    <w:rsid w:val="747871E4"/>
    <w:rsid w:val="74801AFC"/>
    <w:rsid w:val="74900B24"/>
    <w:rsid w:val="74996DBF"/>
    <w:rsid w:val="74A6BBC9"/>
    <w:rsid w:val="74ABF5C0"/>
    <w:rsid w:val="74C2B5C6"/>
    <w:rsid w:val="74C867FD"/>
    <w:rsid w:val="74C8ED4D"/>
    <w:rsid w:val="74EDE76C"/>
    <w:rsid w:val="74F00611"/>
    <w:rsid w:val="7506C2D7"/>
    <w:rsid w:val="75093F72"/>
    <w:rsid w:val="75169DA9"/>
    <w:rsid w:val="751BD3B8"/>
    <w:rsid w:val="75293377"/>
    <w:rsid w:val="75301423"/>
    <w:rsid w:val="753EE4D6"/>
    <w:rsid w:val="753FC3C1"/>
    <w:rsid w:val="7547E897"/>
    <w:rsid w:val="7550E37B"/>
    <w:rsid w:val="75514CE1"/>
    <w:rsid w:val="75645543"/>
    <w:rsid w:val="7565EF51"/>
    <w:rsid w:val="7581404B"/>
    <w:rsid w:val="75859A29"/>
    <w:rsid w:val="75A79258"/>
    <w:rsid w:val="75AE767C"/>
    <w:rsid w:val="75B6E592"/>
    <w:rsid w:val="75C4016D"/>
    <w:rsid w:val="75D01B85"/>
    <w:rsid w:val="75D6F34D"/>
    <w:rsid w:val="75EBD379"/>
    <w:rsid w:val="75EDE73A"/>
    <w:rsid w:val="75F139FD"/>
    <w:rsid w:val="75F39CE8"/>
    <w:rsid w:val="75FCBF0E"/>
    <w:rsid w:val="75FD2A7C"/>
    <w:rsid w:val="761D209E"/>
    <w:rsid w:val="762A552D"/>
    <w:rsid w:val="762C9B64"/>
    <w:rsid w:val="7642E646"/>
    <w:rsid w:val="7645B53F"/>
    <w:rsid w:val="76502AB0"/>
    <w:rsid w:val="7658DFA0"/>
    <w:rsid w:val="767036A8"/>
    <w:rsid w:val="7673F4CA"/>
    <w:rsid w:val="7683F9B5"/>
    <w:rsid w:val="76995E28"/>
    <w:rsid w:val="76A04B10"/>
    <w:rsid w:val="76A81A28"/>
    <w:rsid w:val="76A88D42"/>
    <w:rsid w:val="76D26417"/>
    <w:rsid w:val="76DA52B9"/>
    <w:rsid w:val="76E88016"/>
    <w:rsid w:val="76F4BABB"/>
    <w:rsid w:val="7704F0F6"/>
    <w:rsid w:val="77211A76"/>
    <w:rsid w:val="77351BD1"/>
    <w:rsid w:val="773BDF13"/>
    <w:rsid w:val="774BDF17"/>
    <w:rsid w:val="775A9F07"/>
    <w:rsid w:val="775EE64B"/>
    <w:rsid w:val="776846FC"/>
    <w:rsid w:val="77703158"/>
    <w:rsid w:val="7772C3BD"/>
    <w:rsid w:val="7789AE26"/>
    <w:rsid w:val="7795FB5B"/>
    <w:rsid w:val="779BEFB5"/>
    <w:rsid w:val="77A1612B"/>
    <w:rsid w:val="77A5DC6B"/>
    <w:rsid w:val="77B8D611"/>
    <w:rsid w:val="77DE4685"/>
    <w:rsid w:val="77E532D2"/>
    <w:rsid w:val="7800453E"/>
    <w:rsid w:val="7806A837"/>
    <w:rsid w:val="780D4629"/>
    <w:rsid w:val="78199BE8"/>
    <w:rsid w:val="78279BA4"/>
    <w:rsid w:val="782A227C"/>
    <w:rsid w:val="78518C10"/>
    <w:rsid w:val="7856630E"/>
    <w:rsid w:val="78579F0E"/>
    <w:rsid w:val="786D0F39"/>
    <w:rsid w:val="786FDC40"/>
    <w:rsid w:val="78732E20"/>
    <w:rsid w:val="7874D24C"/>
    <w:rsid w:val="7888954A"/>
    <w:rsid w:val="788B2C3D"/>
    <w:rsid w:val="788F7152"/>
    <w:rsid w:val="788F8683"/>
    <w:rsid w:val="78A29D17"/>
    <w:rsid w:val="78A3530B"/>
    <w:rsid w:val="78C0309F"/>
    <w:rsid w:val="78C317A9"/>
    <w:rsid w:val="78C97858"/>
    <w:rsid w:val="78C978B4"/>
    <w:rsid w:val="78CDDC47"/>
    <w:rsid w:val="78D1A4B1"/>
    <w:rsid w:val="78D1B7C4"/>
    <w:rsid w:val="78E6173E"/>
    <w:rsid w:val="78E9F1CC"/>
    <w:rsid w:val="78F27E75"/>
    <w:rsid w:val="7902E529"/>
    <w:rsid w:val="79247237"/>
    <w:rsid w:val="79332269"/>
    <w:rsid w:val="7958D7CC"/>
    <w:rsid w:val="795CE313"/>
    <w:rsid w:val="796ECDBD"/>
    <w:rsid w:val="797A2CEC"/>
    <w:rsid w:val="7980838E"/>
    <w:rsid w:val="798DCE43"/>
    <w:rsid w:val="799769EC"/>
    <w:rsid w:val="79C315F7"/>
    <w:rsid w:val="79C634EB"/>
    <w:rsid w:val="79D3EA87"/>
    <w:rsid w:val="79F12F16"/>
    <w:rsid w:val="79F935ED"/>
    <w:rsid w:val="79FED03D"/>
    <w:rsid w:val="7A03B016"/>
    <w:rsid w:val="7A28E304"/>
    <w:rsid w:val="7A2A95C9"/>
    <w:rsid w:val="7A35EA51"/>
    <w:rsid w:val="7A3A4784"/>
    <w:rsid w:val="7A3E8319"/>
    <w:rsid w:val="7A45A288"/>
    <w:rsid w:val="7A493AB4"/>
    <w:rsid w:val="7A4CF35C"/>
    <w:rsid w:val="7A570533"/>
    <w:rsid w:val="7A5BFD89"/>
    <w:rsid w:val="7A66E2C5"/>
    <w:rsid w:val="7A6A4232"/>
    <w:rsid w:val="7A72979F"/>
    <w:rsid w:val="7A7BF9A3"/>
    <w:rsid w:val="7A808268"/>
    <w:rsid w:val="7A854AE9"/>
    <w:rsid w:val="7A85FA3D"/>
    <w:rsid w:val="7A8FB35F"/>
    <w:rsid w:val="7A96E2AE"/>
    <w:rsid w:val="7A990A81"/>
    <w:rsid w:val="7A992FC5"/>
    <w:rsid w:val="7AB6AF86"/>
    <w:rsid w:val="7AC4AAD1"/>
    <w:rsid w:val="7ACA0C30"/>
    <w:rsid w:val="7AD8C732"/>
    <w:rsid w:val="7ADB59AE"/>
    <w:rsid w:val="7AEE3395"/>
    <w:rsid w:val="7AEF4DA3"/>
    <w:rsid w:val="7AFF9831"/>
    <w:rsid w:val="7B090640"/>
    <w:rsid w:val="7B16647C"/>
    <w:rsid w:val="7B25D4D0"/>
    <w:rsid w:val="7B2E46BE"/>
    <w:rsid w:val="7B57AE94"/>
    <w:rsid w:val="7B615502"/>
    <w:rsid w:val="7B6193B7"/>
    <w:rsid w:val="7BC135CA"/>
    <w:rsid w:val="7BC46A04"/>
    <w:rsid w:val="7BC668A0"/>
    <w:rsid w:val="7BD77486"/>
    <w:rsid w:val="7BDDB4FA"/>
    <w:rsid w:val="7BED10C8"/>
    <w:rsid w:val="7C3DD40B"/>
    <w:rsid w:val="7C432E75"/>
    <w:rsid w:val="7C4E7AE6"/>
    <w:rsid w:val="7C76D4DC"/>
    <w:rsid w:val="7C775157"/>
    <w:rsid w:val="7C79E63E"/>
    <w:rsid w:val="7C7CECBE"/>
    <w:rsid w:val="7CA5DDAE"/>
    <w:rsid w:val="7CD802F4"/>
    <w:rsid w:val="7CDA888B"/>
    <w:rsid w:val="7CDBC652"/>
    <w:rsid w:val="7CE4A5C1"/>
    <w:rsid w:val="7CE6F5B7"/>
    <w:rsid w:val="7CEFC0D2"/>
    <w:rsid w:val="7CFF1C9C"/>
    <w:rsid w:val="7D2AFEE2"/>
    <w:rsid w:val="7D2B56D1"/>
    <w:rsid w:val="7D3052BE"/>
    <w:rsid w:val="7D53557D"/>
    <w:rsid w:val="7D770430"/>
    <w:rsid w:val="7DA4D8AB"/>
    <w:rsid w:val="7DB2755A"/>
    <w:rsid w:val="7DC00630"/>
    <w:rsid w:val="7DC0D55B"/>
    <w:rsid w:val="7DE4F944"/>
    <w:rsid w:val="7E0236F8"/>
    <w:rsid w:val="7E0F65B6"/>
    <w:rsid w:val="7E2317E3"/>
    <w:rsid w:val="7E3FFD16"/>
    <w:rsid w:val="7E4E512A"/>
    <w:rsid w:val="7E5EA114"/>
    <w:rsid w:val="7E5FDFF1"/>
    <w:rsid w:val="7E7128EF"/>
    <w:rsid w:val="7E80891D"/>
    <w:rsid w:val="7E92BF5A"/>
    <w:rsid w:val="7E9D975E"/>
    <w:rsid w:val="7EA3B1C7"/>
    <w:rsid w:val="7EA52250"/>
    <w:rsid w:val="7EAC7F72"/>
    <w:rsid w:val="7EB0D619"/>
    <w:rsid w:val="7EBEDE59"/>
    <w:rsid w:val="7EC00A7E"/>
    <w:rsid w:val="7EC5052A"/>
    <w:rsid w:val="7EC575F5"/>
    <w:rsid w:val="7EF20F2C"/>
    <w:rsid w:val="7EF4655F"/>
    <w:rsid w:val="7F007337"/>
    <w:rsid w:val="7F0830D8"/>
    <w:rsid w:val="7F0F8369"/>
    <w:rsid w:val="7F116BA0"/>
    <w:rsid w:val="7F204BEA"/>
    <w:rsid w:val="7F211754"/>
    <w:rsid w:val="7F2791AC"/>
    <w:rsid w:val="7F2E151E"/>
    <w:rsid w:val="7F36A1BA"/>
    <w:rsid w:val="7F3E754C"/>
    <w:rsid w:val="7F3F69B0"/>
    <w:rsid w:val="7F52FE44"/>
    <w:rsid w:val="7F539548"/>
    <w:rsid w:val="7F56DB46"/>
    <w:rsid w:val="7F5D2E0B"/>
    <w:rsid w:val="7F6B04C8"/>
    <w:rsid w:val="7F726BD5"/>
    <w:rsid w:val="7F7998C4"/>
    <w:rsid w:val="7F83F4C4"/>
    <w:rsid w:val="7F983DCF"/>
    <w:rsid w:val="7FB0EF9D"/>
    <w:rsid w:val="7FC0B00D"/>
    <w:rsid w:val="7FC1D6BC"/>
    <w:rsid w:val="7FCD34CA"/>
  </w:rsids>
  <m:mathPr>
    <m:mathFont m:val="Cambria Math"/>
    <m:brkBin m:val="before"/>
    <m:brkBinSub m:val="--"/>
    <m:smallFrac/>
    <m:dispDef/>
    <m:lMargin m:val="0"/>
    <m:rMargin m:val="0"/>
    <m:defJc m:val="centerGroup"/>
    <m:wrapIndent m:val="1440"/>
    <m:intLim m:val="subSup"/>
    <m:naryLim m:val="undOvr"/>
  </m:mathPr>
  <w:themeFontLang w:val="pt-PT"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2"/>
    </o:shapelayout>
  </w:shapeDefaults>
  <w:decimalSymbol w:val="."/>
  <w:listSeparator w:val=","/>
  <w14:docId w14:val="422D41D3"/>
  <w15:docId w15:val="{54DEA8C4-E442-4C78-A37F-D57C2A83D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iPriority="99" w:unhideWhenUsed="1"/>
    <w:lsdException w:name="HTML Address" w:semiHidden="1" w:unhideWhenUsed="1"/>
    <w:lsdException w:name="HTML Cite" w:semiHidden="1" w:uiPriority="99" w:unhideWhenUsed="1"/>
    <w:lsdException w:name="HTML Code" w:semiHidden="1"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D26DF"/>
    <w:rPr>
      <w:rFonts w:eastAsia="Times New Roman"/>
      <w:sz w:val="22"/>
      <w:szCs w:val="22"/>
      <w:lang w:eastAsia="fr-FR"/>
    </w:rPr>
  </w:style>
  <w:style w:type="paragraph" w:styleId="Heading1">
    <w:name w:val="heading 1"/>
    <w:basedOn w:val="Normal"/>
    <w:next w:val="Normal"/>
    <w:link w:val="Heading1Char"/>
    <w:qFormat/>
    <w:rsid w:val="00A058C3"/>
    <w:pPr>
      <w:keepNext/>
      <w:numPr>
        <w:numId w:val="15"/>
      </w:numPr>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A058C3"/>
    <w:pPr>
      <w:keepNext/>
      <w:numPr>
        <w:ilvl w:val="1"/>
        <w:numId w:val="15"/>
      </w:numPr>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A058C3"/>
    <w:pPr>
      <w:keepNext/>
      <w:numPr>
        <w:ilvl w:val="2"/>
        <w:numId w:val="15"/>
      </w:numPr>
      <w:spacing w:before="240" w:after="60"/>
      <w:outlineLvl w:val="2"/>
    </w:pPr>
    <w:rPr>
      <w:rFonts w:ascii="Arial" w:hAnsi="Arial"/>
      <w:b/>
      <w:sz w:val="26"/>
    </w:rPr>
  </w:style>
  <w:style w:type="paragraph" w:styleId="Heading4">
    <w:name w:val="heading 4"/>
    <w:basedOn w:val="Normal"/>
    <w:next w:val="Normal"/>
    <w:link w:val="Heading4Char"/>
    <w:qFormat/>
    <w:rsid w:val="00A058C3"/>
    <w:pPr>
      <w:keepNext/>
      <w:numPr>
        <w:ilvl w:val="3"/>
        <w:numId w:val="15"/>
      </w:numPr>
      <w:spacing w:before="240" w:after="60"/>
      <w:outlineLvl w:val="3"/>
    </w:pPr>
    <w:rPr>
      <w:b/>
      <w:sz w:val="28"/>
    </w:rPr>
  </w:style>
  <w:style w:type="paragraph" w:styleId="Heading5">
    <w:name w:val="heading 5"/>
    <w:basedOn w:val="Normal"/>
    <w:next w:val="Normal"/>
    <w:link w:val="Heading5Char"/>
    <w:qFormat/>
    <w:rsid w:val="00A058C3"/>
    <w:pPr>
      <w:numPr>
        <w:ilvl w:val="4"/>
        <w:numId w:val="15"/>
      </w:numPr>
      <w:spacing w:before="240" w:after="60"/>
      <w:outlineLvl w:val="4"/>
    </w:pPr>
    <w:rPr>
      <w:b/>
      <w:i/>
      <w:sz w:val="26"/>
    </w:rPr>
  </w:style>
  <w:style w:type="paragraph" w:styleId="Heading6">
    <w:name w:val="heading 6"/>
    <w:basedOn w:val="Normal"/>
    <w:next w:val="Normal"/>
    <w:link w:val="Heading6Char"/>
    <w:qFormat/>
    <w:rsid w:val="00A058C3"/>
    <w:pPr>
      <w:numPr>
        <w:ilvl w:val="5"/>
        <w:numId w:val="15"/>
      </w:numPr>
      <w:spacing w:before="240" w:after="60"/>
      <w:outlineLvl w:val="5"/>
    </w:pPr>
    <w:rPr>
      <w:b/>
    </w:rPr>
  </w:style>
  <w:style w:type="paragraph" w:styleId="Heading7">
    <w:name w:val="heading 7"/>
    <w:basedOn w:val="Normal"/>
    <w:next w:val="Normal"/>
    <w:link w:val="Heading7Char"/>
    <w:qFormat/>
    <w:rsid w:val="00A058C3"/>
    <w:pPr>
      <w:numPr>
        <w:ilvl w:val="6"/>
        <w:numId w:val="15"/>
      </w:numPr>
      <w:spacing w:before="240" w:after="60"/>
      <w:outlineLvl w:val="6"/>
    </w:pPr>
  </w:style>
  <w:style w:type="paragraph" w:styleId="Heading8">
    <w:name w:val="heading 8"/>
    <w:basedOn w:val="Normal"/>
    <w:next w:val="Normal"/>
    <w:link w:val="Heading8Char"/>
    <w:qFormat/>
    <w:rsid w:val="00A058C3"/>
    <w:pPr>
      <w:keepNext/>
      <w:numPr>
        <w:ilvl w:val="7"/>
        <w:numId w:val="15"/>
      </w:numPr>
      <w:spacing w:before="240"/>
      <w:outlineLvl w:val="7"/>
    </w:pPr>
    <w:rPr>
      <w:rFonts w:ascii="Verdana" w:hAnsi="Verdana"/>
      <w:b/>
      <w:sz w:val="20"/>
    </w:rPr>
  </w:style>
  <w:style w:type="paragraph" w:styleId="Heading9">
    <w:name w:val="heading 9"/>
    <w:basedOn w:val="Normal"/>
    <w:next w:val="Normal"/>
    <w:link w:val="Heading9Char"/>
    <w:qFormat/>
    <w:rsid w:val="00A058C3"/>
    <w:pPr>
      <w:keepNext/>
      <w:numPr>
        <w:ilvl w:val="8"/>
        <w:numId w:val="15"/>
      </w:numPr>
      <w:spacing w:before="240"/>
      <w:jc w:val="right"/>
      <w:outlineLvl w:val="8"/>
    </w:pPr>
    <w:rPr>
      <w:rFonts w:ascii="Arial" w:hAnsi="Arial"/>
      <w:b/>
      <w:snapToGrid w:val="0"/>
      <w:color w:val="000000"/>
      <w:sz w:val="1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D099A"/>
    <w:rPr>
      <w:rFonts w:ascii="Arial" w:eastAsia="Times New Roman" w:hAnsi="Arial" w:cs="Arial"/>
      <w:b/>
      <w:bCs/>
      <w:kern w:val="32"/>
      <w:sz w:val="32"/>
      <w:szCs w:val="32"/>
      <w:lang w:eastAsia="fr-FR"/>
    </w:rPr>
  </w:style>
  <w:style w:type="paragraph" w:customStyle="1" w:styleId="FAOAbstracttitle">
    <w:name w:val="FAO Abstract title"/>
    <w:basedOn w:val="Heading1"/>
    <w:autoRedefine/>
    <w:rsid w:val="00A058C3"/>
    <w:pPr>
      <w:keepLines/>
      <w:overflowPunct w:val="0"/>
      <w:autoSpaceDE w:val="0"/>
      <w:autoSpaceDN w:val="0"/>
      <w:adjustRightInd w:val="0"/>
      <w:spacing w:before="160" w:after="120" w:line="240" w:lineRule="exact"/>
      <w:jc w:val="center"/>
      <w:textAlignment w:val="baseline"/>
      <w:outlineLvl w:val="9"/>
    </w:pPr>
    <w:rPr>
      <w:rFonts w:ascii="Times New Roman" w:hAnsi="Times New Roman" w:cs="Times New Roman"/>
      <w:bCs w:val="0"/>
      <w:caps/>
      <w:kern w:val="0"/>
      <w:sz w:val="20"/>
      <w:szCs w:val="20"/>
      <w:lang w:eastAsia="en-GB"/>
    </w:rPr>
  </w:style>
  <w:style w:type="paragraph" w:customStyle="1" w:styleId="FAOSectSub-Subhead">
    <w:name w:val="FAO Sect Sub-Subhead"/>
    <w:basedOn w:val="Normal"/>
    <w:autoRedefine/>
    <w:rsid w:val="00A058C3"/>
    <w:pPr>
      <w:keepNext/>
      <w:keepLines/>
      <w:tabs>
        <w:tab w:val="left" w:pos="284"/>
      </w:tabs>
      <w:overflowPunct w:val="0"/>
      <w:autoSpaceDE w:val="0"/>
      <w:autoSpaceDN w:val="0"/>
      <w:adjustRightInd w:val="0"/>
      <w:spacing w:before="80"/>
      <w:ind w:left="567"/>
      <w:textAlignment w:val="baseline"/>
    </w:pPr>
    <w:rPr>
      <w:rFonts w:cs="Arial"/>
      <w:b/>
      <w:sz w:val="20"/>
      <w:szCs w:val="20"/>
      <w:lang w:eastAsia="en-GB"/>
    </w:rPr>
  </w:style>
  <w:style w:type="paragraph" w:customStyle="1" w:styleId="FAOBibliography">
    <w:name w:val="FAO Bibliography"/>
    <w:basedOn w:val="Normal"/>
    <w:autoRedefine/>
    <w:rsid w:val="00A058C3"/>
    <w:pPr>
      <w:overflowPunct w:val="0"/>
      <w:autoSpaceDE w:val="0"/>
      <w:autoSpaceDN w:val="0"/>
      <w:adjustRightInd w:val="0"/>
      <w:spacing w:after="60"/>
      <w:jc w:val="center"/>
      <w:textAlignment w:val="baseline"/>
    </w:pPr>
    <w:rPr>
      <w:rFonts w:cs="Cordia New"/>
      <w:sz w:val="18"/>
      <w:szCs w:val="18"/>
      <w:lang w:eastAsia="en-GB"/>
    </w:rPr>
  </w:style>
  <w:style w:type="paragraph" w:customStyle="1" w:styleId="FAOText">
    <w:name w:val="FAO Text"/>
    <w:basedOn w:val="Normal"/>
    <w:autoRedefine/>
    <w:rsid w:val="00A058C3"/>
    <w:pPr>
      <w:widowControl w:val="0"/>
      <w:spacing w:before="100" w:after="100"/>
      <w:jc w:val="both"/>
    </w:pPr>
    <w:rPr>
      <w:sz w:val="20"/>
      <w:szCs w:val="20"/>
      <w:lang w:eastAsia="en-US"/>
    </w:rPr>
  </w:style>
  <w:style w:type="paragraph" w:customStyle="1" w:styleId="FAOTitle">
    <w:name w:val="FAO Title"/>
    <w:basedOn w:val="FAOAbstracttitle"/>
    <w:autoRedefine/>
    <w:rsid w:val="00DC26BA"/>
    <w:pPr>
      <w:spacing w:before="0" w:after="0"/>
    </w:pPr>
    <w:rPr>
      <w:rFonts w:ascii="Times New Roman Bold" w:hAnsi="Times New Roman Bold" w:cs="Cordia New"/>
      <w:bCs/>
      <w:iCs/>
      <w:color w:val="000000" w:themeColor="text1"/>
      <w:sz w:val="24"/>
      <w:szCs w:val="24"/>
    </w:rPr>
  </w:style>
  <w:style w:type="paragraph" w:customStyle="1" w:styleId="FAOText-Abstract">
    <w:name w:val="FAO Text-Abstract"/>
    <w:basedOn w:val="FAOText"/>
    <w:autoRedefine/>
    <w:rsid w:val="00A058C3"/>
    <w:pPr>
      <w:widowControl/>
      <w:spacing w:before="0" w:after="0"/>
      <w:ind w:right="-6"/>
    </w:pPr>
    <w:rPr>
      <w:rFonts w:eastAsia="MS PMincho" w:cs="Cordia New"/>
      <w:bCs/>
      <w:i/>
      <w:iCs/>
      <w:color w:val="000000"/>
    </w:rPr>
  </w:style>
  <w:style w:type="paragraph" w:customStyle="1" w:styleId="FAOBulletlists">
    <w:name w:val="FAO Bullet lists"/>
    <w:basedOn w:val="BodyText"/>
    <w:next w:val="Normal"/>
    <w:autoRedefine/>
    <w:rsid w:val="00A058C3"/>
    <w:pPr>
      <w:tabs>
        <w:tab w:val="num" w:pos="360"/>
      </w:tabs>
      <w:ind w:left="360" w:hanging="360"/>
      <w:jc w:val="both"/>
    </w:pPr>
    <w:rPr>
      <w:sz w:val="20"/>
      <w:szCs w:val="20"/>
      <w:lang w:eastAsia="en-US"/>
    </w:rPr>
  </w:style>
  <w:style w:type="paragraph" w:styleId="BodyText">
    <w:name w:val="Body Text"/>
    <w:aliases w:val="Body Text Char Char Char Char,Body Text Char Char,Body Text Char Char Char Char Char Char Char,Body Text Char Char Char Char Char Char Char Char Char Char Char Char Char Char Char Char Char Char Char"/>
    <w:basedOn w:val="Normal"/>
    <w:link w:val="BodyTextChar"/>
    <w:uiPriority w:val="99"/>
    <w:rsid w:val="00A058C3"/>
    <w:pPr>
      <w:spacing w:after="120"/>
    </w:pPr>
  </w:style>
  <w:style w:type="character" w:customStyle="1" w:styleId="BodyTextChar">
    <w:name w:val="Body Text Char"/>
    <w:aliases w:val="Body Text Char Char Char Char Char,Body Text Char Char Char,Body Text Char Char Char Char Char Char Char Char,Body Text Char Char Char Char Char Char Char Char Char Char Char Char Char Char Char Char Char Char Char Char"/>
    <w:basedOn w:val="DefaultParagraphFont"/>
    <w:link w:val="BodyText"/>
    <w:uiPriority w:val="99"/>
    <w:rsid w:val="003D099A"/>
    <w:rPr>
      <w:rFonts w:eastAsia="Times New Roman"/>
      <w:sz w:val="22"/>
      <w:szCs w:val="22"/>
      <w:lang w:eastAsia="fr-FR"/>
    </w:rPr>
  </w:style>
  <w:style w:type="paragraph" w:customStyle="1" w:styleId="FAOIntroHeading">
    <w:name w:val="FAO Intro Heading"/>
    <w:basedOn w:val="Normal"/>
    <w:autoRedefine/>
    <w:rsid w:val="00A058C3"/>
    <w:pPr>
      <w:overflowPunct w:val="0"/>
      <w:autoSpaceDE w:val="0"/>
      <w:autoSpaceDN w:val="0"/>
      <w:adjustRightInd w:val="0"/>
      <w:spacing w:before="120" w:after="120"/>
      <w:textAlignment w:val="baseline"/>
    </w:pPr>
    <w:rPr>
      <w:b/>
      <w:bCs/>
      <w:caps/>
      <w:sz w:val="20"/>
      <w:szCs w:val="20"/>
      <w:lang w:eastAsia="en-GB"/>
    </w:rPr>
  </w:style>
  <w:style w:type="paragraph" w:styleId="Header">
    <w:name w:val="header"/>
    <w:basedOn w:val="Normal"/>
    <w:link w:val="HeaderChar"/>
    <w:rsid w:val="00A058C3"/>
    <w:pPr>
      <w:tabs>
        <w:tab w:val="center" w:pos="4320"/>
        <w:tab w:val="right" w:pos="8640"/>
      </w:tabs>
    </w:pPr>
  </w:style>
  <w:style w:type="character" w:customStyle="1" w:styleId="HeaderChar">
    <w:name w:val="Header Char"/>
    <w:basedOn w:val="DefaultParagraphFont"/>
    <w:link w:val="Header"/>
    <w:rsid w:val="0014336C"/>
    <w:rPr>
      <w:rFonts w:eastAsia="Times New Roman"/>
      <w:sz w:val="22"/>
      <w:szCs w:val="22"/>
      <w:lang w:val="en-US" w:eastAsia="fr-FR"/>
    </w:rPr>
  </w:style>
  <w:style w:type="paragraph" w:styleId="Footer">
    <w:name w:val="footer"/>
    <w:basedOn w:val="Normal"/>
    <w:link w:val="FooterChar"/>
    <w:uiPriority w:val="99"/>
    <w:rsid w:val="00A058C3"/>
    <w:pPr>
      <w:tabs>
        <w:tab w:val="center" w:pos="4320"/>
        <w:tab w:val="right" w:pos="8640"/>
      </w:tabs>
    </w:pPr>
  </w:style>
  <w:style w:type="character" w:customStyle="1" w:styleId="FooterChar">
    <w:name w:val="Footer Char"/>
    <w:basedOn w:val="DefaultParagraphFont"/>
    <w:link w:val="Footer"/>
    <w:uiPriority w:val="99"/>
    <w:rsid w:val="0014336C"/>
    <w:rPr>
      <w:rFonts w:eastAsia="Times New Roman"/>
      <w:sz w:val="22"/>
      <w:szCs w:val="22"/>
      <w:lang w:val="en-US" w:eastAsia="fr-FR"/>
    </w:rPr>
  </w:style>
  <w:style w:type="character" w:styleId="PageNumber">
    <w:name w:val="page number"/>
    <w:basedOn w:val="DefaultParagraphFont"/>
    <w:rsid w:val="00A058C3"/>
  </w:style>
  <w:style w:type="paragraph" w:customStyle="1" w:styleId="IOTCHeading1">
    <w:name w:val="IOTC Heading 1"/>
    <w:basedOn w:val="Heading1"/>
    <w:uiPriority w:val="99"/>
    <w:rsid w:val="00A058C3"/>
    <w:pPr>
      <w:tabs>
        <w:tab w:val="num" w:pos="720"/>
      </w:tabs>
      <w:spacing w:after="0"/>
      <w:ind w:left="720" w:hanging="360"/>
    </w:pPr>
    <w:rPr>
      <w:rFonts w:ascii="Times New Roman" w:hAnsi="Times New Roman" w:cs="Times New Roman"/>
      <w:bCs w:val="0"/>
      <w:smallCaps/>
      <w:kern w:val="28"/>
      <w:sz w:val="28"/>
      <w:szCs w:val="22"/>
      <w:lang w:val="fr-FR"/>
    </w:rPr>
  </w:style>
  <w:style w:type="paragraph" w:customStyle="1" w:styleId="IOTCHeading2">
    <w:name w:val="IOTC Heading 2"/>
    <w:basedOn w:val="Heading2"/>
    <w:rsid w:val="00A058C3"/>
    <w:pPr>
      <w:spacing w:before="120" w:after="0"/>
    </w:pPr>
    <w:rPr>
      <w:rFonts w:ascii="Times New Roman" w:hAnsi="Times New Roman" w:cs="Times New Roman"/>
      <w:bCs w:val="0"/>
      <w:iCs w:val="0"/>
      <w:kern w:val="24"/>
      <w:sz w:val="24"/>
      <w:szCs w:val="22"/>
      <w:lang w:val="fr-FR"/>
    </w:rPr>
  </w:style>
  <w:style w:type="paragraph" w:styleId="TOC1">
    <w:name w:val="toc 1"/>
    <w:next w:val="Normal"/>
    <w:autoRedefine/>
    <w:uiPriority w:val="39"/>
    <w:rsid w:val="00212FBC"/>
    <w:pPr>
      <w:tabs>
        <w:tab w:val="left" w:pos="284"/>
        <w:tab w:val="right" w:leader="dot" w:pos="10456"/>
      </w:tabs>
      <w:spacing w:before="120" w:after="120"/>
    </w:pPr>
    <w:rPr>
      <w:rFonts w:ascii="Calibri" w:eastAsia="Times New Roman" w:hAnsi="Calibri" w:cs="Calibri"/>
      <w:b/>
      <w:bCs/>
      <w:caps/>
      <w:noProof/>
      <w:lang w:val="en-US" w:eastAsia="fr-FR"/>
    </w:rPr>
  </w:style>
  <w:style w:type="paragraph" w:customStyle="1" w:styleId="IOTCListofParticantesCountryHeader">
    <w:name w:val="IOTC List of Particantes Country Header"/>
    <w:basedOn w:val="Normal"/>
    <w:rsid w:val="00A058C3"/>
    <w:pPr>
      <w:keepNext/>
      <w:keepLines/>
      <w:spacing w:before="120"/>
      <w:contextualSpacing/>
    </w:pPr>
    <w:rPr>
      <w:rFonts w:ascii="Times New Roman Bold" w:hAnsi="Times New Roman Bold"/>
      <w:b/>
      <w:smallCaps/>
      <w:noProof/>
    </w:rPr>
  </w:style>
  <w:style w:type="paragraph" w:styleId="TOC2">
    <w:name w:val="toc 2"/>
    <w:basedOn w:val="TOC1"/>
    <w:next w:val="Normal"/>
    <w:autoRedefine/>
    <w:uiPriority w:val="39"/>
    <w:rsid w:val="00E42F0F"/>
    <w:pPr>
      <w:tabs>
        <w:tab w:val="left" w:pos="880"/>
      </w:tabs>
      <w:spacing w:before="0" w:after="0"/>
      <w:ind w:left="592" w:hanging="567"/>
      <w:jc w:val="both"/>
    </w:pPr>
    <w:rPr>
      <w:i/>
      <w:iCs/>
      <w:caps w:val="0"/>
    </w:rPr>
  </w:style>
  <w:style w:type="paragraph" w:customStyle="1" w:styleId="00Numberedparagraph">
    <w:name w:val="00 Numbered paragraph"/>
    <w:basedOn w:val="Normal"/>
    <w:qFormat/>
    <w:rsid w:val="00FE1947"/>
    <w:pPr>
      <w:tabs>
        <w:tab w:val="num" w:pos="360"/>
      </w:tabs>
      <w:spacing w:before="120"/>
      <w:jc w:val="both"/>
    </w:pPr>
    <w:rPr>
      <w:sz w:val="20"/>
      <w:szCs w:val="20"/>
      <w:lang w:eastAsia="en-US"/>
    </w:rPr>
  </w:style>
  <w:style w:type="paragraph" w:customStyle="1" w:styleId="IOTCReportNormalNumbered">
    <w:name w:val="IOTC Report Normal Numbered"/>
    <w:basedOn w:val="00Numberedparagraph"/>
    <w:qFormat/>
    <w:rsid w:val="000C46BF"/>
    <w:pPr>
      <w:numPr>
        <w:numId w:val="1"/>
      </w:numPr>
    </w:pPr>
    <w:rPr>
      <w:snapToGrid w:val="0"/>
      <w:color w:val="000000"/>
      <w:sz w:val="22"/>
    </w:rPr>
  </w:style>
  <w:style w:type="paragraph" w:styleId="TOC3">
    <w:name w:val="toc 3"/>
    <w:basedOn w:val="Normal"/>
    <w:next w:val="Normal"/>
    <w:autoRedefine/>
    <w:uiPriority w:val="39"/>
    <w:rsid w:val="00A058C3"/>
    <w:pPr>
      <w:ind w:left="440"/>
    </w:pPr>
    <w:rPr>
      <w:rFonts w:asciiTheme="minorHAnsi" w:hAnsiTheme="minorHAnsi" w:cstheme="minorHAnsi"/>
      <w:i/>
      <w:iCs/>
      <w:sz w:val="20"/>
      <w:szCs w:val="20"/>
    </w:rPr>
  </w:style>
  <w:style w:type="character" w:styleId="Hyperlink">
    <w:name w:val="Hyperlink"/>
    <w:basedOn w:val="DefaultParagraphFont"/>
    <w:uiPriority w:val="99"/>
    <w:qFormat/>
    <w:rsid w:val="00A058C3"/>
    <w:rPr>
      <w:color w:val="0000FF"/>
      <w:u w:val="single"/>
    </w:rPr>
  </w:style>
  <w:style w:type="paragraph" w:customStyle="1" w:styleId="IOTCHeading3">
    <w:name w:val="IOTC Heading 3"/>
    <w:basedOn w:val="IOTCHeading2"/>
    <w:rsid w:val="00A058C3"/>
    <w:pPr>
      <w:spacing w:after="120"/>
      <w:ind w:left="360"/>
    </w:pPr>
    <w:rPr>
      <w:i w:val="0"/>
      <w:kern w:val="28"/>
      <w:sz w:val="22"/>
      <w:lang w:val="en-GB"/>
    </w:rPr>
  </w:style>
  <w:style w:type="character" w:customStyle="1" w:styleId="IOTC-NormalChar1">
    <w:name w:val="IOTC-Normal Char1"/>
    <w:basedOn w:val="DefaultParagraphFont"/>
    <w:rsid w:val="00A058C3"/>
    <w:rPr>
      <w:sz w:val="22"/>
      <w:szCs w:val="22"/>
      <w:lang w:val="en-US" w:eastAsia="fr-FR" w:bidi="ar-SA"/>
    </w:rPr>
  </w:style>
  <w:style w:type="paragraph" w:customStyle="1" w:styleId="IOTC-Normal">
    <w:name w:val="IOTC-Normal"/>
    <w:basedOn w:val="Normal"/>
    <w:rsid w:val="00A058C3"/>
    <w:pPr>
      <w:jc w:val="both"/>
    </w:pPr>
  </w:style>
  <w:style w:type="paragraph" w:customStyle="1" w:styleId="IOTC-normal0">
    <w:name w:val="IOTC-normal"/>
    <w:rsid w:val="00A058C3"/>
    <w:pPr>
      <w:tabs>
        <w:tab w:val="num" w:pos="360"/>
      </w:tabs>
      <w:spacing w:after="120"/>
      <w:ind w:left="216" w:hanging="216"/>
      <w:jc w:val="both"/>
    </w:pPr>
    <w:rPr>
      <w:rFonts w:eastAsia="Times New Roman"/>
      <w:sz w:val="22"/>
      <w:lang w:val="fr-FR" w:eastAsia="fr-FR"/>
    </w:rPr>
  </w:style>
  <w:style w:type="paragraph" w:customStyle="1" w:styleId="H1">
    <w:name w:val="H1"/>
    <w:basedOn w:val="Heading1"/>
    <w:next w:val="Normal"/>
    <w:rsid w:val="00A058C3"/>
    <w:pPr>
      <w:spacing w:before="180"/>
    </w:pPr>
    <w:rPr>
      <w:rFonts w:ascii="Times New Roman Bold" w:hAnsi="Times New Roman Bold" w:cs="Times New Roman"/>
      <w:bCs w:val="0"/>
      <w:smallCaps/>
      <w:kern w:val="28"/>
      <w:sz w:val="26"/>
      <w:szCs w:val="22"/>
    </w:rPr>
  </w:style>
  <w:style w:type="paragraph" w:customStyle="1" w:styleId="Appendix">
    <w:name w:val="Appendix"/>
    <w:basedOn w:val="Heading1"/>
    <w:next w:val="Normal"/>
    <w:rsid w:val="00A058C3"/>
    <w:pPr>
      <w:pageBreakBefore/>
      <w:spacing w:before="0" w:after="240"/>
      <w:jc w:val="center"/>
    </w:pPr>
    <w:rPr>
      <w:rFonts w:ascii="Times New Roman Bold" w:hAnsi="Times New Roman Bold" w:cs="Times New Roman"/>
      <w:bCs w:val="0"/>
      <w:smallCaps/>
      <w:kern w:val="0"/>
      <w:sz w:val="28"/>
      <w:szCs w:val="22"/>
    </w:rPr>
  </w:style>
  <w:style w:type="paragraph" w:styleId="BodyText2">
    <w:name w:val="Body Text 2"/>
    <w:basedOn w:val="Normal"/>
    <w:rsid w:val="00A058C3"/>
    <w:pPr>
      <w:widowControl w:val="0"/>
    </w:pPr>
    <w:rPr>
      <w:sz w:val="28"/>
    </w:rPr>
  </w:style>
  <w:style w:type="paragraph" w:styleId="Title">
    <w:name w:val="Title"/>
    <w:basedOn w:val="Normal"/>
    <w:link w:val="TitleChar"/>
    <w:qFormat/>
    <w:rsid w:val="00A058C3"/>
    <w:pPr>
      <w:jc w:val="center"/>
    </w:pPr>
    <w:rPr>
      <w:sz w:val="28"/>
      <w:lang w:val="en-AU"/>
    </w:rPr>
  </w:style>
  <w:style w:type="paragraph" w:customStyle="1" w:styleId="H2">
    <w:name w:val="H2"/>
    <w:basedOn w:val="Heading2"/>
    <w:next w:val="Normal"/>
    <w:rsid w:val="00A058C3"/>
    <w:pPr>
      <w:spacing w:before="100" w:beforeAutospacing="1" w:after="120"/>
    </w:pPr>
    <w:rPr>
      <w:rFonts w:ascii="Times New Roman Bold" w:hAnsi="Times New Roman Bold" w:cs="Times New Roman"/>
      <w:b w:val="0"/>
      <w:bCs w:val="0"/>
      <w:i w:val="0"/>
      <w:iCs w:val="0"/>
      <w:kern w:val="24"/>
      <w:sz w:val="24"/>
      <w:szCs w:val="22"/>
    </w:rPr>
  </w:style>
  <w:style w:type="character" w:customStyle="1" w:styleId="IOTC-normalChar">
    <w:name w:val="IOTC-normal Char"/>
    <w:basedOn w:val="DefaultParagraphFont"/>
    <w:rsid w:val="00A058C3"/>
    <w:rPr>
      <w:noProof w:val="0"/>
      <w:sz w:val="22"/>
      <w:lang w:val="fr-FR"/>
    </w:rPr>
  </w:style>
  <w:style w:type="paragraph" w:customStyle="1" w:styleId="IOTC-NormalChar0">
    <w:name w:val="IOTC-Normal Char"/>
    <w:basedOn w:val="Normal"/>
    <w:rsid w:val="00A058C3"/>
    <w:pPr>
      <w:spacing w:before="120" w:after="120"/>
      <w:jc w:val="both"/>
    </w:pPr>
  </w:style>
  <w:style w:type="character" w:customStyle="1" w:styleId="IOTC-NormalCharChar">
    <w:name w:val="IOTC-Normal Char Char"/>
    <w:basedOn w:val="DefaultParagraphFont"/>
    <w:rsid w:val="00A058C3"/>
    <w:rPr>
      <w:noProof w:val="0"/>
      <w:sz w:val="22"/>
      <w:lang w:val="en-US"/>
    </w:rPr>
  </w:style>
  <w:style w:type="paragraph" w:customStyle="1" w:styleId="IOTCAgendaH1">
    <w:name w:val="IOTC Agenda H1"/>
    <w:basedOn w:val="IOTCHeading1"/>
    <w:next w:val="IOTC-Normal"/>
    <w:rsid w:val="002258A5"/>
    <w:pPr>
      <w:numPr>
        <w:numId w:val="18"/>
      </w:numPr>
      <w:spacing w:after="60"/>
    </w:pPr>
    <w:rPr>
      <w:color w:val="000000" w:themeColor="text1"/>
      <w:kern w:val="32"/>
      <w:lang w:val="en-GB"/>
    </w:rPr>
  </w:style>
  <w:style w:type="paragraph" w:customStyle="1" w:styleId="IOTCAgendaH2">
    <w:name w:val="IOTC Agenda H2"/>
    <w:basedOn w:val="IOTCHeading2"/>
    <w:next w:val="IOTC-Normal"/>
    <w:autoRedefine/>
    <w:rsid w:val="001979D0"/>
    <w:pPr>
      <w:numPr>
        <w:ilvl w:val="0"/>
        <w:numId w:val="0"/>
      </w:numPr>
      <w:spacing w:after="60"/>
      <w:ind w:left="1080" w:hanging="720"/>
      <w:jc w:val="both"/>
    </w:pPr>
    <w:rPr>
      <w:color w:val="000000" w:themeColor="text1"/>
      <w:kern w:val="0"/>
      <w:sz w:val="22"/>
      <w:lang w:val="en-US"/>
    </w:rPr>
  </w:style>
  <w:style w:type="paragraph" w:customStyle="1" w:styleId="IOTCAgendaH3">
    <w:name w:val="IOTC Agenda H3"/>
    <w:basedOn w:val="IOTCAgendaH2"/>
    <w:autoRedefine/>
    <w:rsid w:val="006B6899"/>
    <w:pPr>
      <w:ind w:right="58" w:firstLine="644"/>
      <w:outlineLvl w:val="2"/>
    </w:pPr>
    <w:rPr>
      <w:rFonts w:asciiTheme="minorHAnsi" w:eastAsia="Calibri" w:hAnsiTheme="minorHAnsi" w:cstheme="minorHAnsi"/>
      <w:lang w:val="en-AU"/>
    </w:rPr>
  </w:style>
  <w:style w:type="paragraph" w:customStyle="1" w:styleId="IOTCReport-AppendixHeading1Char">
    <w:name w:val="IOTC Report - Appendix Heading 1 Char"/>
    <w:basedOn w:val="BodyText"/>
    <w:link w:val="IOTCReport-AppendixHeading1CharChar1"/>
    <w:rsid w:val="00AF0888"/>
    <w:pPr>
      <w:keepNext/>
      <w:spacing w:after="80"/>
      <w:ind w:firstLine="720"/>
      <w:jc w:val="center"/>
      <w:outlineLvl w:val="0"/>
    </w:pPr>
    <w:rPr>
      <w:rFonts w:ascii="Times New Roman Bold" w:eastAsia="SimSun" w:hAnsi="Times New Roman Bold"/>
      <w:b/>
      <w:smallCaps/>
      <w:sz w:val="24"/>
      <w:szCs w:val="24"/>
    </w:rPr>
  </w:style>
  <w:style w:type="character" w:customStyle="1" w:styleId="IOTCReport-AppendixHeading1CharChar1">
    <w:name w:val="IOTC Report - Appendix Heading 1 Char Char1"/>
    <w:basedOn w:val="BodyTextChar"/>
    <w:link w:val="IOTCReport-AppendixHeading1Char"/>
    <w:rsid w:val="00570D7D"/>
    <w:rPr>
      <w:rFonts w:ascii="Times New Roman Bold" w:eastAsia="SimSun" w:hAnsi="Times New Roman Bold"/>
      <w:b/>
      <w:smallCaps/>
      <w:sz w:val="24"/>
      <w:szCs w:val="24"/>
      <w:lang w:eastAsia="fr-FR"/>
    </w:rPr>
  </w:style>
  <w:style w:type="character" w:customStyle="1" w:styleId="IOTCReport-AppendixHeading1CharChar">
    <w:name w:val="IOTC Report - Appendix Heading 1 Char Char"/>
    <w:basedOn w:val="DefaultParagraphFont"/>
    <w:rsid w:val="00570D7D"/>
    <w:rPr>
      <w:sz w:val="26"/>
    </w:rPr>
  </w:style>
  <w:style w:type="paragraph" w:styleId="PlainText">
    <w:name w:val="Plain Text"/>
    <w:basedOn w:val="Normal"/>
    <w:link w:val="PlainTextChar"/>
    <w:rsid w:val="00A058C3"/>
    <w:pPr>
      <w:widowControl w:val="0"/>
      <w:jc w:val="both"/>
    </w:pPr>
    <w:rPr>
      <w:rFonts w:ascii="MS Mincho" w:eastAsia="MS Mincho" w:hAnsi="Courier New"/>
      <w:kern w:val="2"/>
      <w:sz w:val="21"/>
      <w:lang w:eastAsia="ja-JP"/>
    </w:rPr>
  </w:style>
  <w:style w:type="character" w:styleId="Strong">
    <w:name w:val="Strong"/>
    <w:basedOn w:val="DefaultParagraphFont"/>
    <w:uiPriority w:val="22"/>
    <w:qFormat/>
    <w:rsid w:val="00A058C3"/>
    <w:rPr>
      <w:b/>
    </w:rPr>
  </w:style>
  <w:style w:type="paragraph" w:customStyle="1" w:styleId="plaintext11">
    <w:name w:val="plaintext11"/>
    <w:basedOn w:val="Normal"/>
    <w:rsid w:val="00A058C3"/>
    <w:pPr>
      <w:spacing w:before="100" w:beforeAutospacing="1" w:after="100" w:afterAutospacing="1"/>
    </w:pPr>
    <w:rPr>
      <w:rFonts w:ascii="Arial" w:eastAsia="Arial Unicode MS" w:hAnsi="Arial"/>
      <w:color w:val="000000"/>
      <w:sz w:val="17"/>
      <w:lang w:eastAsia="ja-JP"/>
    </w:rPr>
  </w:style>
  <w:style w:type="character" w:customStyle="1" w:styleId="subparttitle1">
    <w:name w:val="subparttitle1"/>
    <w:basedOn w:val="DefaultParagraphFont"/>
    <w:rsid w:val="00A058C3"/>
    <w:rPr>
      <w:rFonts w:ascii="Arial" w:hAnsi="Arial" w:hint="default"/>
      <w:b/>
      <w:color w:val="666666"/>
      <w:sz w:val="18"/>
    </w:rPr>
  </w:style>
  <w:style w:type="paragraph" w:styleId="NormalWeb">
    <w:name w:val="Normal (Web)"/>
    <w:basedOn w:val="Normal"/>
    <w:uiPriority w:val="99"/>
    <w:qFormat/>
    <w:rsid w:val="00A058C3"/>
    <w:pPr>
      <w:spacing w:before="100" w:beforeAutospacing="1" w:after="100" w:afterAutospacing="1"/>
    </w:pPr>
    <w:rPr>
      <w:rFonts w:ascii="Arial Unicode MS" w:eastAsia="Arial Unicode MS" w:hAnsi="Arial Unicode MS"/>
      <w:color w:val="000000"/>
      <w:lang w:eastAsia="ja-JP"/>
    </w:rPr>
  </w:style>
  <w:style w:type="paragraph" w:styleId="BodyTextIndent">
    <w:name w:val="Body Text Indent"/>
    <w:basedOn w:val="Normal"/>
    <w:link w:val="BodyTextIndentChar"/>
    <w:rsid w:val="00A058C3"/>
    <w:pPr>
      <w:spacing w:after="120"/>
      <w:ind w:left="360"/>
    </w:pPr>
  </w:style>
  <w:style w:type="character" w:customStyle="1" w:styleId="BodyTextIndentChar">
    <w:name w:val="Body Text Indent Char"/>
    <w:basedOn w:val="DefaultParagraphFont"/>
    <w:link w:val="BodyTextIndent"/>
    <w:rsid w:val="003D099A"/>
    <w:rPr>
      <w:rFonts w:eastAsia="Times New Roman"/>
      <w:sz w:val="22"/>
      <w:szCs w:val="22"/>
      <w:lang w:val="en-US" w:eastAsia="fr-FR"/>
    </w:rPr>
  </w:style>
  <w:style w:type="paragraph" w:styleId="BodyTextIndent2">
    <w:name w:val="Body Text Indent 2"/>
    <w:basedOn w:val="Normal"/>
    <w:link w:val="BodyTextIndent2Char"/>
    <w:rsid w:val="00A058C3"/>
    <w:pPr>
      <w:spacing w:after="120" w:line="480" w:lineRule="auto"/>
      <w:ind w:left="360"/>
    </w:pPr>
  </w:style>
  <w:style w:type="character" w:customStyle="1" w:styleId="BodyTextIndent2Char">
    <w:name w:val="Body Text Indent 2 Char"/>
    <w:basedOn w:val="DefaultParagraphFont"/>
    <w:link w:val="BodyTextIndent2"/>
    <w:rsid w:val="003D099A"/>
    <w:rPr>
      <w:rFonts w:eastAsia="Times New Roman"/>
      <w:sz w:val="22"/>
      <w:szCs w:val="22"/>
      <w:lang w:val="en-US" w:eastAsia="fr-FR"/>
    </w:rPr>
  </w:style>
  <w:style w:type="character" w:customStyle="1" w:styleId="CharChar">
    <w:name w:val="Char Char"/>
    <w:basedOn w:val="DefaultParagraphFont"/>
    <w:rsid w:val="00A058C3"/>
    <w:rPr>
      <w:noProof w:val="0"/>
      <w:sz w:val="24"/>
      <w:lang w:val="en-US"/>
    </w:rPr>
  </w:style>
  <w:style w:type="paragraph" w:customStyle="1" w:styleId="Figurelegend">
    <w:name w:val="Figure legend"/>
    <w:basedOn w:val="Normal"/>
    <w:next w:val="Tableheading"/>
    <w:rsid w:val="00A058C3"/>
    <w:pPr>
      <w:spacing w:before="240"/>
      <w:jc w:val="center"/>
    </w:pPr>
    <w:rPr>
      <w:rFonts w:ascii="Verdana" w:hAnsi="Verdana"/>
      <w:b/>
      <w:sz w:val="20"/>
    </w:rPr>
  </w:style>
  <w:style w:type="paragraph" w:customStyle="1" w:styleId="Tableheading">
    <w:name w:val="Table heading"/>
    <w:basedOn w:val="Normal"/>
    <w:next w:val="Figurelegend"/>
    <w:rsid w:val="00A058C3"/>
    <w:pPr>
      <w:keepNext/>
      <w:keepLines/>
      <w:spacing w:before="240"/>
      <w:jc w:val="center"/>
    </w:pPr>
    <w:rPr>
      <w:rFonts w:ascii="Verdana" w:hAnsi="Verdana"/>
      <w:b/>
      <w:sz w:val="20"/>
    </w:rPr>
  </w:style>
  <w:style w:type="paragraph" w:customStyle="1" w:styleId="Abstracttext">
    <w:name w:val="Abstract text"/>
    <w:basedOn w:val="Normal"/>
    <w:rsid w:val="00A058C3"/>
    <w:pPr>
      <w:pBdr>
        <w:top w:val="single" w:sz="4" w:space="1" w:color="auto"/>
        <w:left w:val="single" w:sz="4" w:space="4" w:color="auto"/>
        <w:bottom w:val="single" w:sz="4" w:space="1" w:color="auto"/>
        <w:right w:val="single" w:sz="4" w:space="4" w:color="auto"/>
      </w:pBdr>
      <w:spacing w:before="240"/>
    </w:pPr>
    <w:rPr>
      <w:rFonts w:ascii="Verdana" w:hAnsi="Verdana"/>
      <w:i/>
      <w:sz w:val="20"/>
    </w:rPr>
  </w:style>
  <w:style w:type="paragraph" w:customStyle="1" w:styleId="Abstracttitle">
    <w:name w:val="Abstract title"/>
    <w:basedOn w:val="Title"/>
    <w:rsid w:val="00A058C3"/>
    <w:pPr>
      <w:keepNext/>
      <w:spacing w:before="240"/>
    </w:pPr>
    <w:rPr>
      <w:b/>
      <w:i/>
      <w:caps/>
      <w:kern w:val="28"/>
      <w:sz w:val="22"/>
      <w:lang w:val="en-US"/>
    </w:rPr>
  </w:style>
  <w:style w:type="paragraph" w:customStyle="1" w:styleId="Bibliography1">
    <w:name w:val="Bibliography1"/>
    <w:basedOn w:val="Normal"/>
    <w:autoRedefine/>
    <w:rsid w:val="00A058C3"/>
    <w:pPr>
      <w:spacing w:before="240"/>
      <w:ind w:left="360" w:hanging="360"/>
    </w:pPr>
    <w:rPr>
      <w:rFonts w:ascii="Verdana" w:hAnsi="Verdana"/>
      <w:sz w:val="20"/>
    </w:rPr>
  </w:style>
  <w:style w:type="paragraph" w:customStyle="1" w:styleId="Tablelegend">
    <w:name w:val="Table legend"/>
    <w:basedOn w:val="Normal"/>
    <w:rsid w:val="00A058C3"/>
    <w:pPr>
      <w:keepNext/>
      <w:spacing w:after="120"/>
      <w:jc w:val="center"/>
    </w:pPr>
    <w:rPr>
      <w:rFonts w:ascii="Verdana" w:hAnsi="Verdana"/>
      <w:b/>
      <w:sz w:val="20"/>
    </w:rPr>
  </w:style>
  <w:style w:type="paragraph" w:customStyle="1" w:styleId="H3">
    <w:name w:val="H3"/>
    <w:basedOn w:val="H2"/>
    <w:next w:val="Normal"/>
    <w:rsid w:val="00A058C3"/>
    <w:pPr>
      <w:spacing w:before="60" w:beforeAutospacing="0"/>
      <w:ind w:left="720"/>
      <w:contextualSpacing/>
      <w:outlineLvl w:val="0"/>
    </w:pPr>
    <w:rPr>
      <w:b/>
      <w:kern w:val="28"/>
      <w:sz w:val="22"/>
    </w:rPr>
  </w:style>
  <w:style w:type="paragraph" w:styleId="List">
    <w:name w:val="List"/>
    <w:basedOn w:val="Normal"/>
    <w:rsid w:val="00A058C3"/>
    <w:pPr>
      <w:tabs>
        <w:tab w:val="num" w:pos="360"/>
      </w:tabs>
      <w:spacing w:before="120"/>
      <w:ind w:left="1080" w:hanging="360"/>
      <w:jc w:val="both"/>
    </w:pPr>
    <w:rPr>
      <w:rFonts w:ascii="Verdana" w:hAnsi="Verdana"/>
      <w:sz w:val="20"/>
    </w:rPr>
  </w:style>
  <w:style w:type="paragraph" w:customStyle="1" w:styleId="H4">
    <w:name w:val="H4"/>
    <w:basedOn w:val="Heading4"/>
    <w:next w:val="Normal"/>
    <w:rsid w:val="00A058C3"/>
    <w:pPr>
      <w:ind w:left="1440"/>
    </w:pPr>
    <w:rPr>
      <w:rFonts w:ascii="Verdana" w:hAnsi="Verdana"/>
      <w:i/>
      <w:sz w:val="22"/>
    </w:rPr>
  </w:style>
  <w:style w:type="paragraph" w:customStyle="1" w:styleId="Author">
    <w:name w:val="Author"/>
    <w:basedOn w:val="Normal"/>
    <w:next w:val="Abstracttitle"/>
    <w:rsid w:val="00A058C3"/>
    <w:pPr>
      <w:pBdr>
        <w:bottom w:val="single" w:sz="4" w:space="1" w:color="auto"/>
      </w:pBdr>
      <w:spacing w:before="240"/>
      <w:jc w:val="center"/>
    </w:pPr>
    <w:rPr>
      <w:rFonts w:ascii="Verdana" w:hAnsi="Verdana"/>
      <w:b/>
      <w:sz w:val="20"/>
    </w:rPr>
  </w:style>
  <w:style w:type="paragraph" w:customStyle="1" w:styleId="Tabletext">
    <w:name w:val="Table text"/>
    <w:basedOn w:val="Normal"/>
    <w:rsid w:val="00A058C3"/>
    <w:pPr>
      <w:keepNext/>
      <w:keepLines/>
    </w:pPr>
    <w:rPr>
      <w:rFonts w:ascii="Verdana" w:hAnsi="Verdana"/>
      <w:sz w:val="18"/>
    </w:rPr>
  </w:style>
  <w:style w:type="paragraph" w:customStyle="1" w:styleId="H5">
    <w:name w:val="H5"/>
    <w:basedOn w:val="Heading5"/>
    <w:next w:val="Normal"/>
    <w:rsid w:val="00A058C3"/>
    <w:pPr>
      <w:keepNext/>
    </w:pPr>
    <w:rPr>
      <w:rFonts w:ascii="Verdana" w:hAnsi="Verdana"/>
      <w:b w:val="0"/>
      <w:sz w:val="20"/>
    </w:rPr>
  </w:style>
  <w:style w:type="paragraph" w:customStyle="1" w:styleId="NJF">
    <w:name w:val="NJF"/>
    <w:basedOn w:val="Normal"/>
    <w:rsid w:val="00A058C3"/>
    <w:pPr>
      <w:autoSpaceDE w:val="0"/>
      <w:autoSpaceDN w:val="0"/>
      <w:adjustRightInd w:val="0"/>
      <w:jc w:val="both"/>
    </w:pPr>
    <w:rPr>
      <w:rFonts w:ascii="Verdana" w:hAnsi="Verdana"/>
      <w:lang w:val="fr-FR"/>
    </w:rPr>
  </w:style>
  <w:style w:type="paragraph" w:customStyle="1" w:styleId="Partlst">
    <w:name w:val="Partlst"/>
    <w:basedOn w:val="Normal"/>
    <w:rsid w:val="00A058C3"/>
    <w:rPr>
      <w:rFonts w:ascii="Verdana" w:hAnsi="Verdana"/>
      <w:sz w:val="20"/>
    </w:rPr>
  </w:style>
  <w:style w:type="paragraph" w:customStyle="1" w:styleId="IOTCListofParticipants">
    <w:name w:val="IOTC List of Participants"/>
    <w:basedOn w:val="Normal"/>
    <w:rsid w:val="00A058C3"/>
    <w:pPr>
      <w:keepLines/>
      <w:spacing w:before="120"/>
      <w:contextualSpacing/>
    </w:pPr>
    <w:rPr>
      <w:noProof/>
      <w:sz w:val="20"/>
    </w:rPr>
  </w:style>
  <w:style w:type="paragraph" w:customStyle="1" w:styleId="IOTC-Resolution">
    <w:name w:val="IOTC-Resolution"/>
    <w:basedOn w:val="IOTC-Normal"/>
    <w:rsid w:val="00A058C3"/>
    <w:pPr>
      <w:jc w:val="center"/>
    </w:pPr>
    <w:rPr>
      <w:b/>
      <w:smallCaps/>
    </w:rPr>
  </w:style>
  <w:style w:type="paragraph" w:customStyle="1" w:styleId="IOTCResolution">
    <w:name w:val="IOTC Resolution"/>
    <w:basedOn w:val="IOTCHeading2"/>
    <w:rsid w:val="00A058C3"/>
    <w:pPr>
      <w:ind w:left="720"/>
      <w:jc w:val="center"/>
    </w:pPr>
    <w:rPr>
      <w:i w:val="0"/>
      <w:smallCaps/>
    </w:rPr>
  </w:style>
  <w:style w:type="paragraph" w:customStyle="1" w:styleId="Norm">
    <w:name w:val="Norm"/>
    <w:basedOn w:val="Normal"/>
    <w:rsid w:val="00A058C3"/>
    <w:pPr>
      <w:jc w:val="both"/>
    </w:pPr>
    <w:rPr>
      <w:lang w:eastAsia="en-US"/>
    </w:rPr>
  </w:style>
  <w:style w:type="character" w:styleId="FollowedHyperlink">
    <w:name w:val="FollowedHyperlink"/>
    <w:basedOn w:val="DefaultParagraphFont"/>
    <w:rsid w:val="00A058C3"/>
    <w:rPr>
      <w:color w:val="800080"/>
      <w:u w:val="single"/>
    </w:rPr>
  </w:style>
  <w:style w:type="paragraph" w:customStyle="1" w:styleId="StyleIOTCNormalnumberedBefore12ptAfter12pt">
    <w:name w:val="Style IOTC Normal numbered + Before:  12 pt After:  12 pt"/>
    <w:basedOn w:val="Normal"/>
    <w:rsid w:val="00A058C3"/>
    <w:pPr>
      <w:tabs>
        <w:tab w:val="right" w:pos="432"/>
        <w:tab w:val="num" w:pos="720"/>
      </w:tabs>
      <w:ind w:left="720" w:hanging="360"/>
      <w:jc w:val="both"/>
    </w:pPr>
    <w:rPr>
      <w:szCs w:val="20"/>
    </w:rPr>
  </w:style>
  <w:style w:type="paragraph" w:customStyle="1" w:styleId="Text1">
    <w:name w:val="Text 1"/>
    <w:basedOn w:val="Normal"/>
    <w:rsid w:val="00A058C3"/>
    <w:pPr>
      <w:spacing w:after="240"/>
      <w:ind w:left="482"/>
      <w:jc w:val="both"/>
    </w:pPr>
    <w:rPr>
      <w:sz w:val="24"/>
      <w:szCs w:val="20"/>
      <w:lang w:eastAsia="en-US"/>
    </w:rPr>
  </w:style>
  <w:style w:type="paragraph" w:customStyle="1" w:styleId="NumPar1">
    <w:name w:val="NumPar 1"/>
    <w:basedOn w:val="Heading1"/>
    <w:next w:val="Text1"/>
    <w:rsid w:val="00A058C3"/>
    <w:pPr>
      <w:keepNext w:val="0"/>
      <w:tabs>
        <w:tab w:val="num" w:pos="480"/>
      </w:tabs>
      <w:spacing w:before="0" w:after="240"/>
      <w:ind w:left="480" w:hanging="480"/>
      <w:jc w:val="both"/>
      <w:outlineLvl w:val="9"/>
    </w:pPr>
    <w:rPr>
      <w:rFonts w:ascii="Times New Roman" w:hAnsi="Times New Roman" w:cs="Times New Roman"/>
      <w:b w:val="0"/>
      <w:bCs w:val="0"/>
      <w:kern w:val="0"/>
      <w:sz w:val="24"/>
      <w:szCs w:val="20"/>
      <w:lang w:eastAsia="en-US"/>
    </w:rPr>
  </w:style>
  <w:style w:type="paragraph" w:customStyle="1" w:styleId="ListBullet1">
    <w:name w:val="List Bullet 1"/>
    <w:basedOn w:val="Text1"/>
    <w:rsid w:val="00A058C3"/>
    <w:pPr>
      <w:tabs>
        <w:tab w:val="num" w:pos="765"/>
      </w:tabs>
      <w:ind w:left="765" w:hanging="283"/>
    </w:pPr>
  </w:style>
  <w:style w:type="paragraph" w:customStyle="1" w:styleId="ListDash1">
    <w:name w:val="List Dash 1"/>
    <w:basedOn w:val="Text1"/>
    <w:rsid w:val="00A058C3"/>
    <w:pPr>
      <w:tabs>
        <w:tab w:val="num" w:pos="765"/>
      </w:tabs>
      <w:ind w:left="765" w:hanging="283"/>
    </w:pPr>
  </w:style>
  <w:style w:type="paragraph" w:customStyle="1" w:styleId="Text2">
    <w:name w:val="Text 2"/>
    <w:basedOn w:val="Normal"/>
    <w:rsid w:val="00A058C3"/>
    <w:pPr>
      <w:tabs>
        <w:tab w:val="left" w:pos="2302"/>
      </w:tabs>
      <w:overflowPunct w:val="0"/>
      <w:autoSpaceDE w:val="0"/>
      <w:autoSpaceDN w:val="0"/>
      <w:adjustRightInd w:val="0"/>
      <w:spacing w:after="240"/>
      <w:ind w:left="1202"/>
      <w:jc w:val="both"/>
      <w:textAlignment w:val="baseline"/>
    </w:pPr>
    <w:rPr>
      <w:rFonts w:eastAsia="MS Mincho"/>
      <w:sz w:val="24"/>
      <w:szCs w:val="20"/>
      <w:lang w:eastAsia="ja-JP"/>
    </w:rPr>
  </w:style>
  <w:style w:type="paragraph" w:customStyle="1" w:styleId="Resolutions">
    <w:name w:val="Resolutions"/>
    <w:basedOn w:val="IOTCReport-AppendixHeading1Char"/>
    <w:rsid w:val="00A058C3"/>
    <w:pPr>
      <w:ind w:firstLine="0"/>
      <w:outlineLvl w:val="2"/>
    </w:pPr>
    <w:rPr>
      <w:rFonts w:eastAsia="Times New Roman"/>
      <w:noProof/>
      <w:lang w:eastAsia="en-US"/>
    </w:rPr>
  </w:style>
  <w:style w:type="paragraph" w:customStyle="1" w:styleId="NumPar2">
    <w:name w:val="NumPar 2"/>
    <w:basedOn w:val="Heading2"/>
    <w:next w:val="Text2"/>
    <w:rsid w:val="00A058C3"/>
    <w:pPr>
      <w:keepNext w:val="0"/>
      <w:tabs>
        <w:tab w:val="num" w:pos="850"/>
      </w:tabs>
      <w:spacing w:before="0" w:after="240"/>
      <w:ind w:left="850" w:hanging="850"/>
      <w:jc w:val="both"/>
      <w:outlineLvl w:val="9"/>
    </w:pPr>
    <w:rPr>
      <w:rFonts w:ascii="Times New Roman" w:hAnsi="Times New Roman" w:cs="Times New Roman"/>
      <w:b w:val="0"/>
      <w:bCs w:val="0"/>
      <w:i w:val="0"/>
      <w:iCs w:val="0"/>
      <w:sz w:val="24"/>
      <w:szCs w:val="20"/>
      <w:lang w:eastAsia="en-US"/>
    </w:rPr>
  </w:style>
  <w:style w:type="paragraph" w:customStyle="1" w:styleId="NumPar3">
    <w:name w:val="NumPar 3"/>
    <w:basedOn w:val="Heading3"/>
    <w:next w:val="Normal"/>
    <w:rsid w:val="00A058C3"/>
    <w:pPr>
      <w:keepNext w:val="0"/>
      <w:tabs>
        <w:tab w:val="num" w:pos="850"/>
      </w:tabs>
      <w:spacing w:before="0" w:after="240"/>
      <w:ind w:left="850" w:hanging="850"/>
      <w:jc w:val="both"/>
      <w:outlineLvl w:val="9"/>
    </w:pPr>
    <w:rPr>
      <w:rFonts w:ascii="Times New Roman" w:hAnsi="Times New Roman"/>
      <w:b w:val="0"/>
      <w:sz w:val="24"/>
      <w:szCs w:val="20"/>
      <w:lang w:eastAsia="en-US"/>
    </w:rPr>
  </w:style>
  <w:style w:type="paragraph" w:customStyle="1" w:styleId="NumPar4">
    <w:name w:val="NumPar 4"/>
    <w:basedOn w:val="Heading4"/>
    <w:next w:val="Normal"/>
    <w:rsid w:val="00A058C3"/>
    <w:pPr>
      <w:keepNext w:val="0"/>
      <w:tabs>
        <w:tab w:val="num" w:pos="850"/>
      </w:tabs>
      <w:spacing w:before="0" w:after="240"/>
      <w:ind w:left="850" w:hanging="850"/>
      <w:jc w:val="both"/>
      <w:outlineLvl w:val="9"/>
    </w:pPr>
    <w:rPr>
      <w:b w:val="0"/>
      <w:sz w:val="24"/>
      <w:szCs w:val="20"/>
      <w:lang w:eastAsia="en-US"/>
    </w:rPr>
  </w:style>
  <w:style w:type="paragraph" w:customStyle="1" w:styleId="ListDash">
    <w:name w:val="List Dash"/>
    <w:basedOn w:val="Normal"/>
    <w:rsid w:val="00A058C3"/>
    <w:pPr>
      <w:tabs>
        <w:tab w:val="num" w:pos="283"/>
      </w:tabs>
      <w:spacing w:after="240"/>
      <w:ind w:left="283" w:hanging="283"/>
      <w:jc w:val="both"/>
    </w:pPr>
    <w:rPr>
      <w:sz w:val="24"/>
      <w:szCs w:val="20"/>
      <w:lang w:eastAsia="en-US"/>
    </w:rPr>
  </w:style>
  <w:style w:type="paragraph" w:customStyle="1" w:styleId="PartTitle">
    <w:name w:val="PartTitle"/>
    <w:basedOn w:val="Normal"/>
    <w:next w:val="Normal"/>
    <w:rsid w:val="00A058C3"/>
    <w:pPr>
      <w:keepNext/>
      <w:pageBreakBefore/>
      <w:spacing w:after="480"/>
      <w:jc w:val="center"/>
    </w:pPr>
    <w:rPr>
      <w:rFonts w:eastAsia="MS Mincho"/>
      <w:b/>
      <w:sz w:val="36"/>
      <w:szCs w:val="20"/>
      <w:lang w:eastAsia="en-US"/>
    </w:rPr>
  </w:style>
  <w:style w:type="paragraph" w:customStyle="1" w:styleId="PP">
    <w:name w:val="PP"/>
    <w:basedOn w:val="Normal"/>
    <w:rsid w:val="00A058C3"/>
    <w:pPr>
      <w:spacing w:after="120" w:line="240" w:lineRule="atLeast"/>
      <w:jc w:val="both"/>
    </w:pPr>
  </w:style>
  <w:style w:type="character" w:customStyle="1" w:styleId="PPChar">
    <w:name w:val="PP Char"/>
    <w:basedOn w:val="DefaultParagraphFont"/>
    <w:rsid w:val="00A058C3"/>
    <w:rPr>
      <w:sz w:val="22"/>
      <w:szCs w:val="22"/>
      <w:lang w:val="en-GB" w:eastAsia="fr-FR" w:bidi="ar-SA"/>
    </w:rPr>
  </w:style>
  <w:style w:type="paragraph" w:customStyle="1" w:styleId="Style1">
    <w:name w:val="Style1"/>
    <w:basedOn w:val="IOTC-Normal"/>
    <w:rsid w:val="00A058C3"/>
  </w:style>
  <w:style w:type="character" w:styleId="HTMLAcronym">
    <w:name w:val="HTML Acronym"/>
    <w:basedOn w:val="DefaultParagraphFont"/>
    <w:uiPriority w:val="99"/>
    <w:unhideWhenUsed/>
    <w:rsid w:val="00DD486B"/>
  </w:style>
  <w:style w:type="paragraph" w:customStyle="1" w:styleId="IOTCNormalnumbered">
    <w:name w:val="IOTC Normal numbered"/>
    <w:basedOn w:val="Normal"/>
    <w:rsid w:val="00A058C3"/>
    <w:pPr>
      <w:tabs>
        <w:tab w:val="num" w:pos="864"/>
      </w:tabs>
      <w:ind w:left="864" w:hanging="144"/>
    </w:pPr>
  </w:style>
  <w:style w:type="paragraph" w:customStyle="1" w:styleId="IOTCReportNormalNumberedAnnex">
    <w:name w:val="IOTC Report Normal Numbered Annex"/>
    <w:uiPriority w:val="99"/>
    <w:rsid w:val="00A058C3"/>
    <w:rPr>
      <w:rFonts w:eastAsia="Times New Roman"/>
      <w:snapToGrid w:val="0"/>
      <w:sz w:val="22"/>
      <w:lang w:eastAsia="en-US"/>
    </w:rPr>
  </w:style>
  <w:style w:type="paragraph" w:customStyle="1" w:styleId="IOTC-Resolution-Numbered">
    <w:name w:val="IOTC-Resolution-Numbered"/>
    <w:rsid w:val="00A058C3"/>
    <w:pPr>
      <w:widowControl w:val="0"/>
      <w:tabs>
        <w:tab w:val="num" w:pos="720"/>
      </w:tabs>
      <w:spacing w:after="120"/>
      <w:ind w:left="720" w:hanging="360"/>
    </w:pPr>
    <w:rPr>
      <w:rFonts w:eastAsia="Times New Roman"/>
      <w:sz w:val="22"/>
      <w:szCs w:val="22"/>
      <w:lang w:val="en-AU" w:eastAsia="fr-FR"/>
    </w:rPr>
  </w:style>
  <w:style w:type="character" w:styleId="FootnoteReference">
    <w:name w:val="footnote reference"/>
    <w:basedOn w:val="DefaultParagraphFont"/>
    <w:rsid w:val="00A058C3"/>
    <w:rPr>
      <w:vertAlign w:val="superscript"/>
    </w:rPr>
  </w:style>
  <w:style w:type="paragraph" w:styleId="BalloonText">
    <w:name w:val="Balloon Text"/>
    <w:basedOn w:val="Normal"/>
    <w:link w:val="BalloonTextChar"/>
    <w:semiHidden/>
    <w:rsid w:val="00A058C3"/>
    <w:rPr>
      <w:rFonts w:ascii="Tahoma" w:hAnsi="Tahoma" w:cs="Tahoma"/>
      <w:sz w:val="16"/>
      <w:szCs w:val="16"/>
    </w:rPr>
  </w:style>
  <w:style w:type="character" w:customStyle="1" w:styleId="BalloonTextChar">
    <w:name w:val="Balloon Text Char"/>
    <w:basedOn w:val="DefaultParagraphFont"/>
    <w:link w:val="BalloonText"/>
    <w:semiHidden/>
    <w:rsid w:val="003D099A"/>
    <w:rPr>
      <w:rFonts w:ascii="Tahoma" w:eastAsia="Times New Roman" w:hAnsi="Tahoma" w:cs="Tahoma"/>
      <w:sz w:val="16"/>
      <w:szCs w:val="16"/>
      <w:lang w:eastAsia="fr-FR"/>
    </w:rPr>
  </w:style>
  <w:style w:type="paragraph" w:customStyle="1" w:styleId="hhh">
    <w:name w:val="hhh"/>
    <w:basedOn w:val="Normal"/>
    <w:rsid w:val="00A058C3"/>
    <w:pPr>
      <w:spacing w:before="180" w:after="120" w:line="360" w:lineRule="auto"/>
      <w:jc w:val="center"/>
    </w:pPr>
    <w:rPr>
      <w:rFonts w:ascii="Times New Roman (PCL6)" w:hAnsi="Times New Roman (PCL6)"/>
      <w:b/>
      <w:color w:val="000000"/>
      <w:sz w:val="32"/>
      <w:szCs w:val="20"/>
      <w:lang w:val="pt-BR" w:eastAsia="en-US"/>
    </w:rPr>
  </w:style>
  <w:style w:type="paragraph" w:styleId="FootnoteText">
    <w:name w:val="footnote text"/>
    <w:basedOn w:val="Normal"/>
    <w:link w:val="FootnoteTextChar"/>
    <w:rsid w:val="00A058C3"/>
    <w:pPr>
      <w:keepNext/>
      <w:keepLines/>
      <w:spacing w:before="120"/>
    </w:pPr>
    <w:rPr>
      <w:sz w:val="20"/>
      <w:szCs w:val="20"/>
      <w:lang w:eastAsia="en-US"/>
    </w:rPr>
  </w:style>
  <w:style w:type="character" w:customStyle="1" w:styleId="FootnoteTextChar">
    <w:name w:val="Footnote Text Char"/>
    <w:basedOn w:val="DefaultParagraphFont"/>
    <w:link w:val="FootnoteText"/>
    <w:rsid w:val="0014336C"/>
    <w:rPr>
      <w:rFonts w:eastAsia="Times New Roman"/>
      <w:lang w:eastAsia="en-US"/>
    </w:rPr>
  </w:style>
  <w:style w:type="paragraph" w:styleId="ListBullet">
    <w:name w:val="List Bullet"/>
    <w:basedOn w:val="Normal"/>
    <w:autoRedefine/>
    <w:rsid w:val="00A058C3"/>
    <w:pPr>
      <w:spacing w:before="120"/>
      <w:ind w:left="360"/>
      <w:jc w:val="both"/>
    </w:pPr>
    <w:rPr>
      <w:szCs w:val="20"/>
      <w:lang w:eastAsia="en-US"/>
    </w:rPr>
  </w:style>
  <w:style w:type="paragraph" w:styleId="ListNumber">
    <w:name w:val="List Number"/>
    <w:basedOn w:val="Normal"/>
    <w:rsid w:val="00A058C3"/>
    <w:pPr>
      <w:tabs>
        <w:tab w:val="num" w:pos="360"/>
      </w:tabs>
      <w:spacing w:before="120"/>
      <w:ind w:left="360" w:hanging="360"/>
    </w:pPr>
    <w:rPr>
      <w:szCs w:val="20"/>
      <w:lang w:eastAsia="en-US"/>
    </w:rPr>
  </w:style>
  <w:style w:type="paragraph" w:customStyle="1" w:styleId="ListDash2">
    <w:name w:val="List Dash 2"/>
    <w:basedOn w:val="Normal"/>
    <w:rsid w:val="00A058C3"/>
    <w:pPr>
      <w:tabs>
        <w:tab w:val="num" w:pos="1485"/>
      </w:tabs>
      <w:spacing w:after="240"/>
      <w:ind w:left="1485" w:hanging="283"/>
      <w:jc w:val="both"/>
    </w:pPr>
    <w:rPr>
      <w:sz w:val="24"/>
      <w:szCs w:val="20"/>
      <w:lang w:eastAsia="en-US"/>
    </w:rPr>
  </w:style>
  <w:style w:type="paragraph" w:customStyle="1" w:styleId="NoteHead">
    <w:name w:val="NoteHead"/>
    <w:basedOn w:val="Normal"/>
    <w:next w:val="Normal"/>
    <w:rsid w:val="00A058C3"/>
    <w:pPr>
      <w:spacing w:before="720" w:after="720"/>
      <w:jc w:val="center"/>
    </w:pPr>
    <w:rPr>
      <w:b/>
      <w:smallCaps/>
      <w:sz w:val="24"/>
      <w:szCs w:val="20"/>
      <w:lang w:eastAsia="en-US"/>
    </w:rPr>
  </w:style>
  <w:style w:type="character" w:styleId="CommentReference">
    <w:name w:val="annotation reference"/>
    <w:basedOn w:val="DefaultParagraphFont"/>
    <w:uiPriority w:val="99"/>
    <w:qFormat/>
    <w:rsid w:val="00A058C3"/>
    <w:rPr>
      <w:sz w:val="18"/>
    </w:rPr>
  </w:style>
  <w:style w:type="paragraph" w:styleId="CommentText">
    <w:name w:val="annotation text"/>
    <w:basedOn w:val="Normal"/>
    <w:link w:val="CommentTextChar"/>
    <w:rsid w:val="00A058C3"/>
    <w:rPr>
      <w:sz w:val="24"/>
      <w:szCs w:val="24"/>
    </w:rPr>
  </w:style>
  <w:style w:type="paragraph" w:styleId="CommentSubject">
    <w:name w:val="annotation subject"/>
    <w:basedOn w:val="CommentText"/>
    <w:next w:val="CommentText"/>
    <w:rsid w:val="00A058C3"/>
    <w:rPr>
      <w:sz w:val="22"/>
      <w:szCs w:val="22"/>
    </w:rPr>
  </w:style>
  <w:style w:type="paragraph" w:styleId="EnvelopeReturn">
    <w:name w:val="envelope return"/>
    <w:basedOn w:val="Normal"/>
    <w:rsid w:val="00A058C3"/>
    <w:pPr>
      <w:spacing w:before="120"/>
    </w:pPr>
    <w:rPr>
      <w:rFonts w:ascii="Arial" w:hAnsi="Arial"/>
      <w:i/>
      <w:sz w:val="18"/>
      <w:szCs w:val="20"/>
      <w:lang w:eastAsia="en-US"/>
    </w:rPr>
  </w:style>
  <w:style w:type="paragraph" w:customStyle="1" w:styleId="hh">
    <w:name w:val="hh"/>
    <w:rsid w:val="00A058C3"/>
    <w:pPr>
      <w:spacing w:line="720" w:lineRule="exact"/>
    </w:pPr>
    <w:rPr>
      <w:rFonts w:ascii="Bookman Old Style" w:eastAsia="Times New Roman" w:hAnsi="Bookman Old Style"/>
      <w:b/>
      <w:color w:val="000000"/>
      <w:sz w:val="72"/>
      <w:lang w:val="pt-BR" w:eastAsia="en-US"/>
    </w:rPr>
  </w:style>
  <w:style w:type="character" w:customStyle="1" w:styleId="MTEquationSection">
    <w:name w:val="MTEquationSection"/>
    <w:basedOn w:val="DefaultParagraphFont"/>
    <w:rsid w:val="00A058C3"/>
    <w:rPr>
      <w:vanish w:val="0"/>
      <w:color w:val="FF0000"/>
    </w:rPr>
  </w:style>
  <w:style w:type="paragraph" w:customStyle="1" w:styleId="font5">
    <w:name w:val="font5"/>
    <w:basedOn w:val="Normal"/>
    <w:rsid w:val="00A058C3"/>
    <w:pPr>
      <w:spacing w:before="100" w:beforeAutospacing="1" w:after="100" w:afterAutospacing="1"/>
    </w:pPr>
    <w:rPr>
      <w:rFonts w:ascii="Tahoma" w:hAnsi="Tahoma" w:cs="Tahoma"/>
      <w:color w:val="000000"/>
      <w:sz w:val="16"/>
      <w:szCs w:val="16"/>
      <w:lang w:eastAsia="en-US"/>
    </w:rPr>
  </w:style>
  <w:style w:type="paragraph" w:customStyle="1" w:styleId="font6">
    <w:name w:val="font6"/>
    <w:basedOn w:val="Normal"/>
    <w:rsid w:val="00A058C3"/>
    <w:pPr>
      <w:spacing w:before="100" w:beforeAutospacing="1" w:after="100" w:afterAutospacing="1"/>
    </w:pPr>
    <w:rPr>
      <w:rFonts w:ascii="Tahoma" w:hAnsi="Tahoma" w:cs="Tahoma"/>
      <w:b/>
      <w:bCs/>
      <w:color w:val="000000"/>
      <w:sz w:val="16"/>
      <w:szCs w:val="16"/>
      <w:lang w:eastAsia="en-US"/>
    </w:rPr>
  </w:style>
  <w:style w:type="paragraph" w:styleId="BlockText">
    <w:name w:val="Block Text"/>
    <w:basedOn w:val="Normal"/>
    <w:rsid w:val="00A058C3"/>
    <w:pPr>
      <w:spacing w:before="120"/>
      <w:ind w:left="1440" w:right="1440"/>
    </w:pPr>
    <w:rPr>
      <w:szCs w:val="20"/>
      <w:lang w:eastAsia="en-US"/>
    </w:rPr>
  </w:style>
  <w:style w:type="paragraph" w:styleId="BodyText3">
    <w:name w:val="Body Text 3"/>
    <w:basedOn w:val="Normal"/>
    <w:rsid w:val="00A058C3"/>
    <w:pPr>
      <w:spacing w:before="120"/>
    </w:pPr>
    <w:rPr>
      <w:sz w:val="16"/>
      <w:szCs w:val="16"/>
      <w:lang w:eastAsia="en-US"/>
    </w:rPr>
  </w:style>
  <w:style w:type="paragraph" w:styleId="BodyTextFirstIndent">
    <w:name w:val="Body Text First Indent"/>
    <w:basedOn w:val="BodyText"/>
    <w:link w:val="BodyTextFirstIndentChar"/>
    <w:rsid w:val="00A058C3"/>
    <w:pPr>
      <w:spacing w:before="120"/>
      <w:ind w:firstLine="210"/>
    </w:pPr>
    <w:rPr>
      <w:szCs w:val="20"/>
      <w:lang w:eastAsia="en-US"/>
    </w:rPr>
  </w:style>
  <w:style w:type="paragraph" w:styleId="BodyTextFirstIndent2">
    <w:name w:val="Body Text First Indent 2"/>
    <w:basedOn w:val="BodyTextIndent"/>
    <w:rsid w:val="00A058C3"/>
    <w:pPr>
      <w:spacing w:before="120" w:after="0"/>
      <w:ind w:left="283" w:firstLine="210"/>
    </w:pPr>
    <w:rPr>
      <w:szCs w:val="20"/>
      <w:lang w:eastAsia="en-US"/>
    </w:rPr>
  </w:style>
  <w:style w:type="paragraph" w:styleId="BodyTextIndent3">
    <w:name w:val="Body Text Indent 3"/>
    <w:basedOn w:val="Normal"/>
    <w:rsid w:val="00A058C3"/>
    <w:pPr>
      <w:spacing w:before="120"/>
      <w:ind w:left="283"/>
    </w:pPr>
    <w:rPr>
      <w:sz w:val="16"/>
      <w:szCs w:val="16"/>
      <w:lang w:eastAsia="en-US"/>
    </w:rPr>
  </w:style>
  <w:style w:type="paragraph" w:styleId="Closing">
    <w:name w:val="Closing"/>
    <w:basedOn w:val="Normal"/>
    <w:rsid w:val="00A058C3"/>
    <w:pPr>
      <w:spacing w:before="120"/>
      <w:ind w:left="4252"/>
    </w:pPr>
    <w:rPr>
      <w:szCs w:val="20"/>
      <w:lang w:eastAsia="en-US"/>
    </w:rPr>
  </w:style>
  <w:style w:type="paragraph" w:styleId="Date">
    <w:name w:val="Date"/>
    <w:basedOn w:val="Normal"/>
    <w:next w:val="Normal"/>
    <w:link w:val="DateChar"/>
    <w:rsid w:val="00A058C3"/>
    <w:pPr>
      <w:spacing w:before="120"/>
    </w:pPr>
    <w:rPr>
      <w:szCs w:val="20"/>
      <w:lang w:eastAsia="en-US"/>
    </w:rPr>
  </w:style>
  <w:style w:type="paragraph" w:styleId="E-mailSignature">
    <w:name w:val="E-mail Signature"/>
    <w:basedOn w:val="Normal"/>
    <w:rsid w:val="00A058C3"/>
    <w:pPr>
      <w:spacing w:before="120"/>
    </w:pPr>
    <w:rPr>
      <w:szCs w:val="20"/>
      <w:lang w:eastAsia="en-US"/>
    </w:rPr>
  </w:style>
  <w:style w:type="paragraph" w:styleId="EnvelopeAddress">
    <w:name w:val="envelope address"/>
    <w:basedOn w:val="Normal"/>
    <w:rsid w:val="00A058C3"/>
    <w:pPr>
      <w:framePr w:w="7920" w:h="1980" w:hRule="exact" w:hSpace="180" w:wrap="auto" w:hAnchor="page" w:xAlign="center" w:yAlign="bottom"/>
      <w:spacing w:before="120"/>
      <w:ind w:left="2880"/>
    </w:pPr>
    <w:rPr>
      <w:rFonts w:ascii="Arial" w:hAnsi="Arial" w:cs="Arial"/>
      <w:sz w:val="24"/>
      <w:szCs w:val="24"/>
      <w:lang w:eastAsia="en-US"/>
    </w:rPr>
  </w:style>
  <w:style w:type="paragraph" w:styleId="HTMLAddress">
    <w:name w:val="HTML Address"/>
    <w:basedOn w:val="Normal"/>
    <w:link w:val="HTMLAddressChar"/>
    <w:rsid w:val="00A058C3"/>
    <w:pPr>
      <w:spacing w:before="120"/>
    </w:pPr>
    <w:rPr>
      <w:i/>
      <w:iCs/>
      <w:szCs w:val="20"/>
      <w:lang w:eastAsia="en-US"/>
    </w:rPr>
  </w:style>
  <w:style w:type="paragraph" w:styleId="HTMLPreformatted">
    <w:name w:val="HTML Preformatted"/>
    <w:basedOn w:val="Normal"/>
    <w:link w:val="HTMLPreformattedChar"/>
    <w:uiPriority w:val="99"/>
    <w:rsid w:val="00A058C3"/>
    <w:pPr>
      <w:spacing w:before="120"/>
    </w:pPr>
    <w:rPr>
      <w:rFonts w:ascii="Courier New" w:hAnsi="Courier New" w:cs="Courier New"/>
      <w:sz w:val="20"/>
      <w:szCs w:val="20"/>
      <w:lang w:eastAsia="en-US"/>
    </w:rPr>
  </w:style>
  <w:style w:type="paragraph" w:styleId="List2">
    <w:name w:val="List 2"/>
    <w:basedOn w:val="Normal"/>
    <w:rsid w:val="00A058C3"/>
    <w:pPr>
      <w:spacing w:before="120"/>
      <w:ind w:left="566" w:hanging="283"/>
    </w:pPr>
    <w:rPr>
      <w:szCs w:val="20"/>
      <w:lang w:eastAsia="en-US"/>
    </w:rPr>
  </w:style>
  <w:style w:type="paragraph" w:styleId="List3">
    <w:name w:val="List 3"/>
    <w:basedOn w:val="Normal"/>
    <w:rsid w:val="00A058C3"/>
    <w:pPr>
      <w:spacing w:before="120"/>
      <w:ind w:left="849" w:hanging="283"/>
    </w:pPr>
    <w:rPr>
      <w:szCs w:val="20"/>
      <w:lang w:eastAsia="en-US"/>
    </w:rPr>
  </w:style>
  <w:style w:type="paragraph" w:styleId="List4">
    <w:name w:val="List 4"/>
    <w:basedOn w:val="Normal"/>
    <w:rsid w:val="00A058C3"/>
    <w:pPr>
      <w:spacing w:before="120"/>
      <w:ind w:left="1132" w:hanging="283"/>
    </w:pPr>
    <w:rPr>
      <w:szCs w:val="20"/>
      <w:lang w:eastAsia="en-US"/>
    </w:rPr>
  </w:style>
  <w:style w:type="paragraph" w:styleId="List5">
    <w:name w:val="List 5"/>
    <w:basedOn w:val="Normal"/>
    <w:rsid w:val="00A058C3"/>
    <w:pPr>
      <w:spacing w:before="120"/>
      <w:ind w:left="1415" w:hanging="283"/>
    </w:pPr>
    <w:rPr>
      <w:szCs w:val="20"/>
      <w:lang w:eastAsia="en-US"/>
    </w:rPr>
  </w:style>
  <w:style w:type="paragraph" w:styleId="ListBullet2">
    <w:name w:val="List Bullet 2"/>
    <w:basedOn w:val="Normal"/>
    <w:autoRedefine/>
    <w:rsid w:val="00A058C3"/>
    <w:pPr>
      <w:tabs>
        <w:tab w:val="num" w:pos="1056"/>
      </w:tabs>
      <w:spacing w:before="120"/>
      <w:ind w:left="1056" w:hanging="360"/>
    </w:pPr>
    <w:rPr>
      <w:szCs w:val="20"/>
      <w:lang w:eastAsia="en-US"/>
    </w:rPr>
  </w:style>
  <w:style w:type="paragraph" w:styleId="ListBullet3">
    <w:name w:val="List Bullet 3"/>
    <w:basedOn w:val="Normal"/>
    <w:autoRedefine/>
    <w:rsid w:val="00A058C3"/>
    <w:pPr>
      <w:tabs>
        <w:tab w:val="num" w:pos="360"/>
      </w:tabs>
      <w:spacing w:before="120"/>
      <w:ind w:left="216" w:hanging="216"/>
    </w:pPr>
    <w:rPr>
      <w:szCs w:val="20"/>
      <w:lang w:eastAsia="en-US"/>
    </w:rPr>
  </w:style>
  <w:style w:type="paragraph" w:styleId="ListBullet4">
    <w:name w:val="List Bullet 4"/>
    <w:basedOn w:val="Normal"/>
    <w:autoRedefine/>
    <w:rsid w:val="00A058C3"/>
    <w:pPr>
      <w:tabs>
        <w:tab w:val="num" w:pos="288"/>
      </w:tabs>
      <w:spacing w:before="120"/>
      <w:ind w:left="288" w:hanging="288"/>
    </w:pPr>
    <w:rPr>
      <w:szCs w:val="20"/>
      <w:lang w:eastAsia="en-US"/>
    </w:rPr>
  </w:style>
  <w:style w:type="paragraph" w:styleId="ListBullet5">
    <w:name w:val="List Bullet 5"/>
    <w:basedOn w:val="Normal"/>
    <w:autoRedefine/>
    <w:rsid w:val="00A058C3"/>
    <w:pPr>
      <w:tabs>
        <w:tab w:val="num" w:pos="360"/>
      </w:tabs>
      <w:spacing w:before="120"/>
      <w:ind w:left="360" w:hanging="360"/>
    </w:pPr>
    <w:rPr>
      <w:szCs w:val="20"/>
      <w:lang w:eastAsia="en-US"/>
    </w:rPr>
  </w:style>
  <w:style w:type="paragraph" w:styleId="ListContinue">
    <w:name w:val="List Continue"/>
    <w:basedOn w:val="Normal"/>
    <w:rsid w:val="00A058C3"/>
    <w:pPr>
      <w:spacing w:before="120"/>
      <w:ind w:left="283"/>
    </w:pPr>
    <w:rPr>
      <w:szCs w:val="20"/>
      <w:lang w:eastAsia="en-US"/>
    </w:rPr>
  </w:style>
  <w:style w:type="paragraph" w:styleId="ListContinue2">
    <w:name w:val="List Continue 2"/>
    <w:basedOn w:val="Normal"/>
    <w:rsid w:val="00A058C3"/>
    <w:pPr>
      <w:spacing w:before="120"/>
      <w:ind w:left="566"/>
    </w:pPr>
    <w:rPr>
      <w:szCs w:val="20"/>
      <w:lang w:eastAsia="en-US"/>
    </w:rPr>
  </w:style>
  <w:style w:type="paragraph" w:styleId="ListContinue3">
    <w:name w:val="List Continue 3"/>
    <w:basedOn w:val="Normal"/>
    <w:rsid w:val="00A058C3"/>
    <w:pPr>
      <w:spacing w:before="120"/>
      <w:ind w:left="849"/>
    </w:pPr>
    <w:rPr>
      <w:szCs w:val="20"/>
      <w:lang w:eastAsia="en-US"/>
    </w:rPr>
  </w:style>
  <w:style w:type="paragraph" w:styleId="ListContinue4">
    <w:name w:val="List Continue 4"/>
    <w:basedOn w:val="Normal"/>
    <w:rsid w:val="00A058C3"/>
    <w:pPr>
      <w:spacing w:before="120"/>
      <w:ind w:left="1132"/>
    </w:pPr>
    <w:rPr>
      <w:szCs w:val="20"/>
      <w:lang w:eastAsia="en-US"/>
    </w:rPr>
  </w:style>
  <w:style w:type="paragraph" w:styleId="ListContinue5">
    <w:name w:val="List Continue 5"/>
    <w:basedOn w:val="Normal"/>
    <w:rsid w:val="00A058C3"/>
    <w:pPr>
      <w:spacing w:before="120"/>
      <w:ind w:left="1415"/>
    </w:pPr>
    <w:rPr>
      <w:szCs w:val="20"/>
      <w:lang w:eastAsia="en-US"/>
    </w:rPr>
  </w:style>
  <w:style w:type="paragraph" w:styleId="ListNumber2">
    <w:name w:val="List Number 2"/>
    <w:basedOn w:val="Normal"/>
    <w:rsid w:val="00A058C3"/>
    <w:pPr>
      <w:tabs>
        <w:tab w:val="num" w:pos="765"/>
      </w:tabs>
      <w:spacing w:before="120"/>
      <w:ind w:left="765" w:hanging="283"/>
    </w:pPr>
    <w:rPr>
      <w:szCs w:val="20"/>
      <w:lang w:eastAsia="en-US"/>
    </w:rPr>
  </w:style>
  <w:style w:type="paragraph" w:styleId="ListNumber3">
    <w:name w:val="List Number 3"/>
    <w:basedOn w:val="Normal"/>
    <w:rsid w:val="00A058C3"/>
    <w:pPr>
      <w:tabs>
        <w:tab w:val="num" w:pos="283"/>
      </w:tabs>
      <w:spacing w:before="120"/>
      <w:ind w:left="283" w:hanging="283"/>
    </w:pPr>
    <w:rPr>
      <w:szCs w:val="20"/>
      <w:lang w:eastAsia="en-US"/>
    </w:rPr>
  </w:style>
  <w:style w:type="paragraph" w:styleId="ListNumber4">
    <w:name w:val="List Number 4"/>
    <w:basedOn w:val="Normal"/>
    <w:rsid w:val="00A058C3"/>
    <w:pPr>
      <w:tabs>
        <w:tab w:val="num" w:pos="720"/>
      </w:tabs>
      <w:spacing w:before="120"/>
      <w:ind w:left="720" w:hanging="360"/>
    </w:pPr>
    <w:rPr>
      <w:szCs w:val="20"/>
      <w:lang w:eastAsia="en-US"/>
    </w:rPr>
  </w:style>
  <w:style w:type="paragraph" w:styleId="ListNumber5">
    <w:name w:val="List Number 5"/>
    <w:basedOn w:val="Normal"/>
    <w:rsid w:val="00A058C3"/>
    <w:pPr>
      <w:tabs>
        <w:tab w:val="num" w:pos="1911"/>
      </w:tabs>
      <w:spacing w:before="120"/>
      <w:ind w:left="1911" w:hanging="709"/>
    </w:pPr>
    <w:rPr>
      <w:szCs w:val="20"/>
      <w:lang w:eastAsia="en-US"/>
    </w:rPr>
  </w:style>
  <w:style w:type="paragraph" w:styleId="MessageHeader">
    <w:name w:val="Message Header"/>
    <w:basedOn w:val="Normal"/>
    <w:rsid w:val="00A058C3"/>
    <w:pPr>
      <w:pBdr>
        <w:top w:val="single" w:sz="6" w:space="1" w:color="auto"/>
        <w:left w:val="single" w:sz="6" w:space="1" w:color="auto"/>
        <w:bottom w:val="single" w:sz="6" w:space="1" w:color="auto"/>
        <w:right w:val="single" w:sz="6" w:space="1" w:color="auto"/>
      </w:pBdr>
      <w:shd w:val="pct20" w:color="auto" w:fill="auto"/>
      <w:spacing w:before="120"/>
      <w:ind w:left="1134" w:hanging="1134"/>
    </w:pPr>
    <w:rPr>
      <w:rFonts w:ascii="Arial" w:hAnsi="Arial" w:cs="Arial"/>
      <w:sz w:val="24"/>
      <w:szCs w:val="24"/>
      <w:lang w:eastAsia="en-US"/>
    </w:rPr>
  </w:style>
  <w:style w:type="paragraph" w:styleId="NormalIndent">
    <w:name w:val="Normal Indent"/>
    <w:basedOn w:val="Normal"/>
    <w:rsid w:val="00A058C3"/>
    <w:pPr>
      <w:spacing w:before="120"/>
      <w:ind w:left="720"/>
    </w:pPr>
    <w:rPr>
      <w:szCs w:val="20"/>
      <w:lang w:eastAsia="en-US"/>
    </w:rPr>
  </w:style>
  <w:style w:type="paragraph" w:styleId="NoteHeading">
    <w:name w:val="Note Heading"/>
    <w:basedOn w:val="Normal"/>
    <w:next w:val="Normal"/>
    <w:rsid w:val="00A058C3"/>
    <w:pPr>
      <w:spacing w:before="120"/>
    </w:pPr>
    <w:rPr>
      <w:szCs w:val="20"/>
      <w:lang w:eastAsia="en-US"/>
    </w:rPr>
  </w:style>
  <w:style w:type="paragraph" w:styleId="Salutation">
    <w:name w:val="Salutation"/>
    <w:basedOn w:val="Normal"/>
    <w:next w:val="Normal"/>
    <w:link w:val="SalutationChar"/>
    <w:rsid w:val="00A058C3"/>
    <w:pPr>
      <w:spacing w:before="120"/>
    </w:pPr>
    <w:rPr>
      <w:szCs w:val="20"/>
      <w:lang w:eastAsia="en-US"/>
    </w:rPr>
  </w:style>
  <w:style w:type="paragraph" w:styleId="Signature">
    <w:name w:val="Signature"/>
    <w:basedOn w:val="Normal"/>
    <w:link w:val="SignatureChar"/>
    <w:rsid w:val="00A058C3"/>
    <w:pPr>
      <w:spacing w:before="120"/>
      <w:ind w:left="4252"/>
    </w:pPr>
    <w:rPr>
      <w:szCs w:val="20"/>
      <w:lang w:eastAsia="en-US"/>
    </w:rPr>
  </w:style>
  <w:style w:type="paragraph" w:styleId="Subtitle">
    <w:name w:val="Subtitle"/>
    <w:basedOn w:val="Normal"/>
    <w:qFormat/>
    <w:rsid w:val="00A058C3"/>
    <w:pPr>
      <w:spacing w:before="120" w:after="60"/>
      <w:jc w:val="center"/>
      <w:outlineLvl w:val="1"/>
    </w:pPr>
    <w:rPr>
      <w:rFonts w:ascii="Arial" w:hAnsi="Arial" w:cs="Arial"/>
      <w:sz w:val="24"/>
      <w:szCs w:val="24"/>
      <w:lang w:eastAsia="en-US"/>
    </w:rPr>
  </w:style>
  <w:style w:type="character" w:styleId="HTMLCode">
    <w:name w:val="HTML Code"/>
    <w:basedOn w:val="DefaultParagraphFont"/>
    <w:rsid w:val="00A058C3"/>
    <w:rPr>
      <w:rFonts w:ascii="Courier New" w:eastAsia="Times New Roman" w:hAnsi="Courier New" w:cs="Courier New"/>
      <w:sz w:val="20"/>
      <w:szCs w:val="20"/>
    </w:rPr>
  </w:style>
  <w:style w:type="character" w:customStyle="1" w:styleId="BodyText2Char">
    <w:name w:val="Body Text 2 Char"/>
    <w:basedOn w:val="DefaultParagraphFont"/>
    <w:rsid w:val="00A058C3"/>
    <w:rPr>
      <w:sz w:val="22"/>
      <w:lang w:val="en-GB" w:eastAsia="en-US" w:bidi="ar-SA"/>
    </w:rPr>
  </w:style>
  <w:style w:type="paragraph" w:customStyle="1" w:styleId="iotcreportnormalnumbered0">
    <w:name w:val="iotcreportnormalnumbered"/>
    <w:basedOn w:val="Normal"/>
    <w:rsid w:val="00A058C3"/>
    <w:pPr>
      <w:snapToGrid w:val="0"/>
      <w:spacing w:before="120"/>
      <w:jc w:val="both"/>
    </w:pPr>
    <w:rPr>
      <w:rFonts w:ascii="Arial" w:hAnsi="Arial" w:cs="Arial"/>
      <w:sz w:val="20"/>
      <w:szCs w:val="20"/>
      <w:lang w:eastAsia="en-US"/>
    </w:rPr>
  </w:style>
  <w:style w:type="paragraph" w:customStyle="1" w:styleId="00Preparedby">
    <w:name w:val="00 Prepared by"/>
    <w:basedOn w:val="Normal"/>
    <w:rsid w:val="00FE1947"/>
    <w:pPr>
      <w:pBdr>
        <w:bottom w:val="single" w:sz="4" w:space="1" w:color="auto"/>
      </w:pBdr>
      <w:jc w:val="right"/>
    </w:pPr>
    <w:rPr>
      <w:b/>
      <w:sz w:val="20"/>
      <w:szCs w:val="20"/>
      <w:lang w:eastAsia="en-US"/>
    </w:rPr>
  </w:style>
  <w:style w:type="paragraph" w:styleId="TOC4">
    <w:name w:val="toc 4"/>
    <w:basedOn w:val="Normal"/>
    <w:next w:val="Normal"/>
    <w:autoRedefine/>
    <w:uiPriority w:val="39"/>
    <w:rsid w:val="00B771C8"/>
    <w:pPr>
      <w:ind w:left="660"/>
    </w:pPr>
    <w:rPr>
      <w:rFonts w:asciiTheme="minorHAnsi" w:hAnsiTheme="minorHAnsi" w:cstheme="minorHAnsi"/>
      <w:sz w:val="18"/>
      <w:szCs w:val="18"/>
    </w:rPr>
  </w:style>
  <w:style w:type="paragraph" w:customStyle="1" w:styleId="ColorfulList-Accent11">
    <w:name w:val="Colorful List - Accent 11"/>
    <w:basedOn w:val="Normal"/>
    <w:uiPriority w:val="34"/>
    <w:qFormat/>
    <w:rsid w:val="00A76F66"/>
    <w:pPr>
      <w:spacing w:after="200" w:line="276" w:lineRule="auto"/>
      <w:ind w:left="720"/>
      <w:contextualSpacing/>
    </w:pPr>
    <w:rPr>
      <w:rFonts w:ascii="Calibri" w:eastAsia="Calibri" w:hAnsi="Calibri"/>
      <w:lang w:eastAsia="en-US"/>
    </w:rPr>
  </w:style>
  <w:style w:type="paragraph" w:customStyle="1" w:styleId="Annexe">
    <w:name w:val="Annexe"/>
    <w:basedOn w:val="Norm"/>
    <w:rsid w:val="00276B5D"/>
    <w:pPr>
      <w:pBdr>
        <w:bottom w:val="single" w:sz="4" w:space="1" w:color="auto"/>
      </w:pBdr>
      <w:jc w:val="center"/>
    </w:pPr>
    <w:rPr>
      <w:rFonts w:ascii="Times New Roman Bold" w:eastAsia="SimSun" w:hAnsi="Times New Roman Bold"/>
      <w:b/>
      <w:smallCaps/>
      <w:color w:val="000000"/>
      <w:sz w:val="26"/>
      <w:lang w:val="fr-FR" w:eastAsia="fr-FR"/>
    </w:rPr>
  </w:style>
  <w:style w:type="character" w:customStyle="1" w:styleId="Char">
    <w:name w:val="Char"/>
    <w:basedOn w:val="DefaultParagraphFont"/>
    <w:rsid w:val="00DF5C69"/>
    <w:rPr>
      <w:rFonts w:ascii="Arial" w:eastAsia="Times New Roman" w:hAnsi="Arial" w:cs="Arial"/>
      <w:b/>
      <w:bCs/>
      <w:kern w:val="32"/>
      <w:sz w:val="32"/>
      <w:szCs w:val="32"/>
      <w:lang w:val="en-US" w:eastAsia="fr-FR"/>
    </w:rPr>
  </w:style>
  <w:style w:type="character" w:customStyle="1" w:styleId="apple-style-span">
    <w:name w:val="apple-style-span"/>
    <w:basedOn w:val="DefaultParagraphFont"/>
    <w:rsid w:val="00CC4A1A"/>
  </w:style>
  <w:style w:type="paragraph" w:customStyle="1" w:styleId="Conventionlist">
    <w:name w:val="Convention list"/>
    <w:basedOn w:val="Normal"/>
    <w:rsid w:val="00E77734"/>
    <w:pPr>
      <w:tabs>
        <w:tab w:val="num" w:pos="360"/>
      </w:tabs>
      <w:spacing w:before="120"/>
      <w:ind w:left="360" w:hanging="360"/>
      <w:jc w:val="both"/>
    </w:pPr>
    <w:rPr>
      <w:rFonts w:ascii="Garamond" w:hAnsi="Garamond"/>
      <w:noProof/>
      <w:szCs w:val="20"/>
      <w:lang w:eastAsia="en-US"/>
    </w:rPr>
  </w:style>
  <w:style w:type="paragraph" w:customStyle="1" w:styleId="Default">
    <w:name w:val="Default"/>
    <w:rsid w:val="0000462D"/>
    <w:pPr>
      <w:autoSpaceDE w:val="0"/>
      <w:autoSpaceDN w:val="0"/>
      <w:adjustRightInd w:val="0"/>
    </w:pPr>
    <w:rPr>
      <w:rFonts w:eastAsia="Times New Roman"/>
      <w:color w:val="000000"/>
      <w:sz w:val="24"/>
      <w:szCs w:val="24"/>
      <w:lang w:val="en-US" w:eastAsia="en-US"/>
    </w:rPr>
  </w:style>
  <w:style w:type="paragraph" w:customStyle="1" w:styleId="ColorfulShading-Accent11">
    <w:name w:val="Colorful Shading - Accent 11"/>
    <w:hidden/>
    <w:uiPriority w:val="99"/>
    <w:semiHidden/>
    <w:rsid w:val="00B7084C"/>
    <w:rPr>
      <w:rFonts w:eastAsia="Times New Roman"/>
      <w:sz w:val="22"/>
      <w:szCs w:val="22"/>
      <w:lang w:val="en-US" w:eastAsia="fr-FR"/>
    </w:rPr>
  </w:style>
  <w:style w:type="paragraph" w:customStyle="1" w:styleId="CM11">
    <w:name w:val="CM11"/>
    <w:basedOn w:val="Normal"/>
    <w:next w:val="Normal"/>
    <w:uiPriority w:val="99"/>
    <w:rsid w:val="00D16656"/>
    <w:pPr>
      <w:widowControl w:val="0"/>
      <w:autoSpaceDE w:val="0"/>
      <w:autoSpaceDN w:val="0"/>
      <w:adjustRightInd w:val="0"/>
      <w:spacing w:after="233"/>
    </w:pPr>
    <w:rPr>
      <w:rFonts w:ascii="Bookman Old Style" w:hAnsi="Bookman Old Style"/>
      <w:sz w:val="24"/>
      <w:szCs w:val="24"/>
      <w:lang w:eastAsia="en-GB"/>
    </w:rPr>
  </w:style>
  <w:style w:type="paragraph" w:customStyle="1" w:styleId="ColorfulShading-Accent12">
    <w:name w:val="Colorful Shading - Accent 12"/>
    <w:hidden/>
    <w:uiPriority w:val="99"/>
    <w:semiHidden/>
    <w:rsid w:val="0059633B"/>
    <w:rPr>
      <w:rFonts w:eastAsia="Times New Roman"/>
      <w:sz w:val="22"/>
      <w:szCs w:val="22"/>
      <w:lang w:val="en-US" w:eastAsia="fr-FR"/>
    </w:rPr>
  </w:style>
  <w:style w:type="paragraph" w:customStyle="1" w:styleId="NoSpacing1">
    <w:name w:val="No Spacing1"/>
    <w:uiPriority w:val="1"/>
    <w:qFormat/>
    <w:rsid w:val="00A71122"/>
    <w:rPr>
      <w:rFonts w:ascii="Calibri" w:eastAsia="Calibri" w:hAnsi="Calibri"/>
      <w:sz w:val="22"/>
      <w:szCs w:val="22"/>
      <w:lang w:val="en-US" w:eastAsia="en-US"/>
    </w:rPr>
  </w:style>
  <w:style w:type="paragraph" w:customStyle="1" w:styleId="IOTCAnnextoAppendix">
    <w:name w:val="IOTC Annex to Appendix"/>
    <w:basedOn w:val="IOTCReport-AppendixHeading1Char"/>
    <w:link w:val="IOTCAnnextoAppendixChar"/>
    <w:qFormat/>
    <w:rsid w:val="00570D7D"/>
  </w:style>
  <w:style w:type="character" w:customStyle="1" w:styleId="IOTCAnnextoAppendixChar">
    <w:name w:val="IOTC Annex to Appendix Char"/>
    <w:basedOn w:val="IOTCReport-AppendixHeading1CharChar1"/>
    <w:link w:val="IOTCAnnextoAppendix"/>
    <w:rsid w:val="00570D7D"/>
    <w:rPr>
      <w:rFonts w:ascii="Times New Roman Bold" w:eastAsia="SimSun" w:hAnsi="Times New Roman Bold"/>
      <w:b/>
      <w:smallCaps/>
      <w:sz w:val="24"/>
      <w:szCs w:val="24"/>
      <w:lang w:eastAsia="fr-FR"/>
    </w:rPr>
  </w:style>
  <w:style w:type="paragraph" w:customStyle="1" w:styleId="Bibliography11">
    <w:name w:val="Bibliography11"/>
    <w:basedOn w:val="Normal"/>
    <w:autoRedefine/>
    <w:rsid w:val="00D26471"/>
    <w:pPr>
      <w:spacing w:before="240"/>
      <w:ind w:left="360" w:hanging="360"/>
    </w:pPr>
    <w:rPr>
      <w:rFonts w:ascii="Verdana" w:hAnsi="Verdana"/>
      <w:sz w:val="20"/>
    </w:rPr>
  </w:style>
  <w:style w:type="paragraph" w:customStyle="1" w:styleId="IOTCAppendixHeading1">
    <w:name w:val="IOTC Appendix Heading 1"/>
    <w:basedOn w:val="IOTCHeading1"/>
    <w:rsid w:val="001216FD"/>
    <w:pPr>
      <w:tabs>
        <w:tab w:val="clear" w:pos="720"/>
        <w:tab w:val="left" w:pos="600"/>
      </w:tabs>
      <w:spacing w:before="120" w:after="120"/>
      <w:ind w:left="0" w:firstLine="0"/>
      <w:jc w:val="center"/>
    </w:pPr>
    <w:rPr>
      <w:rFonts w:eastAsia="SimSun"/>
      <w:szCs w:val="26"/>
    </w:rPr>
  </w:style>
  <w:style w:type="paragraph" w:customStyle="1" w:styleId="ColorfulList-Accent12">
    <w:name w:val="Colorful List - Accent 12"/>
    <w:aliases w:val="Rev2"/>
    <w:basedOn w:val="Normal"/>
    <w:qFormat/>
    <w:rsid w:val="00693350"/>
    <w:pPr>
      <w:ind w:left="720"/>
    </w:pPr>
  </w:style>
  <w:style w:type="paragraph" w:customStyle="1" w:styleId="Annex">
    <w:name w:val="Annex"/>
    <w:rsid w:val="00693350"/>
    <w:pPr>
      <w:spacing w:before="240" w:after="60"/>
      <w:jc w:val="center"/>
    </w:pPr>
    <w:rPr>
      <w:rFonts w:ascii="Times New Roman Bold" w:eastAsia="SimSun" w:hAnsi="Times New Roman Bold"/>
      <w:b/>
      <w:bCs/>
      <w:smallCaps/>
      <w:sz w:val="28"/>
      <w:szCs w:val="28"/>
      <w:lang w:val="fr-FR" w:eastAsia="en-US"/>
    </w:rPr>
  </w:style>
  <w:style w:type="paragraph" w:customStyle="1" w:styleId="People">
    <w:name w:val="People"/>
    <w:basedOn w:val="Normal"/>
    <w:rsid w:val="00A77DD5"/>
    <w:pPr>
      <w:keepNext/>
      <w:keepLines/>
      <w:ind w:left="284"/>
    </w:pPr>
    <w:rPr>
      <w:rFonts w:eastAsia="SimSun" w:cs="Times"/>
      <w:szCs w:val="28"/>
      <w:lang w:eastAsia="zh-CN"/>
    </w:rPr>
  </w:style>
  <w:style w:type="paragraph" w:customStyle="1" w:styleId="Country">
    <w:name w:val="Country"/>
    <w:basedOn w:val="Normal"/>
    <w:next w:val="Normal"/>
    <w:rsid w:val="00DF1F10"/>
    <w:pPr>
      <w:keepNext/>
      <w:keepLines/>
    </w:pPr>
    <w:rPr>
      <w:rFonts w:ascii="Times" w:eastAsia="SimSun" w:hAnsi="Times" w:cs="Times"/>
      <w:b/>
      <w:bCs/>
      <w:caps/>
      <w:szCs w:val="32"/>
      <w:lang w:eastAsia="zh-CN"/>
    </w:rPr>
  </w:style>
  <w:style w:type="character" w:styleId="HTMLTypewriter">
    <w:name w:val="HTML Typewriter"/>
    <w:basedOn w:val="DefaultParagraphFont"/>
    <w:rsid w:val="00253964"/>
    <w:rPr>
      <w:rFonts w:ascii="Courier New" w:eastAsia="Times New Roman" w:hAnsi="Courier New" w:cs="Courier New"/>
      <w:sz w:val="20"/>
      <w:szCs w:val="20"/>
    </w:rPr>
  </w:style>
  <w:style w:type="paragraph" w:customStyle="1" w:styleId="Sansinterligne1">
    <w:name w:val="Sans interligne1"/>
    <w:uiPriority w:val="1"/>
    <w:qFormat/>
    <w:rsid w:val="00112DBE"/>
    <w:rPr>
      <w:rFonts w:eastAsia="Times New Roman"/>
      <w:sz w:val="22"/>
      <w:szCs w:val="22"/>
      <w:lang w:val="en-US" w:eastAsia="fr-FR"/>
    </w:rPr>
  </w:style>
  <w:style w:type="paragraph" w:customStyle="1" w:styleId="PR3">
    <w:name w:val="PR 3"/>
    <w:basedOn w:val="Normal"/>
    <w:link w:val="PR3Char"/>
    <w:qFormat/>
    <w:rsid w:val="0037191D"/>
    <w:pPr>
      <w:spacing w:before="120" w:after="60"/>
    </w:pPr>
    <w:rPr>
      <w:rFonts w:ascii="Arial Narrow" w:eastAsia="Calibri" w:hAnsi="Arial Narrow"/>
      <w:b/>
      <w:color w:val="000000"/>
      <w:sz w:val="24"/>
      <w:lang w:eastAsia="en-US"/>
    </w:rPr>
  </w:style>
  <w:style w:type="character" w:customStyle="1" w:styleId="PR3Char">
    <w:name w:val="PR 3 Char"/>
    <w:basedOn w:val="DefaultParagraphFont"/>
    <w:link w:val="PR3"/>
    <w:rsid w:val="0037191D"/>
    <w:rPr>
      <w:rFonts w:ascii="Arial Narrow" w:eastAsia="Calibri" w:hAnsi="Arial Narrow"/>
      <w:b/>
      <w:color w:val="000000"/>
      <w:sz w:val="24"/>
      <w:szCs w:val="22"/>
      <w:lang w:val="en-US" w:eastAsia="en-US"/>
    </w:rPr>
  </w:style>
  <w:style w:type="table" w:styleId="TableGrid">
    <w:name w:val="Table Grid"/>
    <w:basedOn w:val="TableNormal"/>
    <w:rsid w:val="0018557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R1">
    <w:name w:val="PR 1"/>
    <w:basedOn w:val="Normal"/>
    <w:qFormat/>
    <w:rsid w:val="006D3D05"/>
    <w:pPr>
      <w:spacing w:before="240" w:after="240"/>
      <w:jc w:val="both"/>
    </w:pPr>
    <w:rPr>
      <w:rFonts w:ascii="Arial" w:eastAsia="Calibri" w:hAnsi="Arial" w:cs="Arial"/>
      <w:b/>
      <w:sz w:val="28"/>
      <w:lang w:eastAsia="en-US"/>
    </w:rPr>
  </w:style>
  <w:style w:type="paragraph" w:customStyle="1" w:styleId="CM18">
    <w:name w:val="CM18"/>
    <w:basedOn w:val="Normal"/>
    <w:next w:val="Normal"/>
    <w:rsid w:val="006D3D05"/>
    <w:pPr>
      <w:widowControl w:val="0"/>
      <w:autoSpaceDE w:val="0"/>
      <w:autoSpaceDN w:val="0"/>
      <w:adjustRightInd w:val="0"/>
      <w:spacing w:after="133"/>
    </w:pPr>
    <w:rPr>
      <w:rFonts w:eastAsia="SimSun"/>
      <w:sz w:val="24"/>
      <w:szCs w:val="24"/>
      <w:lang w:val="en-AU" w:eastAsia="zh-CN"/>
    </w:rPr>
  </w:style>
  <w:style w:type="paragraph" w:customStyle="1" w:styleId="CM19">
    <w:name w:val="CM19"/>
    <w:basedOn w:val="Default"/>
    <w:next w:val="Default"/>
    <w:rsid w:val="006D3D05"/>
    <w:pPr>
      <w:widowControl w:val="0"/>
      <w:spacing w:after="205"/>
    </w:pPr>
    <w:rPr>
      <w:rFonts w:eastAsia="SimSun"/>
      <w:color w:val="auto"/>
      <w:lang w:val="en-AU" w:eastAsia="zh-CN"/>
    </w:rPr>
  </w:style>
  <w:style w:type="paragraph" w:customStyle="1" w:styleId="CM20">
    <w:name w:val="CM20"/>
    <w:basedOn w:val="Default"/>
    <w:next w:val="Default"/>
    <w:rsid w:val="006D3D05"/>
    <w:pPr>
      <w:widowControl w:val="0"/>
      <w:spacing w:after="538"/>
    </w:pPr>
    <w:rPr>
      <w:rFonts w:eastAsia="SimSun"/>
      <w:color w:val="auto"/>
      <w:lang w:val="en-AU" w:eastAsia="zh-CN"/>
    </w:rPr>
  </w:style>
  <w:style w:type="paragraph" w:customStyle="1" w:styleId="CM16">
    <w:name w:val="CM16"/>
    <w:basedOn w:val="Default"/>
    <w:next w:val="Default"/>
    <w:rsid w:val="006D3D05"/>
    <w:pPr>
      <w:widowControl w:val="0"/>
      <w:spacing w:line="256" w:lineRule="atLeast"/>
    </w:pPr>
    <w:rPr>
      <w:rFonts w:eastAsia="SimSun"/>
      <w:color w:val="auto"/>
      <w:lang w:val="en-AU" w:eastAsia="zh-CN"/>
    </w:rPr>
  </w:style>
  <w:style w:type="paragraph" w:customStyle="1" w:styleId="CM17">
    <w:name w:val="CM17"/>
    <w:basedOn w:val="Default"/>
    <w:next w:val="Default"/>
    <w:rsid w:val="006D3D05"/>
    <w:pPr>
      <w:widowControl w:val="0"/>
      <w:spacing w:line="256" w:lineRule="atLeast"/>
    </w:pPr>
    <w:rPr>
      <w:rFonts w:eastAsia="SimSun"/>
      <w:color w:val="auto"/>
      <w:lang w:val="en-AU" w:eastAsia="zh-CN"/>
    </w:rPr>
  </w:style>
  <w:style w:type="paragraph" w:customStyle="1" w:styleId="DocTitle">
    <w:name w:val="DocTitle"/>
    <w:basedOn w:val="Country"/>
    <w:rsid w:val="00E36A94"/>
    <w:pPr>
      <w:jc w:val="center"/>
    </w:pPr>
  </w:style>
  <w:style w:type="paragraph" w:styleId="Caption">
    <w:name w:val="caption"/>
    <w:aliases w:val="Section heading"/>
    <w:basedOn w:val="Normal"/>
    <w:next w:val="Normal"/>
    <w:qFormat/>
    <w:rsid w:val="009D468C"/>
    <w:rPr>
      <w:b/>
      <w:bCs/>
      <w:sz w:val="20"/>
      <w:szCs w:val="20"/>
    </w:rPr>
  </w:style>
  <w:style w:type="paragraph" w:styleId="DocumentMap">
    <w:name w:val="Document Map"/>
    <w:basedOn w:val="Normal"/>
    <w:link w:val="DocumentMapChar"/>
    <w:unhideWhenUsed/>
    <w:rsid w:val="009D468C"/>
    <w:rPr>
      <w:rFonts w:ascii="Tahoma" w:hAnsi="Tahoma" w:cs="Tahoma"/>
      <w:sz w:val="16"/>
      <w:szCs w:val="16"/>
    </w:rPr>
  </w:style>
  <w:style w:type="character" w:customStyle="1" w:styleId="DocumentMapChar">
    <w:name w:val="Document Map Char"/>
    <w:basedOn w:val="DefaultParagraphFont"/>
    <w:link w:val="DocumentMap"/>
    <w:rsid w:val="009D468C"/>
    <w:rPr>
      <w:rFonts w:ascii="Tahoma" w:eastAsia="Times New Roman" w:hAnsi="Tahoma" w:cs="Tahoma"/>
      <w:sz w:val="16"/>
      <w:szCs w:val="16"/>
      <w:lang w:val="en-US" w:eastAsia="fr-FR"/>
    </w:rPr>
  </w:style>
  <w:style w:type="paragraph" w:styleId="EndnoteText">
    <w:name w:val="endnote text"/>
    <w:basedOn w:val="Normal"/>
    <w:link w:val="EndnoteTextChar"/>
    <w:unhideWhenUsed/>
    <w:rsid w:val="009D468C"/>
    <w:rPr>
      <w:sz w:val="20"/>
      <w:szCs w:val="20"/>
    </w:rPr>
  </w:style>
  <w:style w:type="character" w:customStyle="1" w:styleId="EndnoteTextChar">
    <w:name w:val="Endnote Text Char"/>
    <w:basedOn w:val="DefaultParagraphFont"/>
    <w:link w:val="EndnoteText"/>
    <w:rsid w:val="009D468C"/>
    <w:rPr>
      <w:rFonts w:eastAsia="Times New Roman"/>
      <w:lang w:val="en-US" w:eastAsia="fr-FR"/>
    </w:rPr>
  </w:style>
  <w:style w:type="paragraph" w:styleId="Index1">
    <w:name w:val="index 1"/>
    <w:basedOn w:val="Normal"/>
    <w:next w:val="Normal"/>
    <w:autoRedefine/>
    <w:unhideWhenUsed/>
    <w:rsid w:val="009D468C"/>
    <w:pPr>
      <w:ind w:left="220" w:hanging="220"/>
    </w:pPr>
  </w:style>
  <w:style w:type="paragraph" w:styleId="Index2">
    <w:name w:val="index 2"/>
    <w:basedOn w:val="Normal"/>
    <w:next w:val="Normal"/>
    <w:autoRedefine/>
    <w:unhideWhenUsed/>
    <w:rsid w:val="009D468C"/>
    <w:pPr>
      <w:ind w:left="440" w:hanging="220"/>
    </w:pPr>
  </w:style>
  <w:style w:type="paragraph" w:styleId="Index3">
    <w:name w:val="index 3"/>
    <w:basedOn w:val="Normal"/>
    <w:next w:val="Normal"/>
    <w:autoRedefine/>
    <w:unhideWhenUsed/>
    <w:rsid w:val="009D468C"/>
    <w:pPr>
      <w:ind w:left="660" w:hanging="220"/>
    </w:pPr>
  </w:style>
  <w:style w:type="paragraph" w:styleId="Index4">
    <w:name w:val="index 4"/>
    <w:basedOn w:val="Normal"/>
    <w:next w:val="Normal"/>
    <w:autoRedefine/>
    <w:unhideWhenUsed/>
    <w:rsid w:val="009D468C"/>
    <w:pPr>
      <w:ind w:left="880" w:hanging="220"/>
    </w:pPr>
  </w:style>
  <w:style w:type="paragraph" w:styleId="Index5">
    <w:name w:val="index 5"/>
    <w:basedOn w:val="Normal"/>
    <w:next w:val="Normal"/>
    <w:autoRedefine/>
    <w:unhideWhenUsed/>
    <w:rsid w:val="009D468C"/>
    <w:pPr>
      <w:ind w:left="1100" w:hanging="220"/>
    </w:pPr>
  </w:style>
  <w:style w:type="paragraph" w:styleId="Index6">
    <w:name w:val="index 6"/>
    <w:basedOn w:val="Normal"/>
    <w:next w:val="Normal"/>
    <w:autoRedefine/>
    <w:unhideWhenUsed/>
    <w:rsid w:val="009D468C"/>
    <w:pPr>
      <w:ind w:left="1320" w:hanging="220"/>
    </w:pPr>
  </w:style>
  <w:style w:type="paragraph" w:styleId="Index7">
    <w:name w:val="index 7"/>
    <w:basedOn w:val="Normal"/>
    <w:next w:val="Normal"/>
    <w:autoRedefine/>
    <w:unhideWhenUsed/>
    <w:rsid w:val="009D468C"/>
    <w:pPr>
      <w:ind w:left="1540" w:hanging="220"/>
    </w:pPr>
  </w:style>
  <w:style w:type="paragraph" w:styleId="Index8">
    <w:name w:val="index 8"/>
    <w:basedOn w:val="Normal"/>
    <w:next w:val="Normal"/>
    <w:autoRedefine/>
    <w:unhideWhenUsed/>
    <w:rsid w:val="009D468C"/>
    <w:pPr>
      <w:ind w:left="1760" w:hanging="220"/>
    </w:pPr>
  </w:style>
  <w:style w:type="paragraph" w:styleId="Index9">
    <w:name w:val="index 9"/>
    <w:basedOn w:val="Normal"/>
    <w:next w:val="Normal"/>
    <w:autoRedefine/>
    <w:unhideWhenUsed/>
    <w:rsid w:val="009D468C"/>
    <w:pPr>
      <w:ind w:left="1980" w:hanging="220"/>
    </w:pPr>
  </w:style>
  <w:style w:type="paragraph" w:styleId="IndexHeading">
    <w:name w:val="index heading"/>
    <w:basedOn w:val="Normal"/>
    <w:next w:val="Index1"/>
    <w:unhideWhenUsed/>
    <w:rsid w:val="009D468C"/>
    <w:rPr>
      <w:rFonts w:ascii="Cambria" w:hAnsi="Cambria"/>
      <w:b/>
      <w:bCs/>
    </w:rPr>
  </w:style>
  <w:style w:type="paragraph" w:customStyle="1" w:styleId="LightShading-Accent21">
    <w:name w:val="Light Shading - Accent 21"/>
    <w:basedOn w:val="Normal"/>
    <w:next w:val="Normal"/>
    <w:link w:val="LightShading-Accent2Char"/>
    <w:uiPriority w:val="30"/>
    <w:qFormat/>
    <w:rsid w:val="009D468C"/>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basedOn w:val="DefaultParagraphFont"/>
    <w:link w:val="LightShading-Accent21"/>
    <w:uiPriority w:val="30"/>
    <w:rsid w:val="009D468C"/>
    <w:rPr>
      <w:rFonts w:eastAsia="Times New Roman"/>
      <w:b/>
      <w:bCs/>
      <w:i/>
      <w:iCs/>
      <w:color w:val="4F81BD"/>
      <w:sz w:val="22"/>
      <w:szCs w:val="22"/>
      <w:lang w:val="en-US" w:eastAsia="fr-FR"/>
    </w:rPr>
  </w:style>
  <w:style w:type="paragraph" w:styleId="MacroText">
    <w:name w:val="macro"/>
    <w:link w:val="MacroTextChar"/>
    <w:unhideWhenUsed/>
    <w:rsid w:val="009D468C"/>
    <w:pPr>
      <w:tabs>
        <w:tab w:val="left" w:pos="480"/>
        <w:tab w:val="left" w:pos="960"/>
        <w:tab w:val="left" w:pos="1440"/>
        <w:tab w:val="left" w:pos="1920"/>
        <w:tab w:val="left" w:pos="2400"/>
        <w:tab w:val="left" w:pos="2880"/>
        <w:tab w:val="left" w:pos="3360"/>
        <w:tab w:val="left" w:pos="3840"/>
        <w:tab w:val="left" w:pos="4320"/>
      </w:tabs>
      <w:spacing w:before="60" w:after="80"/>
    </w:pPr>
    <w:rPr>
      <w:rFonts w:ascii="Courier New" w:eastAsia="Times New Roman" w:hAnsi="Courier New" w:cs="Courier New"/>
      <w:lang w:val="en-US" w:eastAsia="fr-FR"/>
    </w:rPr>
  </w:style>
  <w:style w:type="character" w:customStyle="1" w:styleId="MacroTextChar">
    <w:name w:val="Macro Text Char"/>
    <w:basedOn w:val="DefaultParagraphFont"/>
    <w:link w:val="MacroText"/>
    <w:rsid w:val="009D468C"/>
    <w:rPr>
      <w:rFonts w:ascii="Courier New" w:eastAsia="Times New Roman" w:hAnsi="Courier New" w:cs="Courier New"/>
      <w:lang w:val="en-US" w:eastAsia="fr-FR" w:bidi="ar-SA"/>
    </w:rPr>
  </w:style>
  <w:style w:type="paragraph" w:customStyle="1" w:styleId="ColorfulGrid-Accent11">
    <w:name w:val="Colorful Grid - Accent 11"/>
    <w:basedOn w:val="Normal"/>
    <w:next w:val="Normal"/>
    <w:link w:val="ColorfulGrid-Accent1Char"/>
    <w:uiPriority w:val="29"/>
    <w:qFormat/>
    <w:rsid w:val="009D468C"/>
    <w:rPr>
      <w:i/>
      <w:iCs/>
      <w:color w:val="000000"/>
    </w:rPr>
  </w:style>
  <w:style w:type="character" w:customStyle="1" w:styleId="ColorfulGrid-Accent1Char">
    <w:name w:val="Colorful Grid - Accent 1 Char"/>
    <w:basedOn w:val="DefaultParagraphFont"/>
    <w:link w:val="ColorfulGrid-Accent11"/>
    <w:uiPriority w:val="29"/>
    <w:rsid w:val="009D468C"/>
    <w:rPr>
      <w:rFonts w:eastAsia="Times New Roman"/>
      <w:i/>
      <w:iCs/>
      <w:color w:val="000000"/>
      <w:sz w:val="22"/>
      <w:szCs w:val="22"/>
      <w:lang w:val="en-US" w:eastAsia="fr-FR"/>
    </w:rPr>
  </w:style>
  <w:style w:type="paragraph" w:styleId="TableofAuthorities">
    <w:name w:val="table of authorities"/>
    <w:basedOn w:val="Normal"/>
    <w:next w:val="Normal"/>
    <w:unhideWhenUsed/>
    <w:rsid w:val="009D468C"/>
    <w:pPr>
      <w:ind w:left="220" w:hanging="220"/>
    </w:pPr>
  </w:style>
  <w:style w:type="paragraph" w:styleId="TableofFigures">
    <w:name w:val="table of figures"/>
    <w:basedOn w:val="Normal"/>
    <w:next w:val="Normal"/>
    <w:unhideWhenUsed/>
    <w:rsid w:val="009D468C"/>
  </w:style>
  <w:style w:type="paragraph" w:styleId="TOAHeading">
    <w:name w:val="toa heading"/>
    <w:basedOn w:val="Normal"/>
    <w:next w:val="Normal"/>
    <w:unhideWhenUsed/>
    <w:rsid w:val="009D468C"/>
    <w:pPr>
      <w:spacing w:before="120"/>
    </w:pPr>
    <w:rPr>
      <w:rFonts w:ascii="Cambria" w:hAnsi="Cambria"/>
      <w:b/>
      <w:bCs/>
      <w:sz w:val="24"/>
      <w:szCs w:val="24"/>
    </w:rPr>
  </w:style>
  <w:style w:type="paragraph" w:styleId="TOC5">
    <w:name w:val="toc 5"/>
    <w:basedOn w:val="Normal"/>
    <w:next w:val="Normal"/>
    <w:autoRedefine/>
    <w:uiPriority w:val="39"/>
    <w:unhideWhenUsed/>
    <w:rsid w:val="009D468C"/>
    <w:pPr>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9D468C"/>
    <w:pPr>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9D468C"/>
    <w:pPr>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9D468C"/>
    <w:pPr>
      <w:ind w:left="1540"/>
    </w:pPr>
    <w:rPr>
      <w:rFonts w:asciiTheme="minorHAnsi" w:hAnsiTheme="minorHAnsi" w:cstheme="minorHAnsi"/>
      <w:sz w:val="18"/>
      <w:szCs w:val="18"/>
    </w:rPr>
  </w:style>
  <w:style w:type="paragraph" w:styleId="TOC9">
    <w:name w:val="toc 9"/>
    <w:basedOn w:val="Normal"/>
    <w:next w:val="Normal"/>
    <w:autoRedefine/>
    <w:unhideWhenUsed/>
    <w:rsid w:val="009D468C"/>
    <w:pPr>
      <w:ind w:left="1760"/>
    </w:pPr>
    <w:rPr>
      <w:rFonts w:asciiTheme="minorHAnsi" w:hAnsiTheme="minorHAnsi" w:cstheme="minorHAnsi"/>
      <w:sz w:val="18"/>
      <w:szCs w:val="18"/>
    </w:rPr>
  </w:style>
  <w:style w:type="paragraph" w:customStyle="1" w:styleId="TOCHeading1">
    <w:name w:val="TOC Heading1"/>
    <w:basedOn w:val="Heading1"/>
    <w:next w:val="Normal"/>
    <w:unhideWhenUsed/>
    <w:qFormat/>
    <w:rsid w:val="009D468C"/>
    <w:pPr>
      <w:outlineLvl w:val="9"/>
    </w:pPr>
    <w:rPr>
      <w:rFonts w:ascii="Cambria" w:hAnsi="Cambria" w:cs="Times New Roman"/>
    </w:rPr>
  </w:style>
  <w:style w:type="paragraph" w:customStyle="1" w:styleId="Arabic">
    <w:name w:val="Arabic"/>
    <w:basedOn w:val="Normal"/>
    <w:autoRedefine/>
    <w:rsid w:val="00FB5192"/>
    <w:rPr>
      <w:rFonts w:eastAsia="SimSun"/>
      <w:sz w:val="24"/>
      <w:szCs w:val="24"/>
      <w:lang w:eastAsia="zh-CN"/>
    </w:rPr>
  </w:style>
  <w:style w:type="paragraph" w:customStyle="1" w:styleId="Role">
    <w:name w:val="Role"/>
    <w:basedOn w:val="Normal"/>
    <w:next w:val="People"/>
    <w:rsid w:val="00FB5192"/>
    <w:pPr>
      <w:keepNext/>
      <w:keepLines/>
    </w:pPr>
    <w:rPr>
      <w:rFonts w:eastAsia="SimSun"/>
      <w:lang w:eastAsia="zh-CN"/>
    </w:rPr>
  </w:style>
  <w:style w:type="paragraph" w:customStyle="1" w:styleId="PeopleAra">
    <w:name w:val="PeopleAra"/>
    <w:basedOn w:val="People"/>
    <w:rsid w:val="00FB5192"/>
    <w:pPr>
      <w:spacing w:line="199" w:lineRule="auto"/>
    </w:pPr>
    <w:rPr>
      <w:rFonts w:cs="Times New Roman"/>
      <w:szCs w:val="22"/>
    </w:rPr>
  </w:style>
  <w:style w:type="paragraph" w:styleId="ListParagraph">
    <w:name w:val="List Paragraph"/>
    <w:aliases w:val="Graphic Caption"/>
    <w:basedOn w:val="Normal"/>
    <w:link w:val="ListParagraphChar"/>
    <w:uiPriority w:val="34"/>
    <w:qFormat/>
    <w:rsid w:val="009A2793"/>
    <w:pPr>
      <w:ind w:left="720"/>
      <w:contextualSpacing/>
    </w:pPr>
  </w:style>
  <w:style w:type="character" w:customStyle="1" w:styleId="Heading2Char">
    <w:name w:val="Heading 2 Char"/>
    <w:basedOn w:val="DefaultParagraphFont"/>
    <w:link w:val="Heading2"/>
    <w:rsid w:val="00322533"/>
    <w:rPr>
      <w:rFonts w:ascii="Arial" w:eastAsia="Times New Roman" w:hAnsi="Arial" w:cs="Arial"/>
      <w:b/>
      <w:bCs/>
      <w:i/>
      <w:iCs/>
      <w:sz w:val="28"/>
      <w:szCs w:val="28"/>
      <w:lang w:eastAsia="fr-FR"/>
    </w:rPr>
  </w:style>
  <w:style w:type="character" w:customStyle="1" w:styleId="Heading3Char">
    <w:name w:val="Heading 3 Char"/>
    <w:basedOn w:val="DefaultParagraphFont"/>
    <w:link w:val="Heading3"/>
    <w:rsid w:val="00322533"/>
    <w:rPr>
      <w:rFonts w:ascii="Arial" w:eastAsia="Times New Roman" w:hAnsi="Arial"/>
      <w:b/>
      <w:sz w:val="26"/>
      <w:szCs w:val="22"/>
      <w:lang w:eastAsia="fr-FR"/>
    </w:rPr>
  </w:style>
  <w:style w:type="character" w:customStyle="1" w:styleId="Heading4Char">
    <w:name w:val="Heading 4 Char"/>
    <w:basedOn w:val="DefaultParagraphFont"/>
    <w:link w:val="Heading4"/>
    <w:rsid w:val="00322533"/>
    <w:rPr>
      <w:rFonts w:eastAsia="Times New Roman"/>
      <w:b/>
      <w:sz w:val="28"/>
      <w:szCs w:val="22"/>
      <w:lang w:eastAsia="fr-FR"/>
    </w:rPr>
  </w:style>
  <w:style w:type="character" w:customStyle="1" w:styleId="Heading5Char">
    <w:name w:val="Heading 5 Char"/>
    <w:basedOn w:val="DefaultParagraphFont"/>
    <w:link w:val="Heading5"/>
    <w:rsid w:val="00322533"/>
    <w:rPr>
      <w:rFonts w:eastAsia="Times New Roman"/>
      <w:b/>
      <w:i/>
      <w:sz w:val="26"/>
      <w:szCs w:val="22"/>
      <w:lang w:eastAsia="fr-FR"/>
    </w:rPr>
  </w:style>
  <w:style w:type="character" w:customStyle="1" w:styleId="Heading6Char">
    <w:name w:val="Heading 6 Char"/>
    <w:basedOn w:val="DefaultParagraphFont"/>
    <w:link w:val="Heading6"/>
    <w:rsid w:val="00322533"/>
    <w:rPr>
      <w:rFonts w:eastAsia="Times New Roman"/>
      <w:b/>
      <w:sz w:val="22"/>
      <w:szCs w:val="22"/>
      <w:lang w:eastAsia="fr-FR"/>
    </w:rPr>
  </w:style>
  <w:style w:type="character" w:customStyle="1" w:styleId="Heading7Char">
    <w:name w:val="Heading 7 Char"/>
    <w:basedOn w:val="DefaultParagraphFont"/>
    <w:link w:val="Heading7"/>
    <w:rsid w:val="00322533"/>
    <w:rPr>
      <w:rFonts w:eastAsia="Times New Roman"/>
      <w:sz w:val="22"/>
      <w:szCs w:val="22"/>
      <w:lang w:eastAsia="fr-FR"/>
    </w:rPr>
  </w:style>
  <w:style w:type="character" w:customStyle="1" w:styleId="Heading8Char">
    <w:name w:val="Heading 8 Char"/>
    <w:basedOn w:val="DefaultParagraphFont"/>
    <w:link w:val="Heading8"/>
    <w:rsid w:val="00322533"/>
    <w:rPr>
      <w:rFonts w:ascii="Verdana" w:eastAsia="Times New Roman" w:hAnsi="Verdana"/>
      <w:b/>
      <w:szCs w:val="22"/>
      <w:lang w:eastAsia="fr-FR"/>
    </w:rPr>
  </w:style>
  <w:style w:type="character" w:customStyle="1" w:styleId="Heading9Char">
    <w:name w:val="Heading 9 Char"/>
    <w:basedOn w:val="DefaultParagraphFont"/>
    <w:link w:val="Heading9"/>
    <w:rsid w:val="00322533"/>
    <w:rPr>
      <w:rFonts w:ascii="Arial" w:eastAsia="Times New Roman" w:hAnsi="Arial"/>
      <w:b/>
      <w:snapToGrid w:val="0"/>
      <w:color w:val="000000"/>
      <w:sz w:val="12"/>
      <w:szCs w:val="22"/>
      <w:lang w:eastAsia="fr-FR"/>
    </w:rPr>
  </w:style>
  <w:style w:type="table" w:customStyle="1" w:styleId="TableauNorm">
    <w:name w:val="Tableau Norm"/>
    <w:uiPriority w:val="99"/>
    <w:semiHidden/>
    <w:rsid w:val="00322533"/>
    <w:rPr>
      <w:rFonts w:ascii="Calibri" w:eastAsia="Calibri" w:hAnsi="Calibri"/>
      <w:lang w:val="fr-FR" w:eastAsia="en-US"/>
    </w:rPr>
    <w:tblPr>
      <w:tblInd w:w="0" w:type="dxa"/>
      <w:tblCellMar>
        <w:top w:w="0" w:type="dxa"/>
        <w:left w:w="108" w:type="dxa"/>
        <w:bottom w:w="0" w:type="dxa"/>
        <w:right w:w="108" w:type="dxa"/>
      </w:tblCellMar>
    </w:tblPr>
  </w:style>
  <w:style w:type="paragraph" w:customStyle="1" w:styleId="En-tt">
    <w:name w:val="En-t_t"/>
    <w:basedOn w:val="Normal"/>
    <w:uiPriority w:val="99"/>
    <w:rsid w:val="00322533"/>
    <w:pPr>
      <w:tabs>
        <w:tab w:val="center" w:pos="4680"/>
        <w:tab w:val="right" w:pos="9360"/>
      </w:tabs>
    </w:pPr>
    <w:rPr>
      <w:rFonts w:ascii="Calibri" w:hAnsi="Calibri"/>
    </w:rPr>
  </w:style>
  <w:style w:type="character" w:customStyle="1" w:styleId="HeaderChar1">
    <w:name w:val="Header Char1"/>
    <w:basedOn w:val="DefaultParagraphFont"/>
    <w:uiPriority w:val="99"/>
    <w:semiHidden/>
    <w:rsid w:val="00322533"/>
    <w:rPr>
      <w:rFonts w:ascii="Times New Roman" w:hAnsi="Times New Roman" w:cs="Times New Roman"/>
      <w:lang w:eastAsia="fr-FR"/>
    </w:rPr>
  </w:style>
  <w:style w:type="paragraph" w:customStyle="1" w:styleId="Corpsde">
    <w:name w:val="Corps de"/>
    <w:basedOn w:val="Normal"/>
    <w:uiPriority w:val="99"/>
    <w:rsid w:val="00322533"/>
    <w:pPr>
      <w:spacing w:after="120"/>
    </w:pPr>
  </w:style>
  <w:style w:type="character" w:customStyle="1" w:styleId="CommentTextChar">
    <w:name w:val="Comment Text Char"/>
    <w:basedOn w:val="DefaultParagraphFont"/>
    <w:link w:val="CommentText"/>
    <w:uiPriority w:val="99"/>
    <w:rsid w:val="00322533"/>
    <w:rPr>
      <w:rFonts w:eastAsia="Times New Roman"/>
      <w:sz w:val="24"/>
      <w:szCs w:val="24"/>
      <w:lang w:val="en-US" w:eastAsia="fr-FR"/>
    </w:rPr>
  </w:style>
  <w:style w:type="paragraph" w:customStyle="1" w:styleId="Objetducommentai">
    <w:name w:val="Objet du commentai"/>
    <w:basedOn w:val="CommentText"/>
    <w:next w:val="CommentText"/>
    <w:uiPriority w:val="99"/>
    <w:semiHidden/>
    <w:rsid w:val="00322533"/>
    <w:rPr>
      <w:b/>
      <w:bCs/>
      <w:sz w:val="20"/>
      <w:szCs w:val="20"/>
    </w:rPr>
  </w:style>
  <w:style w:type="character" w:customStyle="1" w:styleId="CommentSubjectChar">
    <w:name w:val="Comment Subject Char"/>
    <w:basedOn w:val="CommentTextChar"/>
    <w:rsid w:val="00322533"/>
    <w:rPr>
      <w:rFonts w:eastAsia="Times New Roman"/>
      <w:b/>
      <w:bCs/>
      <w:sz w:val="24"/>
      <w:szCs w:val="24"/>
      <w:lang w:val="en-US" w:eastAsia="fr-FR"/>
    </w:rPr>
  </w:style>
  <w:style w:type="paragraph" w:customStyle="1" w:styleId="Textedebul">
    <w:name w:val="Texte de bul"/>
    <w:basedOn w:val="Normal"/>
    <w:uiPriority w:val="99"/>
    <w:semiHidden/>
    <w:rsid w:val="00322533"/>
    <w:rPr>
      <w:rFonts w:ascii="Tahoma" w:hAnsi="Tahoma" w:cs="Tahoma"/>
      <w:sz w:val="16"/>
      <w:szCs w:val="16"/>
    </w:rPr>
  </w:style>
  <w:style w:type="paragraph" w:customStyle="1" w:styleId="Piedd">
    <w:name w:val="Pied d"/>
    <w:basedOn w:val="Normal"/>
    <w:uiPriority w:val="99"/>
    <w:rsid w:val="00322533"/>
    <w:pPr>
      <w:tabs>
        <w:tab w:val="center" w:pos="4536"/>
        <w:tab w:val="right" w:pos="9072"/>
      </w:tabs>
    </w:pPr>
  </w:style>
  <w:style w:type="paragraph" w:customStyle="1" w:styleId="Adresseexpdit">
    <w:name w:val="Adresse exp_dit"/>
    <w:basedOn w:val="Normal"/>
    <w:uiPriority w:val="99"/>
    <w:rsid w:val="00322533"/>
    <w:pPr>
      <w:spacing w:before="120"/>
    </w:pPr>
    <w:rPr>
      <w:rFonts w:ascii="Arial" w:hAnsi="Arial"/>
      <w:i/>
      <w:sz w:val="18"/>
      <w:szCs w:val="20"/>
      <w:lang w:eastAsia="en-US"/>
    </w:rPr>
  </w:style>
  <w:style w:type="paragraph" w:customStyle="1" w:styleId="Notedebasd">
    <w:name w:val="Note de bas d"/>
    <w:basedOn w:val="Normal"/>
    <w:uiPriority w:val="99"/>
    <w:rsid w:val="00322533"/>
    <w:pPr>
      <w:keepNext/>
      <w:keepLines/>
      <w:spacing w:before="120"/>
    </w:pPr>
    <w:rPr>
      <w:sz w:val="20"/>
      <w:szCs w:val="20"/>
      <w:lang w:eastAsia="en-US"/>
    </w:rPr>
  </w:style>
  <w:style w:type="character" w:customStyle="1" w:styleId="Marquenotebasde">
    <w:name w:val="Marque note bas de"/>
    <w:basedOn w:val="DefaultParagraphFont"/>
    <w:uiPriority w:val="99"/>
    <w:rsid w:val="00322533"/>
    <w:rPr>
      <w:rFonts w:cs="Times New Roman"/>
      <w:vertAlign w:val="superscript"/>
    </w:rPr>
  </w:style>
  <w:style w:type="character" w:customStyle="1" w:styleId="PlainTextChar">
    <w:name w:val="Plain Text Char"/>
    <w:basedOn w:val="DefaultParagraphFont"/>
    <w:link w:val="PlainText"/>
    <w:rsid w:val="00322533"/>
    <w:rPr>
      <w:rFonts w:ascii="MS Mincho" w:hAnsi="Courier New"/>
      <w:kern w:val="2"/>
      <w:sz w:val="21"/>
      <w:szCs w:val="22"/>
      <w:lang w:val="en-US" w:eastAsia="ja-JP"/>
    </w:rPr>
  </w:style>
  <w:style w:type="paragraph" w:customStyle="1" w:styleId="Normalcen">
    <w:name w:val="Normal cen"/>
    <w:basedOn w:val="Normal"/>
    <w:uiPriority w:val="99"/>
    <w:rsid w:val="00322533"/>
    <w:pPr>
      <w:spacing w:before="120"/>
      <w:ind w:left="1440" w:right="1440"/>
    </w:pPr>
    <w:rPr>
      <w:szCs w:val="20"/>
      <w:lang w:eastAsia="en-US"/>
    </w:rPr>
  </w:style>
  <w:style w:type="paragraph" w:customStyle="1" w:styleId="Corpsdete">
    <w:name w:val="Corps de te"/>
    <w:basedOn w:val="Normal"/>
    <w:uiPriority w:val="99"/>
    <w:rsid w:val="00322533"/>
    <w:pPr>
      <w:spacing w:before="120" w:line="480" w:lineRule="auto"/>
    </w:pPr>
    <w:rPr>
      <w:szCs w:val="20"/>
      <w:lang w:eastAsia="en-US"/>
    </w:rPr>
  </w:style>
  <w:style w:type="paragraph" w:customStyle="1" w:styleId="Corpsdete1">
    <w:name w:val="Corps de te1"/>
    <w:basedOn w:val="Normal"/>
    <w:uiPriority w:val="99"/>
    <w:rsid w:val="00322533"/>
    <w:pPr>
      <w:spacing w:before="120"/>
    </w:pPr>
    <w:rPr>
      <w:sz w:val="16"/>
      <w:szCs w:val="16"/>
      <w:lang w:eastAsia="en-US"/>
    </w:rPr>
  </w:style>
  <w:style w:type="character" w:customStyle="1" w:styleId="BodyText3Char">
    <w:name w:val="Body Text 3 Char"/>
    <w:basedOn w:val="DefaultParagraphFont"/>
    <w:rsid w:val="00322533"/>
    <w:rPr>
      <w:rFonts w:ascii="Times New Roman" w:hAnsi="Times New Roman" w:cs="Times New Roman"/>
      <w:sz w:val="16"/>
      <w:lang w:val="en-GB"/>
    </w:rPr>
  </w:style>
  <w:style w:type="character" w:customStyle="1" w:styleId="BodyTextChar1">
    <w:name w:val="Body Text Char1"/>
    <w:basedOn w:val="DefaultParagraphFont"/>
    <w:uiPriority w:val="99"/>
    <w:semiHidden/>
    <w:rsid w:val="00322533"/>
    <w:rPr>
      <w:rFonts w:ascii="Times New Roman" w:eastAsia="Times New Roman" w:hAnsi="Times New Roman"/>
      <w:sz w:val="22"/>
      <w:szCs w:val="22"/>
      <w:lang w:val="en-US" w:eastAsia="fr-FR"/>
    </w:rPr>
  </w:style>
  <w:style w:type="character" w:customStyle="1" w:styleId="BodyTextFirstIndentChar">
    <w:name w:val="Body Text First Indent Char"/>
    <w:basedOn w:val="BodyTextChar"/>
    <w:link w:val="BodyTextFirstIndent"/>
    <w:rsid w:val="00322533"/>
    <w:rPr>
      <w:rFonts w:eastAsia="Times New Roman"/>
      <w:sz w:val="22"/>
      <w:szCs w:val="22"/>
      <w:lang w:eastAsia="en-US"/>
    </w:rPr>
  </w:style>
  <w:style w:type="paragraph" w:customStyle="1" w:styleId="Retraitcorpset1reli">
    <w:name w:val="Retrait corps et 1_re li"/>
    <w:basedOn w:val="BodyTextIndent"/>
    <w:uiPriority w:val="99"/>
    <w:rsid w:val="00322533"/>
    <w:pPr>
      <w:spacing w:before="120" w:after="0"/>
      <w:ind w:left="283" w:firstLine="210"/>
    </w:pPr>
    <w:rPr>
      <w:szCs w:val="20"/>
      <w:lang w:eastAsia="en-US"/>
    </w:rPr>
  </w:style>
  <w:style w:type="character" w:customStyle="1" w:styleId="BodyTextFirstIndent2Char">
    <w:name w:val="Body Text First Indent 2 Char"/>
    <w:basedOn w:val="BodyTextIndentChar"/>
    <w:rsid w:val="00322533"/>
    <w:rPr>
      <w:rFonts w:ascii="Times New Roman" w:eastAsia="Times New Roman" w:hAnsi="Times New Roman" w:cs="Times New Roman"/>
      <w:i/>
      <w:spacing w:val="-3"/>
      <w:sz w:val="20"/>
      <w:szCs w:val="22"/>
      <w:lang w:val="en-GB" w:eastAsia="fr-FR"/>
    </w:rPr>
  </w:style>
  <w:style w:type="paragraph" w:customStyle="1" w:styleId="Retraitcorpsdet">
    <w:name w:val="Retrait corps de t"/>
    <w:basedOn w:val="Normal"/>
    <w:uiPriority w:val="99"/>
    <w:rsid w:val="00322533"/>
    <w:pPr>
      <w:spacing w:before="120" w:line="480" w:lineRule="auto"/>
      <w:ind w:left="283"/>
    </w:pPr>
    <w:rPr>
      <w:szCs w:val="20"/>
      <w:lang w:eastAsia="en-US"/>
    </w:rPr>
  </w:style>
  <w:style w:type="paragraph" w:customStyle="1" w:styleId="Retraitcorpsdet1">
    <w:name w:val="Retrait corps de t1"/>
    <w:basedOn w:val="Normal"/>
    <w:uiPriority w:val="99"/>
    <w:rsid w:val="00322533"/>
    <w:pPr>
      <w:spacing w:before="120"/>
      <w:ind w:left="283"/>
    </w:pPr>
    <w:rPr>
      <w:sz w:val="16"/>
      <w:szCs w:val="16"/>
      <w:lang w:eastAsia="en-US"/>
    </w:rPr>
  </w:style>
  <w:style w:type="character" w:customStyle="1" w:styleId="BodyTextIndent3Char">
    <w:name w:val="Body Text Indent 3 Char"/>
    <w:basedOn w:val="DefaultParagraphFont"/>
    <w:rsid w:val="00322533"/>
    <w:rPr>
      <w:rFonts w:ascii="Times New Roman" w:hAnsi="Times New Roman" w:cs="Times New Roman"/>
      <w:sz w:val="16"/>
      <w:lang w:val="en-GB"/>
    </w:rPr>
  </w:style>
  <w:style w:type="paragraph" w:customStyle="1" w:styleId="Formule">
    <w:name w:val="Formule"/>
    <w:basedOn w:val="Normal"/>
    <w:uiPriority w:val="99"/>
    <w:rsid w:val="00322533"/>
    <w:pPr>
      <w:spacing w:before="120"/>
      <w:ind w:left="4252"/>
    </w:pPr>
    <w:rPr>
      <w:szCs w:val="20"/>
      <w:lang w:eastAsia="en-US"/>
    </w:rPr>
  </w:style>
  <w:style w:type="character" w:customStyle="1" w:styleId="ClosingChar">
    <w:name w:val="Closing Char"/>
    <w:basedOn w:val="DefaultParagraphFont"/>
    <w:rsid w:val="00322533"/>
    <w:rPr>
      <w:rFonts w:ascii="Times New Roman" w:hAnsi="Times New Roman" w:cs="Times New Roman"/>
      <w:sz w:val="20"/>
      <w:lang w:val="en-GB"/>
    </w:rPr>
  </w:style>
  <w:style w:type="character" w:customStyle="1" w:styleId="DateChar">
    <w:name w:val="Date Char"/>
    <w:basedOn w:val="DefaultParagraphFont"/>
    <w:link w:val="Date"/>
    <w:rsid w:val="00322533"/>
    <w:rPr>
      <w:rFonts w:eastAsia="Times New Roman"/>
      <w:sz w:val="22"/>
      <w:lang w:eastAsia="en-US"/>
    </w:rPr>
  </w:style>
  <w:style w:type="paragraph" w:customStyle="1" w:styleId="Explorateur">
    <w:name w:val="Explorateur"/>
    <w:basedOn w:val="Normal"/>
    <w:uiPriority w:val="99"/>
    <w:rsid w:val="00322533"/>
    <w:pPr>
      <w:shd w:val="clear" w:color="auto" w:fill="000080"/>
      <w:spacing w:before="120"/>
    </w:pPr>
    <w:rPr>
      <w:rFonts w:ascii="Tahoma" w:hAnsi="Tahoma" w:cs="Tahoma"/>
      <w:szCs w:val="20"/>
      <w:lang w:eastAsia="en-US"/>
    </w:rPr>
  </w:style>
  <w:style w:type="paragraph" w:customStyle="1" w:styleId="Signaturelectr">
    <w:name w:val="Signature _lectr"/>
    <w:basedOn w:val="Normal"/>
    <w:uiPriority w:val="99"/>
    <w:rsid w:val="00322533"/>
    <w:pPr>
      <w:spacing w:before="120"/>
    </w:pPr>
    <w:rPr>
      <w:szCs w:val="20"/>
      <w:lang w:eastAsia="en-US"/>
    </w:rPr>
  </w:style>
  <w:style w:type="character" w:customStyle="1" w:styleId="E-mailSignatureChar">
    <w:name w:val="E-mail Signature Char"/>
    <w:basedOn w:val="DefaultParagraphFont"/>
    <w:rsid w:val="00322533"/>
    <w:rPr>
      <w:rFonts w:ascii="Times New Roman" w:hAnsi="Times New Roman" w:cs="Times New Roman"/>
      <w:sz w:val="20"/>
      <w:lang w:val="en-GB"/>
    </w:rPr>
  </w:style>
  <w:style w:type="paragraph" w:customStyle="1" w:styleId="Adressedestinat">
    <w:name w:val="Adresse destinat"/>
    <w:basedOn w:val="Normal"/>
    <w:uiPriority w:val="99"/>
    <w:rsid w:val="00322533"/>
    <w:pPr>
      <w:framePr w:w="7920" w:h="1980" w:hRule="exact" w:hSpace="180" w:wrap="auto" w:hAnchor="page" w:xAlign="center" w:yAlign="bottom"/>
      <w:spacing w:before="120"/>
      <w:ind w:left="2880"/>
    </w:pPr>
    <w:rPr>
      <w:rFonts w:ascii="Arial" w:hAnsi="Arial" w:cs="Arial"/>
      <w:sz w:val="24"/>
      <w:szCs w:val="24"/>
      <w:lang w:eastAsia="en-US"/>
    </w:rPr>
  </w:style>
  <w:style w:type="character" w:customStyle="1" w:styleId="HTMLAddressChar">
    <w:name w:val="HTML Address Char"/>
    <w:basedOn w:val="DefaultParagraphFont"/>
    <w:link w:val="HTMLAddress"/>
    <w:rsid w:val="00322533"/>
    <w:rPr>
      <w:rFonts w:eastAsia="Times New Roman"/>
      <w:i/>
      <w:iCs/>
      <w:sz w:val="22"/>
      <w:lang w:eastAsia="en-US"/>
    </w:rPr>
  </w:style>
  <w:style w:type="character" w:customStyle="1" w:styleId="HTMLPreformattedChar">
    <w:name w:val="HTML Preformatted Char"/>
    <w:basedOn w:val="DefaultParagraphFont"/>
    <w:link w:val="HTMLPreformatted"/>
    <w:uiPriority w:val="99"/>
    <w:rsid w:val="00322533"/>
    <w:rPr>
      <w:rFonts w:ascii="Courier New" w:eastAsia="Times New Roman" w:hAnsi="Courier New" w:cs="Courier New"/>
      <w:lang w:eastAsia="en-US"/>
    </w:rPr>
  </w:style>
  <w:style w:type="paragraph" w:customStyle="1" w:styleId="Liste1">
    <w:name w:val="Liste1"/>
    <w:basedOn w:val="Normal"/>
    <w:uiPriority w:val="99"/>
    <w:rsid w:val="00322533"/>
    <w:pPr>
      <w:spacing w:before="120"/>
      <w:ind w:left="566" w:hanging="283"/>
    </w:pPr>
    <w:rPr>
      <w:szCs w:val="20"/>
      <w:lang w:eastAsia="en-US"/>
    </w:rPr>
  </w:style>
  <w:style w:type="paragraph" w:customStyle="1" w:styleId="Liste7">
    <w:name w:val="Liste 7"/>
    <w:basedOn w:val="Normal"/>
    <w:uiPriority w:val="99"/>
    <w:rsid w:val="00322533"/>
    <w:pPr>
      <w:spacing w:before="120"/>
      <w:ind w:left="849" w:hanging="283"/>
    </w:pPr>
    <w:rPr>
      <w:szCs w:val="20"/>
      <w:lang w:eastAsia="en-US"/>
    </w:rPr>
  </w:style>
  <w:style w:type="paragraph" w:customStyle="1" w:styleId="Liste6">
    <w:name w:val="Liste 6"/>
    <w:basedOn w:val="Normal"/>
    <w:uiPriority w:val="99"/>
    <w:rsid w:val="00322533"/>
    <w:pPr>
      <w:spacing w:before="120"/>
      <w:ind w:left="1132" w:hanging="283"/>
    </w:pPr>
    <w:rPr>
      <w:szCs w:val="20"/>
      <w:lang w:eastAsia="en-US"/>
    </w:rPr>
  </w:style>
  <w:style w:type="paragraph" w:customStyle="1" w:styleId="Liste10">
    <w:name w:val="Liste 1"/>
    <w:basedOn w:val="Normal"/>
    <w:uiPriority w:val="99"/>
    <w:rsid w:val="00322533"/>
    <w:pPr>
      <w:spacing w:before="120"/>
      <w:ind w:left="1415" w:hanging="283"/>
    </w:pPr>
    <w:rPr>
      <w:szCs w:val="20"/>
      <w:lang w:eastAsia="en-US"/>
    </w:rPr>
  </w:style>
  <w:style w:type="paragraph" w:customStyle="1" w:styleId="Listepuc">
    <w:name w:val="Liste ˆ puc"/>
    <w:basedOn w:val="Normal"/>
    <w:uiPriority w:val="99"/>
    <w:rsid w:val="00322533"/>
    <w:pPr>
      <w:tabs>
        <w:tab w:val="num" w:pos="1080"/>
      </w:tabs>
      <w:spacing w:before="120"/>
      <w:ind w:left="720"/>
    </w:pPr>
    <w:rPr>
      <w:szCs w:val="20"/>
      <w:lang w:eastAsia="en-US"/>
    </w:rPr>
  </w:style>
  <w:style w:type="paragraph" w:customStyle="1" w:styleId="Listecontinu">
    <w:name w:val="Liste continu"/>
    <w:basedOn w:val="Normal"/>
    <w:uiPriority w:val="99"/>
    <w:rsid w:val="00322533"/>
    <w:pPr>
      <w:spacing w:before="120"/>
      <w:ind w:left="283"/>
    </w:pPr>
    <w:rPr>
      <w:szCs w:val="20"/>
      <w:lang w:eastAsia="en-US"/>
    </w:rPr>
  </w:style>
  <w:style w:type="paragraph" w:customStyle="1" w:styleId="Listecontinue1">
    <w:name w:val="Liste continue1"/>
    <w:basedOn w:val="Normal"/>
    <w:uiPriority w:val="99"/>
    <w:rsid w:val="00322533"/>
    <w:pPr>
      <w:spacing w:before="120"/>
      <w:ind w:left="566"/>
    </w:pPr>
    <w:rPr>
      <w:szCs w:val="20"/>
      <w:lang w:eastAsia="en-US"/>
    </w:rPr>
  </w:style>
  <w:style w:type="paragraph" w:customStyle="1" w:styleId="Listecontinue7">
    <w:name w:val="Liste continue 7"/>
    <w:basedOn w:val="Normal"/>
    <w:uiPriority w:val="99"/>
    <w:rsid w:val="00322533"/>
    <w:pPr>
      <w:spacing w:before="120"/>
      <w:ind w:left="849"/>
    </w:pPr>
    <w:rPr>
      <w:szCs w:val="20"/>
      <w:lang w:eastAsia="en-US"/>
    </w:rPr>
  </w:style>
  <w:style w:type="paragraph" w:customStyle="1" w:styleId="Listecontinue6">
    <w:name w:val="Liste continue 6"/>
    <w:basedOn w:val="Normal"/>
    <w:uiPriority w:val="99"/>
    <w:rsid w:val="00322533"/>
    <w:pPr>
      <w:spacing w:before="120"/>
      <w:ind w:left="1132"/>
    </w:pPr>
    <w:rPr>
      <w:szCs w:val="20"/>
      <w:lang w:eastAsia="en-US"/>
    </w:rPr>
  </w:style>
  <w:style w:type="paragraph" w:customStyle="1" w:styleId="Listecontinue10">
    <w:name w:val="Liste continue 1"/>
    <w:basedOn w:val="Normal"/>
    <w:uiPriority w:val="99"/>
    <w:rsid w:val="00322533"/>
    <w:pPr>
      <w:spacing w:before="120"/>
      <w:ind w:left="1415"/>
    </w:pPr>
    <w:rPr>
      <w:szCs w:val="20"/>
      <w:lang w:eastAsia="en-US"/>
    </w:rPr>
  </w:style>
  <w:style w:type="paragraph" w:customStyle="1" w:styleId="Listenum">
    <w:name w:val="Liste ˆ num"/>
    <w:basedOn w:val="Normal"/>
    <w:uiPriority w:val="99"/>
    <w:rsid w:val="00322533"/>
    <w:pPr>
      <w:tabs>
        <w:tab w:val="num" w:pos="1080"/>
      </w:tabs>
      <w:spacing w:before="120"/>
      <w:ind w:left="720"/>
    </w:pPr>
    <w:rPr>
      <w:szCs w:val="20"/>
      <w:lang w:eastAsia="en-US"/>
    </w:rPr>
  </w:style>
  <w:style w:type="paragraph" w:customStyle="1" w:styleId="Listenumr">
    <w:name w:val="Liste ˆ num_r"/>
    <w:basedOn w:val="Normal"/>
    <w:uiPriority w:val="99"/>
    <w:rsid w:val="00322533"/>
    <w:pPr>
      <w:tabs>
        <w:tab w:val="num" w:pos="1080"/>
      </w:tabs>
      <w:spacing w:before="120"/>
      <w:ind w:left="720"/>
    </w:pPr>
    <w:rPr>
      <w:szCs w:val="20"/>
      <w:lang w:eastAsia="en-US"/>
    </w:rPr>
  </w:style>
  <w:style w:type="paragraph" w:customStyle="1" w:styleId="Listenumr3">
    <w:name w:val="Liste ˆ num_r3"/>
    <w:basedOn w:val="Normal"/>
    <w:uiPriority w:val="99"/>
    <w:rsid w:val="00322533"/>
    <w:pPr>
      <w:tabs>
        <w:tab w:val="num" w:pos="360"/>
      </w:tabs>
      <w:spacing w:before="120"/>
    </w:pPr>
    <w:rPr>
      <w:szCs w:val="20"/>
      <w:lang w:eastAsia="en-US"/>
    </w:rPr>
  </w:style>
  <w:style w:type="paragraph" w:customStyle="1" w:styleId="Listenumr2">
    <w:name w:val="Liste ˆ num_r2"/>
    <w:basedOn w:val="Normal"/>
    <w:uiPriority w:val="99"/>
    <w:rsid w:val="00322533"/>
    <w:pPr>
      <w:tabs>
        <w:tab w:val="num" w:pos="720"/>
      </w:tabs>
      <w:spacing w:before="120"/>
      <w:ind w:left="720" w:hanging="360"/>
    </w:pPr>
    <w:rPr>
      <w:szCs w:val="20"/>
      <w:lang w:eastAsia="en-US"/>
    </w:rPr>
  </w:style>
  <w:style w:type="paragraph" w:customStyle="1" w:styleId="Listenumr1">
    <w:name w:val="Liste ˆ num_r1"/>
    <w:basedOn w:val="Normal"/>
    <w:uiPriority w:val="99"/>
    <w:rsid w:val="00322533"/>
    <w:pPr>
      <w:tabs>
        <w:tab w:val="num" w:pos="1209"/>
      </w:tabs>
      <w:spacing w:before="120"/>
      <w:ind w:left="1209" w:hanging="360"/>
    </w:pPr>
    <w:rPr>
      <w:szCs w:val="20"/>
      <w:lang w:eastAsia="en-US"/>
    </w:rPr>
  </w:style>
  <w:style w:type="paragraph" w:customStyle="1" w:styleId="Texte">
    <w:name w:val="Texte"/>
    <w:uiPriority w:val="99"/>
    <w:rsid w:val="00322533"/>
    <w:pPr>
      <w:tabs>
        <w:tab w:val="left" w:pos="480"/>
        <w:tab w:val="left" w:pos="960"/>
        <w:tab w:val="left" w:pos="1440"/>
        <w:tab w:val="left" w:pos="1920"/>
        <w:tab w:val="left" w:pos="2400"/>
        <w:tab w:val="left" w:pos="2880"/>
        <w:tab w:val="left" w:pos="3360"/>
        <w:tab w:val="left" w:pos="3840"/>
        <w:tab w:val="left" w:pos="4320"/>
      </w:tabs>
      <w:spacing w:after="120"/>
    </w:pPr>
    <w:rPr>
      <w:rFonts w:ascii="Courier New" w:eastAsia="Times New Roman" w:hAnsi="Courier New" w:cs="Courier New"/>
      <w:lang w:eastAsia="en-US"/>
    </w:rPr>
  </w:style>
  <w:style w:type="paragraph" w:customStyle="1" w:styleId="En-ttedemes">
    <w:name w:val="En-t_te de mes"/>
    <w:basedOn w:val="Normal"/>
    <w:uiPriority w:val="99"/>
    <w:rsid w:val="00322533"/>
    <w:pPr>
      <w:pBdr>
        <w:top w:val="single" w:sz="6" w:space="1" w:color="auto"/>
        <w:left w:val="single" w:sz="6" w:space="1" w:color="auto"/>
        <w:bottom w:val="single" w:sz="6" w:space="1" w:color="auto"/>
        <w:right w:val="single" w:sz="6" w:space="1" w:color="auto"/>
      </w:pBdr>
      <w:shd w:val="pct20" w:color="auto" w:fill="auto"/>
      <w:spacing w:before="120"/>
      <w:ind w:left="1134" w:hanging="1134"/>
    </w:pPr>
    <w:rPr>
      <w:rFonts w:ascii="Arial" w:hAnsi="Arial" w:cs="Arial"/>
      <w:sz w:val="24"/>
      <w:szCs w:val="24"/>
      <w:lang w:eastAsia="en-US"/>
    </w:rPr>
  </w:style>
  <w:style w:type="character" w:customStyle="1" w:styleId="MessageHeaderChar">
    <w:name w:val="Message Header Char"/>
    <w:basedOn w:val="DefaultParagraphFont"/>
    <w:rsid w:val="00322533"/>
    <w:rPr>
      <w:rFonts w:ascii="Arial" w:hAnsi="Arial" w:cs="Arial"/>
      <w:sz w:val="24"/>
      <w:shd w:val="pct20" w:color="auto" w:fill="auto"/>
      <w:lang w:val="en-GB"/>
    </w:rPr>
  </w:style>
  <w:style w:type="paragraph" w:customStyle="1" w:styleId="Retraitnorma">
    <w:name w:val="Retrait norma"/>
    <w:basedOn w:val="Normal"/>
    <w:uiPriority w:val="99"/>
    <w:rsid w:val="00322533"/>
    <w:pPr>
      <w:spacing w:before="120"/>
      <w:ind w:left="720"/>
    </w:pPr>
    <w:rPr>
      <w:szCs w:val="20"/>
      <w:lang w:eastAsia="en-US"/>
    </w:rPr>
  </w:style>
  <w:style w:type="paragraph" w:customStyle="1" w:styleId="Titredenot">
    <w:name w:val="Titre de not"/>
    <w:basedOn w:val="Normal"/>
    <w:next w:val="Normal"/>
    <w:uiPriority w:val="99"/>
    <w:rsid w:val="00322533"/>
    <w:pPr>
      <w:spacing w:before="120"/>
    </w:pPr>
    <w:rPr>
      <w:szCs w:val="20"/>
      <w:lang w:eastAsia="en-US"/>
    </w:rPr>
  </w:style>
  <w:style w:type="character" w:customStyle="1" w:styleId="NoteHeadingChar">
    <w:name w:val="Note Heading Char"/>
    <w:basedOn w:val="DefaultParagraphFont"/>
    <w:rsid w:val="00322533"/>
    <w:rPr>
      <w:rFonts w:ascii="Times New Roman" w:hAnsi="Times New Roman" w:cs="Times New Roman"/>
      <w:sz w:val="20"/>
      <w:lang w:val="en-GB"/>
    </w:rPr>
  </w:style>
  <w:style w:type="character" w:customStyle="1" w:styleId="SalutationChar">
    <w:name w:val="Salutation Char"/>
    <w:basedOn w:val="DefaultParagraphFont"/>
    <w:link w:val="Salutation"/>
    <w:rsid w:val="00322533"/>
    <w:rPr>
      <w:rFonts w:eastAsia="Times New Roman"/>
      <w:sz w:val="22"/>
      <w:lang w:eastAsia="en-US"/>
    </w:rPr>
  </w:style>
  <w:style w:type="character" w:customStyle="1" w:styleId="SignatureChar">
    <w:name w:val="Signature Char"/>
    <w:basedOn w:val="DefaultParagraphFont"/>
    <w:link w:val="Signature"/>
    <w:rsid w:val="00322533"/>
    <w:rPr>
      <w:rFonts w:eastAsia="Times New Roman"/>
      <w:sz w:val="22"/>
      <w:lang w:eastAsia="en-US"/>
    </w:rPr>
  </w:style>
  <w:style w:type="paragraph" w:customStyle="1" w:styleId="Sous-tit">
    <w:name w:val="Sous-tit"/>
    <w:basedOn w:val="Normal"/>
    <w:uiPriority w:val="99"/>
    <w:rsid w:val="00322533"/>
    <w:pPr>
      <w:spacing w:before="120" w:after="60"/>
      <w:jc w:val="center"/>
      <w:outlineLvl w:val="1"/>
    </w:pPr>
    <w:rPr>
      <w:rFonts w:ascii="Arial" w:hAnsi="Arial" w:cs="Arial"/>
      <w:sz w:val="24"/>
      <w:szCs w:val="24"/>
      <w:lang w:eastAsia="en-US"/>
    </w:rPr>
  </w:style>
  <w:style w:type="character" w:customStyle="1" w:styleId="SubtitleChar">
    <w:name w:val="Subtitle Char"/>
    <w:basedOn w:val="DefaultParagraphFont"/>
    <w:rsid w:val="00322533"/>
    <w:rPr>
      <w:rFonts w:ascii="Arial" w:hAnsi="Arial" w:cs="Arial"/>
      <w:sz w:val="24"/>
      <w:lang w:val="en-GB"/>
    </w:rPr>
  </w:style>
  <w:style w:type="paragraph" w:customStyle="1" w:styleId="Tabledesillust">
    <w:name w:val="Table des illust"/>
    <w:basedOn w:val="Normal"/>
    <w:next w:val="Normal"/>
    <w:uiPriority w:val="99"/>
    <w:rsid w:val="00322533"/>
    <w:pPr>
      <w:spacing w:before="120"/>
      <w:ind w:left="440" w:hanging="440"/>
    </w:pPr>
    <w:rPr>
      <w:szCs w:val="20"/>
      <w:lang w:eastAsia="en-US"/>
    </w:rPr>
  </w:style>
  <w:style w:type="character" w:customStyle="1" w:styleId="TitleChar">
    <w:name w:val="Title Char"/>
    <w:basedOn w:val="DefaultParagraphFont"/>
    <w:link w:val="Title"/>
    <w:rsid w:val="00322533"/>
    <w:rPr>
      <w:rFonts w:eastAsia="Times New Roman"/>
      <w:sz w:val="28"/>
      <w:szCs w:val="22"/>
      <w:lang w:val="en-AU" w:eastAsia="fr-FR"/>
    </w:rPr>
  </w:style>
  <w:style w:type="paragraph" w:customStyle="1" w:styleId="Titredeta">
    <w:name w:val="Titre de ta"/>
    <w:basedOn w:val="Normal"/>
    <w:next w:val="Normal"/>
    <w:uiPriority w:val="99"/>
    <w:rsid w:val="00322533"/>
    <w:pPr>
      <w:spacing w:before="120"/>
    </w:pPr>
    <w:rPr>
      <w:rFonts w:ascii="Arial" w:hAnsi="Arial" w:cs="Arial"/>
      <w:b/>
      <w:bCs/>
      <w:sz w:val="24"/>
      <w:szCs w:val="24"/>
      <w:lang w:eastAsia="en-US"/>
    </w:rPr>
  </w:style>
  <w:style w:type="character" w:customStyle="1" w:styleId="Numrodep">
    <w:name w:val="Num_ro de p"/>
    <w:basedOn w:val="DefaultParagraphFont"/>
    <w:uiPriority w:val="99"/>
    <w:rsid w:val="00322533"/>
    <w:rPr>
      <w:rFonts w:cs="Times New Roman"/>
    </w:rPr>
  </w:style>
  <w:style w:type="character" w:customStyle="1" w:styleId="Lienhype">
    <w:name w:val="Lien hype"/>
    <w:basedOn w:val="DefaultParagraphFont"/>
    <w:uiPriority w:val="99"/>
    <w:rsid w:val="00322533"/>
    <w:rPr>
      <w:rFonts w:cs="Times New Roman"/>
      <w:color w:val="0000FF"/>
      <w:u w:val="single"/>
    </w:rPr>
  </w:style>
  <w:style w:type="character" w:customStyle="1" w:styleId="Lienhypertextes">
    <w:name w:val="Lien hypertexte s"/>
    <w:basedOn w:val="DefaultParagraphFont"/>
    <w:uiPriority w:val="99"/>
    <w:rsid w:val="00322533"/>
    <w:rPr>
      <w:rFonts w:cs="Times New Roman"/>
      <w:color w:val="800080"/>
      <w:u w:val="single"/>
    </w:rPr>
  </w:style>
  <w:style w:type="table" w:customStyle="1" w:styleId="TableGrid1">
    <w:name w:val="Table Grid1"/>
    <w:basedOn w:val="TableauNorm"/>
    <w:next w:val="TableGrid"/>
    <w:uiPriority w:val="39"/>
    <w:rsid w:val="00322533"/>
    <w:pPr>
      <w:spacing w:after="120"/>
    </w:pPr>
    <w:rPr>
      <w:rFonts w:ascii="Times New Roman" w:eastAsia="Times New Roman" w:hAnsi="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Normal"/>
    <w:uiPriority w:val="99"/>
    <w:rsid w:val="0032253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eastAsia="en-GB"/>
    </w:rPr>
  </w:style>
  <w:style w:type="paragraph" w:customStyle="1" w:styleId="xl86">
    <w:name w:val="xl86"/>
    <w:basedOn w:val="Normal"/>
    <w:uiPriority w:val="99"/>
    <w:rsid w:val="0032253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eastAsia="en-GB"/>
    </w:rPr>
  </w:style>
  <w:style w:type="paragraph" w:customStyle="1" w:styleId="xl87">
    <w:name w:val="xl87"/>
    <w:basedOn w:val="Normal"/>
    <w:uiPriority w:val="99"/>
    <w:rsid w:val="00322533"/>
    <w:pPr>
      <w:pBdr>
        <w:top w:val="single" w:sz="4" w:space="0" w:color="auto"/>
        <w:left w:val="double" w:sz="6" w:space="0" w:color="auto"/>
        <w:bottom w:val="single" w:sz="4" w:space="0" w:color="auto"/>
        <w:right w:val="single" w:sz="4" w:space="0" w:color="auto"/>
      </w:pBdr>
      <w:spacing w:before="100" w:beforeAutospacing="1" w:after="100" w:afterAutospacing="1"/>
    </w:pPr>
    <w:rPr>
      <w:sz w:val="24"/>
      <w:szCs w:val="24"/>
      <w:lang w:eastAsia="en-GB"/>
    </w:rPr>
  </w:style>
  <w:style w:type="paragraph" w:customStyle="1" w:styleId="xl88">
    <w:name w:val="xl88"/>
    <w:basedOn w:val="Normal"/>
    <w:uiPriority w:val="99"/>
    <w:rsid w:val="00322533"/>
    <w:pPr>
      <w:pBdr>
        <w:top w:val="single" w:sz="4" w:space="0" w:color="auto"/>
        <w:left w:val="single" w:sz="8" w:space="0" w:color="auto"/>
        <w:bottom w:val="single" w:sz="4" w:space="0" w:color="auto"/>
        <w:right w:val="single" w:sz="4" w:space="0" w:color="auto"/>
      </w:pBdr>
      <w:spacing w:before="100" w:beforeAutospacing="1" w:after="100" w:afterAutospacing="1"/>
    </w:pPr>
    <w:rPr>
      <w:sz w:val="24"/>
      <w:szCs w:val="24"/>
      <w:lang w:eastAsia="en-GB"/>
    </w:rPr>
  </w:style>
  <w:style w:type="paragraph" w:customStyle="1" w:styleId="xl89">
    <w:name w:val="xl89"/>
    <w:basedOn w:val="Normal"/>
    <w:uiPriority w:val="99"/>
    <w:rsid w:val="00322533"/>
    <w:pPr>
      <w:pBdr>
        <w:top w:val="single" w:sz="4" w:space="0" w:color="auto"/>
        <w:left w:val="single" w:sz="4" w:space="0" w:color="auto"/>
        <w:bottom w:val="single" w:sz="4" w:space="0" w:color="auto"/>
        <w:right w:val="single" w:sz="8" w:space="0" w:color="auto"/>
      </w:pBdr>
      <w:spacing w:before="100" w:beforeAutospacing="1" w:after="100" w:afterAutospacing="1"/>
    </w:pPr>
    <w:rPr>
      <w:sz w:val="24"/>
      <w:szCs w:val="24"/>
      <w:lang w:eastAsia="en-GB"/>
    </w:rPr>
  </w:style>
  <w:style w:type="paragraph" w:customStyle="1" w:styleId="xl90">
    <w:name w:val="xl90"/>
    <w:basedOn w:val="Normal"/>
    <w:uiPriority w:val="99"/>
    <w:rsid w:val="0032253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eastAsia="en-GB"/>
    </w:rPr>
  </w:style>
  <w:style w:type="paragraph" w:customStyle="1" w:styleId="xl91">
    <w:name w:val="xl91"/>
    <w:basedOn w:val="Normal"/>
    <w:uiPriority w:val="99"/>
    <w:rsid w:val="0032253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eastAsia="en-GB"/>
    </w:rPr>
  </w:style>
  <w:style w:type="paragraph" w:customStyle="1" w:styleId="xl92">
    <w:name w:val="xl92"/>
    <w:basedOn w:val="Normal"/>
    <w:uiPriority w:val="99"/>
    <w:rsid w:val="00322533"/>
    <w:pPr>
      <w:pBdr>
        <w:bottom w:val="single" w:sz="4" w:space="0" w:color="auto"/>
      </w:pBdr>
      <w:spacing w:before="100" w:beforeAutospacing="1" w:after="100" w:afterAutospacing="1"/>
      <w:jc w:val="center"/>
    </w:pPr>
    <w:rPr>
      <w:sz w:val="24"/>
      <w:szCs w:val="24"/>
      <w:lang w:eastAsia="en-GB"/>
    </w:rPr>
  </w:style>
  <w:style w:type="paragraph" w:customStyle="1" w:styleId="xl93">
    <w:name w:val="xl93"/>
    <w:basedOn w:val="Normal"/>
    <w:uiPriority w:val="99"/>
    <w:rsid w:val="00322533"/>
    <w:pPr>
      <w:pBdr>
        <w:top w:val="single" w:sz="4" w:space="0" w:color="auto"/>
        <w:left w:val="single" w:sz="4" w:space="0" w:color="auto"/>
        <w:bottom w:val="single" w:sz="4" w:space="0" w:color="auto"/>
        <w:right w:val="double" w:sz="6" w:space="0" w:color="auto"/>
      </w:pBdr>
      <w:spacing w:before="100" w:beforeAutospacing="1" w:after="100" w:afterAutospacing="1"/>
    </w:pPr>
    <w:rPr>
      <w:sz w:val="24"/>
      <w:szCs w:val="24"/>
      <w:lang w:eastAsia="en-GB"/>
    </w:rPr>
  </w:style>
  <w:style w:type="paragraph" w:customStyle="1" w:styleId="xl94">
    <w:name w:val="xl94"/>
    <w:basedOn w:val="Normal"/>
    <w:uiPriority w:val="99"/>
    <w:rsid w:val="00322533"/>
    <w:pPr>
      <w:pBdr>
        <w:top w:val="single" w:sz="4" w:space="0" w:color="auto"/>
        <w:left w:val="double" w:sz="6" w:space="0" w:color="auto"/>
        <w:bottom w:val="single" w:sz="4" w:space="0" w:color="auto"/>
        <w:right w:val="single" w:sz="4" w:space="0" w:color="auto"/>
      </w:pBdr>
      <w:spacing w:before="100" w:beforeAutospacing="1" w:after="100" w:afterAutospacing="1"/>
    </w:pPr>
    <w:rPr>
      <w:sz w:val="24"/>
      <w:szCs w:val="24"/>
      <w:lang w:eastAsia="en-GB"/>
    </w:rPr>
  </w:style>
  <w:style w:type="paragraph" w:customStyle="1" w:styleId="xl95">
    <w:name w:val="xl95"/>
    <w:basedOn w:val="Normal"/>
    <w:uiPriority w:val="99"/>
    <w:rsid w:val="00322533"/>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4"/>
      <w:szCs w:val="24"/>
      <w:lang w:eastAsia="en-GB"/>
    </w:rPr>
  </w:style>
  <w:style w:type="paragraph" w:customStyle="1" w:styleId="xl96">
    <w:name w:val="xl96"/>
    <w:basedOn w:val="Normal"/>
    <w:uiPriority w:val="99"/>
    <w:rsid w:val="00322533"/>
    <w:pPr>
      <w:pBdr>
        <w:top w:val="single" w:sz="4" w:space="0" w:color="auto"/>
        <w:left w:val="single" w:sz="4" w:space="0" w:color="auto"/>
        <w:bottom w:val="single" w:sz="4" w:space="0" w:color="auto"/>
        <w:right w:val="single" w:sz="8" w:space="0" w:color="auto"/>
      </w:pBdr>
      <w:spacing w:before="100" w:beforeAutospacing="1" w:after="100" w:afterAutospacing="1"/>
    </w:pPr>
    <w:rPr>
      <w:sz w:val="24"/>
      <w:szCs w:val="24"/>
      <w:lang w:eastAsia="en-GB"/>
    </w:rPr>
  </w:style>
  <w:style w:type="paragraph" w:customStyle="1" w:styleId="xl97">
    <w:name w:val="xl97"/>
    <w:basedOn w:val="Normal"/>
    <w:uiPriority w:val="99"/>
    <w:rsid w:val="00322533"/>
    <w:pPr>
      <w:pBdr>
        <w:top w:val="single" w:sz="4" w:space="0" w:color="auto"/>
        <w:left w:val="single" w:sz="8" w:space="0" w:color="auto"/>
        <w:bottom w:val="single" w:sz="4" w:space="0" w:color="auto"/>
        <w:right w:val="single" w:sz="4" w:space="0" w:color="auto"/>
      </w:pBdr>
      <w:spacing w:before="100" w:beforeAutospacing="1" w:after="100" w:afterAutospacing="1"/>
    </w:pPr>
    <w:rPr>
      <w:sz w:val="24"/>
      <w:szCs w:val="24"/>
      <w:lang w:eastAsia="en-GB"/>
    </w:rPr>
  </w:style>
  <w:style w:type="paragraph" w:customStyle="1" w:styleId="xl98">
    <w:name w:val="xl98"/>
    <w:basedOn w:val="Normal"/>
    <w:uiPriority w:val="99"/>
    <w:rsid w:val="00322533"/>
    <w:pPr>
      <w:pBdr>
        <w:top w:val="single" w:sz="4" w:space="0" w:color="auto"/>
        <w:left w:val="single" w:sz="4" w:space="0" w:color="auto"/>
        <w:bottom w:val="single" w:sz="4" w:space="0" w:color="auto"/>
        <w:right w:val="single" w:sz="8" w:space="0" w:color="auto"/>
      </w:pBdr>
      <w:spacing w:before="100" w:beforeAutospacing="1" w:after="100" w:afterAutospacing="1"/>
      <w:jc w:val="center"/>
    </w:pPr>
    <w:rPr>
      <w:sz w:val="24"/>
      <w:szCs w:val="24"/>
      <w:lang w:eastAsia="en-GB"/>
    </w:rPr>
  </w:style>
  <w:style w:type="paragraph" w:customStyle="1" w:styleId="xl99">
    <w:name w:val="xl99"/>
    <w:basedOn w:val="Normal"/>
    <w:uiPriority w:val="99"/>
    <w:rsid w:val="00322533"/>
    <w:pPr>
      <w:pBdr>
        <w:top w:val="single" w:sz="4" w:space="0" w:color="auto"/>
        <w:left w:val="double" w:sz="6" w:space="0" w:color="auto"/>
        <w:bottom w:val="single" w:sz="4" w:space="0" w:color="auto"/>
        <w:right w:val="single" w:sz="8" w:space="0" w:color="auto"/>
      </w:pBdr>
      <w:spacing w:before="100" w:beforeAutospacing="1" w:after="100" w:afterAutospacing="1"/>
      <w:jc w:val="center"/>
    </w:pPr>
    <w:rPr>
      <w:sz w:val="24"/>
      <w:szCs w:val="24"/>
      <w:lang w:eastAsia="en-GB"/>
    </w:rPr>
  </w:style>
  <w:style w:type="paragraph" w:customStyle="1" w:styleId="xl100">
    <w:name w:val="xl100"/>
    <w:basedOn w:val="Normal"/>
    <w:uiPriority w:val="99"/>
    <w:rsid w:val="00322533"/>
    <w:pPr>
      <w:pBdr>
        <w:top w:val="single" w:sz="4" w:space="0" w:color="auto"/>
        <w:left w:val="single" w:sz="8" w:space="0" w:color="auto"/>
      </w:pBdr>
      <w:spacing w:before="100" w:beforeAutospacing="1" w:after="100" w:afterAutospacing="1"/>
      <w:jc w:val="center"/>
    </w:pPr>
    <w:rPr>
      <w:sz w:val="24"/>
      <w:szCs w:val="24"/>
      <w:lang w:eastAsia="en-GB"/>
    </w:rPr>
  </w:style>
  <w:style w:type="paragraph" w:customStyle="1" w:styleId="xl101">
    <w:name w:val="xl101"/>
    <w:basedOn w:val="Normal"/>
    <w:uiPriority w:val="99"/>
    <w:rsid w:val="00322533"/>
    <w:pPr>
      <w:pBdr>
        <w:top w:val="single" w:sz="4" w:space="0" w:color="auto"/>
      </w:pBdr>
      <w:spacing w:before="100" w:beforeAutospacing="1" w:after="100" w:afterAutospacing="1"/>
      <w:jc w:val="center"/>
    </w:pPr>
    <w:rPr>
      <w:sz w:val="24"/>
      <w:szCs w:val="24"/>
      <w:lang w:eastAsia="en-GB"/>
    </w:rPr>
  </w:style>
  <w:style w:type="paragraph" w:customStyle="1" w:styleId="xl102">
    <w:name w:val="xl102"/>
    <w:basedOn w:val="Normal"/>
    <w:uiPriority w:val="99"/>
    <w:rsid w:val="00322533"/>
    <w:pPr>
      <w:pBdr>
        <w:top w:val="single" w:sz="4" w:space="0" w:color="auto"/>
        <w:right w:val="double" w:sz="6" w:space="0" w:color="auto"/>
      </w:pBdr>
      <w:spacing w:before="100" w:beforeAutospacing="1" w:after="100" w:afterAutospacing="1"/>
      <w:jc w:val="center"/>
    </w:pPr>
    <w:rPr>
      <w:sz w:val="24"/>
      <w:szCs w:val="24"/>
      <w:lang w:eastAsia="en-GB"/>
    </w:rPr>
  </w:style>
  <w:style w:type="paragraph" w:customStyle="1" w:styleId="xl103">
    <w:name w:val="xl103"/>
    <w:basedOn w:val="Normal"/>
    <w:uiPriority w:val="99"/>
    <w:rsid w:val="00322533"/>
    <w:pPr>
      <w:pBdr>
        <w:left w:val="single" w:sz="8" w:space="0" w:color="auto"/>
        <w:bottom w:val="single" w:sz="4" w:space="0" w:color="auto"/>
      </w:pBdr>
      <w:spacing w:before="100" w:beforeAutospacing="1" w:after="100" w:afterAutospacing="1"/>
      <w:jc w:val="center"/>
    </w:pPr>
    <w:rPr>
      <w:sz w:val="24"/>
      <w:szCs w:val="24"/>
      <w:lang w:eastAsia="en-GB"/>
    </w:rPr>
  </w:style>
  <w:style w:type="paragraph" w:customStyle="1" w:styleId="xl104">
    <w:name w:val="xl104"/>
    <w:basedOn w:val="Normal"/>
    <w:uiPriority w:val="99"/>
    <w:rsid w:val="00322533"/>
    <w:pPr>
      <w:pBdr>
        <w:bottom w:val="single" w:sz="4" w:space="0" w:color="auto"/>
        <w:right w:val="double" w:sz="6" w:space="0" w:color="auto"/>
      </w:pBdr>
      <w:spacing w:before="100" w:beforeAutospacing="1" w:after="100" w:afterAutospacing="1"/>
      <w:jc w:val="center"/>
    </w:pPr>
    <w:rPr>
      <w:sz w:val="24"/>
      <w:szCs w:val="24"/>
      <w:lang w:eastAsia="en-GB"/>
    </w:rPr>
  </w:style>
  <w:style w:type="paragraph" w:customStyle="1" w:styleId="xl105">
    <w:name w:val="xl105"/>
    <w:basedOn w:val="Normal"/>
    <w:uiPriority w:val="99"/>
    <w:rsid w:val="00322533"/>
    <w:pPr>
      <w:pBdr>
        <w:top w:val="single" w:sz="4" w:space="0" w:color="auto"/>
        <w:right w:val="single" w:sz="4" w:space="0" w:color="auto"/>
      </w:pBdr>
      <w:spacing w:before="100" w:beforeAutospacing="1" w:after="100" w:afterAutospacing="1"/>
      <w:jc w:val="center"/>
    </w:pPr>
    <w:rPr>
      <w:sz w:val="24"/>
      <w:szCs w:val="24"/>
      <w:lang w:eastAsia="en-GB"/>
    </w:rPr>
  </w:style>
  <w:style w:type="paragraph" w:customStyle="1" w:styleId="xl106">
    <w:name w:val="xl106"/>
    <w:basedOn w:val="Normal"/>
    <w:uiPriority w:val="99"/>
    <w:rsid w:val="00322533"/>
    <w:pPr>
      <w:pBdr>
        <w:bottom w:val="single" w:sz="4" w:space="0" w:color="auto"/>
        <w:right w:val="single" w:sz="4" w:space="0" w:color="auto"/>
      </w:pBdr>
      <w:spacing w:before="100" w:beforeAutospacing="1" w:after="100" w:afterAutospacing="1"/>
      <w:jc w:val="center"/>
    </w:pPr>
    <w:rPr>
      <w:sz w:val="24"/>
      <w:szCs w:val="24"/>
      <w:lang w:eastAsia="en-GB"/>
    </w:rPr>
  </w:style>
  <w:style w:type="paragraph" w:customStyle="1" w:styleId="xl107">
    <w:name w:val="xl107"/>
    <w:basedOn w:val="Normal"/>
    <w:uiPriority w:val="99"/>
    <w:rsid w:val="00322533"/>
    <w:pPr>
      <w:pBdr>
        <w:top w:val="single" w:sz="4" w:space="0" w:color="auto"/>
        <w:left w:val="single" w:sz="4" w:space="0" w:color="auto"/>
        <w:bottom w:val="single" w:sz="4" w:space="0" w:color="auto"/>
        <w:right w:val="single" w:sz="8" w:space="0" w:color="auto"/>
      </w:pBdr>
      <w:spacing w:before="100" w:beforeAutospacing="1" w:after="100" w:afterAutospacing="1"/>
    </w:pPr>
    <w:rPr>
      <w:sz w:val="24"/>
      <w:szCs w:val="24"/>
      <w:lang w:eastAsia="en-GB"/>
    </w:rPr>
  </w:style>
  <w:style w:type="paragraph" w:customStyle="1" w:styleId="xl108">
    <w:name w:val="xl108"/>
    <w:basedOn w:val="Normal"/>
    <w:uiPriority w:val="99"/>
    <w:rsid w:val="00322533"/>
    <w:pPr>
      <w:pBdr>
        <w:top w:val="single" w:sz="4" w:space="0" w:color="auto"/>
        <w:left w:val="single" w:sz="8" w:space="0" w:color="auto"/>
        <w:bottom w:val="single" w:sz="4" w:space="0" w:color="auto"/>
        <w:right w:val="single" w:sz="4" w:space="0" w:color="auto"/>
      </w:pBdr>
      <w:spacing w:before="100" w:beforeAutospacing="1" w:after="100" w:afterAutospacing="1"/>
    </w:pPr>
    <w:rPr>
      <w:sz w:val="24"/>
      <w:szCs w:val="24"/>
      <w:lang w:eastAsia="en-GB"/>
    </w:rPr>
  </w:style>
  <w:style w:type="paragraph" w:customStyle="1" w:styleId="xl109">
    <w:name w:val="xl109"/>
    <w:basedOn w:val="Normal"/>
    <w:uiPriority w:val="99"/>
    <w:rsid w:val="00322533"/>
    <w:pPr>
      <w:pBdr>
        <w:top w:val="single" w:sz="4" w:space="0" w:color="auto"/>
        <w:left w:val="double" w:sz="6" w:space="0" w:color="auto"/>
        <w:bottom w:val="single" w:sz="4" w:space="0" w:color="auto"/>
        <w:right w:val="single" w:sz="4" w:space="0" w:color="auto"/>
      </w:pBdr>
      <w:spacing w:before="100" w:beforeAutospacing="1" w:after="100" w:afterAutospacing="1"/>
    </w:pPr>
    <w:rPr>
      <w:sz w:val="24"/>
      <w:szCs w:val="24"/>
      <w:lang w:eastAsia="en-GB"/>
    </w:rPr>
  </w:style>
  <w:style w:type="paragraph" w:customStyle="1" w:styleId="xl110">
    <w:name w:val="xl110"/>
    <w:basedOn w:val="Normal"/>
    <w:uiPriority w:val="99"/>
    <w:rsid w:val="0032253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sz w:val="24"/>
      <w:szCs w:val="24"/>
      <w:lang w:eastAsia="en-GB"/>
    </w:rPr>
  </w:style>
  <w:style w:type="paragraph" w:customStyle="1" w:styleId="xl111">
    <w:name w:val="xl111"/>
    <w:basedOn w:val="Normal"/>
    <w:uiPriority w:val="99"/>
    <w:rsid w:val="0032253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sz w:val="24"/>
      <w:szCs w:val="24"/>
      <w:lang w:eastAsia="en-GB"/>
    </w:rPr>
  </w:style>
  <w:style w:type="paragraph" w:customStyle="1" w:styleId="xl112">
    <w:name w:val="xl112"/>
    <w:basedOn w:val="Normal"/>
    <w:uiPriority w:val="99"/>
    <w:rsid w:val="00322533"/>
    <w:pPr>
      <w:pBdr>
        <w:top w:val="single" w:sz="4" w:space="0" w:color="auto"/>
        <w:left w:val="single" w:sz="4" w:space="0" w:color="auto"/>
        <w:bottom w:val="single" w:sz="4" w:space="0" w:color="auto"/>
        <w:right w:val="single" w:sz="8" w:space="0" w:color="auto"/>
      </w:pBdr>
      <w:shd w:val="clear" w:color="000000" w:fill="D8D8D8"/>
      <w:spacing w:before="100" w:beforeAutospacing="1" w:after="100" w:afterAutospacing="1"/>
    </w:pPr>
    <w:rPr>
      <w:sz w:val="24"/>
      <w:szCs w:val="24"/>
      <w:lang w:eastAsia="en-GB"/>
    </w:rPr>
  </w:style>
  <w:style w:type="paragraph" w:customStyle="1" w:styleId="xl113">
    <w:name w:val="xl113"/>
    <w:basedOn w:val="Normal"/>
    <w:uiPriority w:val="99"/>
    <w:rsid w:val="00322533"/>
    <w:pPr>
      <w:pBdr>
        <w:top w:val="single" w:sz="4" w:space="0" w:color="auto"/>
        <w:left w:val="single" w:sz="8" w:space="0" w:color="auto"/>
        <w:bottom w:val="single" w:sz="4" w:space="0" w:color="auto"/>
        <w:right w:val="single" w:sz="4" w:space="0" w:color="auto"/>
      </w:pBdr>
      <w:shd w:val="clear" w:color="000000" w:fill="D8D8D8"/>
      <w:spacing w:before="100" w:beforeAutospacing="1" w:after="100" w:afterAutospacing="1"/>
    </w:pPr>
    <w:rPr>
      <w:sz w:val="24"/>
      <w:szCs w:val="24"/>
      <w:lang w:eastAsia="en-GB"/>
    </w:rPr>
  </w:style>
  <w:style w:type="paragraph" w:customStyle="1" w:styleId="xl114">
    <w:name w:val="xl114"/>
    <w:basedOn w:val="Normal"/>
    <w:uiPriority w:val="99"/>
    <w:rsid w:val="00322533"/>
    <w:pPr>
      <w:pBdr>
        <w:top w:val="single" w:sz="4" w:space="0" w:color="auto"/>
        <w:left w:val="double" w:sz="6" w:space="0" w:color="auto"/>
        <w:bottom w:val="single" w:sz="4" w:space="0" w:color="auto"/>
        <w:right w:val="single" w:sz="4" w:space="0" w:color="auto"/>
      </w:pBdr>
      <w:shd w:val="clear" w:color="000000" w:fill="D8D8D8"/>
      <w:spacing w:before="100" w:beforeAutospacing="1" w:after="100" w:afterAutospacing="1"/>
    </w:pPr>
    <w:rPr>
      <w:sz w:val="24"/>
      <w:szCs w:val="24"/>
      <w:lang w:eastAsia="en-GB"/>
    </w:rPr>
  </w:style>
  <w:style w:type="paragraph" w:customStyle="1" w:styleId="xl115">
    <w:name w:val="xl115"/>
    <w:basedOn w:val="Normal"/>
    <w:uiPriority w:val="99"/>
    <w:rsid w:val="00322533"/>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4"/>
      <w:szCs w:val="24"/>
      <w:lang w:eastAsia="en-GB"/>
    </w:rPr>
  </w:style>
  <w:style w:type="paragraph" w:customStyle="1" w:styleId="xl116">
    <w:name w:val="xl116"/>
    <w:basedOn w:val="Normal"/>
    <w:uiPriority w:val="99"/>
    <w:rsid w:val="0032253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jc w:val="right"/>
    </w:pPr>
    <w:rPr>
      <w:sz w:val="24"/>
      <w:szCs w:val="24"/>
      <w:lang w:eastAsia="en-GB"/>
    </w:rPr>
  </w:style>
  <w:style w:type="paragraph" w:customStyle="1" w:styleId="xl117">
    <w:name w:val="xl117"/>
    <w:basedOn w:val="Normal"/>
    <w:uiPriority w:val="99"/>
    <w:rsid w:val="00322533"/>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4"/>
      <w:szCs w:val="24"/>
      <w:lang w:eastAsia="en-GB"/>
    </w:rPr>
  </w:style>
  <w:style w:type="paragraph" w:customStyle="1" w:styleId="xl118">
    <w:name w:val="xl118"/>
    <w:basedOn w:val="Normal"/>
    <w:uiPriority w:val="99"/>
    <w:rsid w:val="00322533"/>
    <w:pPr>
      <w:pBdr>
        <w:top w:val="single" w:sz="4" w:space="0" w:color="auto"/>
        <w:left w:val="single" w:sz="4" w:space="0" w:color="auto"/>
        <w:bottom w:val="single" w:sz="4" w:space="0" w:color="auto"/>
        <w:right w:val="single" w:sz="8" w:space="0" w:color="auto"/>
      </w:pBdr>
      <w:shd w:val="clear" w:color="000000" w:fill="D8D8D8"/>
      <w:spacing w:before="100" w:beforeAutospacing="1" w:after="100" w:afterAutospacing="1"/>
    </w:pPr>
    <w:rPr>
      <w:sz w:val="24"/>
      <w:szCs w:val="24"/>
      <w:lang w:eastAsia="en-GB"/>
    </w:rPr>
  </w:style>
  <w:style w:type="paragraph" w:customStyle="1" w:styleId="xl119">
    <w:name w:val="xl119"/>
    <w:basedOn w:val="Normal"/>
    <w:uiPriority w:val="99"/>
    <w:rsid w:val="00322533"/>
    <w:pPr>
      <w:pBdr>
        <w:top w:val="single" w:sz="4" w:space="0" w:color="auto"/>
        <w:left w:val="single" w:sz="8" w:space="0" w:color="auto"/>
        <w:bottom w:val="single" w:sz="4" w:space="0" w:color="auto"/>
        <w:right w:val="single" w:sz="4" w:space="0" w:color="auto"/>
      </w:pBdr>
      <w:shd w:val="clear" w:color="000000" w:fill="D8D8D8"/>
      <w:spacing w:before="100" w:beforeAutospacing="1" w:after="100" w:afterAutospacing="1"/>
    </w:pPr>
    <w:rPr>
      <w:sz w:val="24"/>
      <w:szCs w:val="24"/>
      <w:lang w:eastAsia="en-GB"/>
    </w:rPr>
  </w:style>
  <w:style w:type="paragraph" w:customStyle="1" w:styleId="xl120">
    <w:name w:val="xl120"/>
    <w:basedOn w:val="Normal"/>
    <w:uiPriority w:val="99"/>
    <w:rsid w:val="00322533"/>
    <w:pPr>
      <w:pBdr>
        <w:top w:val="single" w:sz="4" w:space="0" w:color="auto"/>
        <w:left w:val="double" w:sz="6" w:space="0" w:color="auto"/>
        <w:bottom w:val="single" w:sz="4" w:space="0" w:color="auto"/>
        <w:right w:val="single" w:sz="4" w:space="0" w:color="auto"/>
      </w:pBdr>
      <w:shd w:val="clear" w:color="000000" w:fill="D8D8D8"/>
      <w:spacing w:before="100" w:beforeAutospacing="1" w:after="100" w:afterAutospacing="1"/>
    </w:pPr>
    <w:rPr>
      <w:sz w:val="24"/>
      <w:szCs w:val="24"/>
      <w:lang w:eastAsia="en-GB"/>
    </w:rPr>
  </w:style>
  <w:style w:type="character" w:customStyle="1" w:styleId="Marquedenotede">
    <w:name w:val="Marque de note de"/>
    <w:basedOn w:val="DefaultParagraphFont"/>
    <w:uiPriority w:val="99"/>
    <w:rsid w:val="00322533"/>
    <w:rPr>
      <w:rFonts w:cs="Times New Roman"/>
      <w:vertAlign w:val="superscript"/>
    </w:rPr>
  </w:style>
  <w:style w:type="paragraph" w:customStyle="1" w:styleId="CM13">
    <w:name w:val="CM13"/>
    <w:basedOn w:val="Normal"/>
    <w:next w:val="Normal"/>
    <w:uiPriority w:val="99"/>
    <w:rsid w:val="00322533"/>
    <w:pPr>
      <w:widowControl w:val="0"/>
      <w:autoSpaceDE w:val="0"/>
      <w:autoSpaceDN w:val="0"/>
      <w:adjustRightInd w:val="0"/>
      <w:spacing w:after="443"/>
    </w:pPr>
    <w:rPr>
      <w:rFonts w:ascii="Bookman Old Style" w:hAnsi="Bookman Old Style"/>
      <w:sz w:val="24"/>
      <w:szCs w:val="24"/>
      <w:lang w:eastAsia="en-GB"/>
    </w:rPr>
  </w:style>
  <w:style w:type="paragraph" w:customStyle="1" w:styleId="CM15">
    <w:name w:val="CM15"/>
    <w:basedOn w:val="Default"/>
    <w:next w:val="Default"/>
    <w:uiPriority w:val="99"/>
    <w:rsid w:val="00322533"/>
    <w:pPr>
      <w:widowControl w:val="0"/>
      <w:spacing w:after="115"/>
    </w:pPr>
    <w:rPr>
      <w:rFonts w:ascii="Bookman Old Style" w:hAnsi="Bookman Old Style"/>
      <w:color w:val="auto"/>
      <w:lang w:val="en-GB" w:eastAsia="en-GB"/>
    </w:rPr>
  </w:style>
  <w:style w:type="character" w:customStyle="1" w:styleId="FootnoteTextChar1">
    <w:name w:val="Footnote Text Char1"/>
    <w:basedOn w:val="DefaultParagraphFont"/>
    <w:uiPriority w:val="99"/>
    <w:semiHidden/>
    <w:rsid w:val="00322533"/>
    <w:rPr>
      <w:rFonts w:ascii="Times New Roman" w:eastAsia="Times New Roman" w:hAnsi="Times New Roman"/>
      <w:sz w:val="24"/>
      <w:szCs w:val="24"/>
      <w:lang w:val="en-US" w:eastAsia="fr-FR"/>
    </w:rPr>
  </w:style>
  <w:style w:type="character" w:customStyle="1" w:styleId="HeaderChar2">
    <w:name w:val="Header Char2"/>
    <w:basedOn w:val="DefaultParagraphFont"/>
    <w:uiPriority w:val="99"/>
    <w:semiHidden/>
    <w:rsid w:val="00322533"/>
    <w:rPr>
      <w:rFonts w:ascii="Times New Roman" w:eastAsia="Times New Roman" w:hAnsi="Times New Roman"/>
      <w:sz w:val="22"/>
      <w:szCs w:val="22"/>
      <w:lang w:val="en-US" w:eastAsia="fr-FR"/>
    </w:rPr>
  </w:style>
  <w:style w:type="character" w:customStyle="1" w:styleId="FooterChar1">
    <w:name w:val="Footer Char1"/>
    <w:basedOn w:val="DefaultParagraphFont"/>
    <w:uiPriority w:val="99"/>
    <w:semiHidden/>
    <w:rsid w:val="00322533"/>
    <w:rPr>
      <w:rFonts w:ascii="Times New Roman" w:eastAsia="Times New Roman" w:hAnsi="Times New Roman"/>
      <w:sz w:val="22"/>
      <w:szCs w:val="22"/>
      <w:lang w:val="en-US" w:eastAsia="fr-FR"/>
    </w:rPr>
  </w:style>
  <w:style w:type="table" w:customStyle="1" w:styleId="TableGrid2">
    <w:name w:val="Table Grid2"/>
    <w:basedOn w:val="TableNormal"/>
    <w:next w:val="TableGrid"/>
    <w:rsid w:val="000B2CDA"/>
    <w:pPr>
      <w:spacing w:after="120"/>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frenceple1">
    <w:name w:val="Référence pâle1"/>
    <w:basedOn w:val="DefaultParagraphFont"/>
    <w:uiPriority w:val="31"/>
    <w:qFormat/>
    <w:rsid w:val="000B2CDA"/>
    <w:rPr>
      <w:smallCaps/>
      <w:color w:val="C0504D"/>
      <w:u w:val="single"/>
    </w:rPr>
  </w:style>
  <w:style w:type="character" w:customStyle="1" w:styleId="Rfrenceintense1">
    <w:name w:val="Référence intense1"/>
    <w:basedOn w:val="DefaultParagraphFont"/>
    <w:uiPriority w:val="32"/>
    <w:qFormat/>
    <w:rsid w:val="000B2CDA"/>
    <w:rPr>
      <w:b/>
      <w:bCs/>
      <w:smallCaps/>
      <w:color w:val="C0504D"/>
      <w:spacing w:val="5"/>
      <w:u w:val="single"/>
    </w:rPr>
  </w:style>
  <w:style w:type="character" w:customStyle="1" w:styleId="Titredulivre1">
    <w:name w:val="Titre du livre1"/>
    <w:basedOn w:val="DefaultParagraphFont"/>
    <w:uiPriority w:val="33"/>
    <w:qFormat/>
    <w:rsid w:val="000B2CDA"/>
    <w:rPr>
      <w:b/>
      <w:bCs/>
      <w:smallCaps/>
      <w:spacing w:val="5"/>
    </w:rPr>
  </w:style>
  <w:style w:type="paragraph" w:customStyle="1" w:styleId="CM7">
    <w:name w:val="CM7"/>
    <w:basedOn w:val="Default"/>
    <w:next w:val="Default"/>
    <w:uiPriority w:val="99"/>
    <w:rsid w:val="000B2CDA"/>
    <w:pPr>
      <w:widowControl w:val="0"/>
      <w:spacing w:line="276" w:lineRule="atLeast"/>
    </w:pPr>
    <w:rPr>
      <w:rFonts w:ascii="PMEGME+TimesNewRoman" w:hAnsi="PMEGME+TimesNewRoman"/>
      <w:color w:val="auto"/>
      <w:lang w:val="fr-FR" w:eastAsia="fr-FR"/>
    </w:rPr>
  </w:style>
  <w:style w:type="paragraph" w:customStyle="1" w:styleId="CM1">
    <w:name w:val="CM1"/>
    <w:basedOn w:val="Default"/>
    <w:next w:val="Default"/>
    <w:rsid w:val="000B2CDA"/>
    <w:pPr>
      <w:widowControl w:val="0"/>
    </w:pPr>
    <w:rPr>
      <w:rFonts w:ascii="PMEGME+TimesNewRoman" w:hAnsi="PMEGME+TimesNewRoman"/>
      <w:color w:val="auto"/>
      <w:lang w:val="fr-FR" w:eastAsia="fr-FR"/>
    </w:rPr>
  </w:style>
  <w:style w:type="paragraph" w:customStyle="1" w:styleId="CM8">
    <w:name w:val="CM8"/>
    <w:basedOn w:val="Default"/>
    <w:next w:val="Default"/>
    <w:uiPriority w:val="99"/>
    <w:rsid w:val="000B2CDA"/>
    <w:pPr>
      <w:widowControl w:val="0"/>
      <w:spacing w:before="240" w:after="120"/>
      <w:jc w:val="center"/>
    </w:pPr>
    <w:rPr>
      <w:b/>
      <w:i/>
      <w:u w:val="single"/>
      <w:lang w:val="fr-FR" w:eastAsia="fr-FR"/>
    </w:rPr>
  </w:style>
  <w:style w:type="paragraph" w:customStyle="1" w:styleId="CM2">
    <w:name w:val="CM2"/>
    <w:basedOn w:val="Default"/>
    <w:next w:val="Default"/>
    <w:rsid w:val="000B2CDA"/>
    <w:pPr>
      <w:widowControl w:val="0"/>
      <w:spacing w:line="276" w:lineRule="atLeast"/>
    </w:pPr>
    <w:rPr>
      <w:rFonts w:ascii="PMEGME+TimesNewRoman" w:hAnsi="PMEGME+TimesNewRoman"/>
      <w:color w:val="auto"/>
      <w:lang w:val="fr-FR" w:eastAsia="fr-FR"/>
    </w:rPr>
  </w:style>
  <w:style w:type="paragraph" w:customStyle="1" w:styleId="CM9">
    <w:name w:val="CM9"/>
    <w:basedOn w:val="Default"/>
    <w:next w:val="Default"/>
    <w:uiPriority w:val="99"/>
    <w:rsid w:val="000B2CDA"/>
    <w:pPr>
      <w:widowControl w:val="0"/>
      <w:spacing w:after="275"/>
    </w:pPr>
    <w:rPr>
      <w:rFonts w:ascii="PMEGME+TimesNewRoman" w:hAnsi="PMEGME+TimesNewRoman"/>
      <w:color w:val="auto"/>
      <w:lang w:val="fr-FR" w:eastAsia="fr-FR"/>
    </w:rPr>
  </w:style>
  <w:style w:type="paragraph" w:customStyle="1" w:styleId="CM3">
    <w:name w:val="CM3"/>
    <w:basedOn w:val="Default"/>
    <w:next w:val="Default"/>
    <w:uiPriority w:val="99"/>
    <w:rsid w:val="000B2CDA"/>
    <w:pPr>
      <w:widowControl w:val="0"/>
      <w:spacing w:line="276" w:lineRule="atLeast"/>
    </w:pPr>
    <w:rPr>
      <w:rFonts w:ascii="PMEGME+TimesNewRoman" w:hAnsi="PMEGME+TimesNewRoman"/>
      <w:color w:val="auto"/>
      <w:lang w:val="fr-FR" w:eastAsia="fr-FR"/>
    </w:rPr>
  </w:style>
  <w:style w:type="paragraph" w:customStyle="1" w:styleId="CM4">
    <w:name w:val="CM4"/>
    <w:basedOn w:val="Default"/>
    <w:next w:val="Default"/>
    <w:uiPriority w:val="99"/>
    <w:rsid w:val="000B2CDA"/>
    <w:pPr>
      <w:widowControl w:val="0"/>
    </w:pPr>
    <w:rPr>
      <w:rFonts w:ascii="PMEGME+TimesNewRoman" w:hAnsi="PMEGME+TimesNewRoman"/>
      <w:color w:val="auto"/>
      <w:lang w:val="fr-FR" w:eastAsia="fr-FR"/>
    </w:rPr>
  </w:style>
  <w:style w:type="paragraph" w:customStyle="1" w:styleId="CM5">
    <w:name w:val="CM5"/>
    <w:basedOn w:val="Default"/>
    <w:next w:val="Default"/>
    <w:uiPriority w:val="99"/>
    <w:rsid w:val="000B2CDA"/>
    <w:pPr>
      <w:widowControl w:val="0"/>
      <w:spacing w:line="186" w:lineRule="atLeast"/>
    </w:pPr>
    <w:rPr>
      <w:rFonts w:ascii="PMEGME+TimesNewRoman" w:hAnsi="PMEGME+TimesNewRoman"/>
      <w:color w:val="auto"/>
      <w:lang w:val="fr-FR" w:eastAsia="fr-FR"/>
    </w:rPr>
  </w:style>
  <w:style w:type="paragraph" w:customStyle="1" w:styleId="CM6">
    <w:name w:val="CM6"/>
    <w:basedOn w:val="Default"/>
    <w:next w:val="Default"/>
    <w:rsid w:val="000B2CDA"/>
    <w:pPr>
      <w:widowControl w:val="0"/>
      <w:spacing w:line="368" w:lineRule="atLeast"/>
    </w:pPr>
    <w:rPr>
      <w:rFonts w:ascii="PMEGME+TimesNewRoman" w:hAnsi="PMEGME+TimesNewRoman"/>
      <w:color w:val="auto"/>
      <w:lang w:val="fr-FR" w:eastAsia="fr-FR"/>
    </w:rPr>
  </w:style>
  <w:style w:type="paragraph" w:customStyle="1" w:styleId="CM10">
    <w:name w:val="CM10"/>
    <w:basedOn w:val="Default"/>
    <w:next w:val="Default"/>
    <w:rsid w:val="000B2CDA"/>
    <w:pPr>
      <w:widowControl w:val="0"/>
      <w:spacing w:after="375"/>
    </w:pPr>
    <w:rPr>
      <w:rFonts w:ascii="PMEGME+TimesNewRoman" w:hAnsi="PMEGME+TimesNewRoman"/>
      <w:color w:val="auto"/>
      <w:lang w:val="fr-FR" w:eastAsia="fr-FR"/>
    </w:rPr>
  </w:style>
  <w:style w:type="paragraph" w:customStyle="1" w:styleId="Text3">
    <w:name w:val="Text 3"/>
    <w:basedOn w:val="Normal"/>
    <w:rsid w:val="000B2CDA"/>
    <w:pPr>
      <w:spacing w:before="120" w:after="120"/>
      <w:ind w:left="850"/>
      <w:jc w:val="both"/>
    </w:pPr>
    <w:rPr>
      <w:sz w:val="24"/>
      <w:szCs w:val="24"/>
      <w:lang w:eastAsia="de-DE"/>
    </w:rPr>
  </w:style>
  <w:style w:type="paragraph" w:customStyle="1" w:styleId="Text4">
    <w:name w:val="Text 4"/>
    <w:basedOn w:val="Normal"/>
    <w:rsid w:val="000B2CDA"/>
    <w:pPr>
      <w:spacing w:before="120" w:after="120"/>
      <w:ind w:left="850"/>
      <w:jc w:val="both"/>
    </w:pPr>
    <w:rPr>
      <w:sz w:val="24"/>
      <w:szCs w:val="24"/>
      <w:lang w:eastAsia="de-DE"/>
    </w:rPr>
  </w:style>
  <w:style w:type="paragraph" w:customStyle="1" w:styleId="HeaderLandscape">
    <w:name w:val="HeaderLandscape"/>
    <w:basedOn w:val="Normal"/>
    <w:rsid w:val="000B2CDA"/>
    <w:pPr>
      <w:tabs>
        <w:tab w:val="right" w:pos="14003"/>
      </w:tabs>
      <w:spacing w:before="120" w:after="120"/>
      <w:jc w:val="both"/>
    </w:pPr>
    <w:rPr>
      <w:sz w:val="24"/>
      <w:szCs w:val="24"/>
      <w:lang w:eastAsia="de-DE"/>
    </w:rPr>
  </w:style>
  <w:style w:type="paragraph" w:customStyle="1" w:styleId="FooterLandscape">
    <w:name w:val="FooterLandscape"/>
    <w:basedOn w:val="Normal"/>
    <w:rsid w:val="000B2CDA"/>
    <w:pPr>
      <w:tabs>
        <w:tab w:val="center" w:pos="7285"/>
        <w:tab w:val="center" w:pos="10913"/>
        <w:tab w:val="right" w:pos="15137"/>
      </w:tabs>
      <w:spacing w:before="360"/>
      <w:ind w:left="-567" w:right="-567"/>
    </w:pPr>
    <w:rPr>
      <w:sz w:val="24"/>
      <w:szCs w:val="24"/>
      <w:lang w:eastAsia="de-DE"/>
    </w:rPr>
  </w:style>
  <w:style w:type="paragraph" w:customStyle="1" w:styleId="NormalCentered">
    <w:name w:val="Normal Centered"/>
    <w:basedOn w:val="Normal"/>
    <w:rsid w:val="000B2CDA"/>
    <w:pPr>
      <w:spacing w:before="120" w:after="120"/>
      <w:jc w:val="center"/>
    </w:pPr>
    <w:rPr>
      <w:sz w:val="24"/>
      <w:szCs w:val="24"/>
      <w:lang w:eastAsia="de-DE"/>
    </w:rPr>
  </w:style>
  <w:style w:type="paragraph" w:customStyle="1" w:styleId="NormalLeft">
    <w:name w:val="Normal Left"/>
    <w:basedOn w:val="Normal"/>
    <w:rsid w:val="000B2CDA"/>
    <w:pPr>
      <w:spacing w:before="120" w:after="120"/>
    </w:pPr>
    <w:rPr>
      <w:sz w:val="24"/>
      <w:szCs w:val="24"/>
      <w:lang w:eastAsia="de-DE"/>
    </w:rPr>
  </w:style>
  <w:style w:type="paragraph" w:customStyle="1" w:styleId="NormalRight">
    <w:name w:val="Normal Right"/>
    <w:basedOn w:val="Normal"/>
    <w:rsid w:val="000B2CDA"/>
    <w:pPr>
      <w:spacing w:before="120" w:after="120"/>
      <w:jc w:val="right"/>
    </w:pPr>
    <w:rPr>
      <w:sz w:val="24"/>
      <w:szCs w:val="24"/>
      <w:lang w:eastAsia="de-DE"/>
    </w:rPr>
  </w:style>
  <w:style w:type="paragraph" w:customStyle="1" w:styleId="QuotedText">
    <w:name w:val="Quoted Text"/>
    <w:basedOn w:val="Normal"/>
    <w:rsid w:val="000B2CDA"/>
    <w:pPr>
      <w:spacing w:before="120" w:after="120"/>
      <w:ind w:left="1417"/>
      <w:jc w:val="both"/>
    </w:pPr>
    <w:rPr>
      <w:sz w:val="24"/>
      <w:szCs w:val="24"/>
      <w:lang w:eastAsia="de-DE"/>
    </w:rPr>
  </w:style>
  <w:style w:type="paragraph" w:customStyle="1" w:styleId="Point0">
    <w:name w:val="Point 0"/>
    <w:basedOn w:val="Normal"/>
    <w:rsid w:val="000B2CDA"/>
    <w:pPr>
      <w:spacing w:before="120" w:after="120"/>
      <w:ind w:left="850" w:hanging="850"/>
      <w:jc w:val="both"/>
    </w:pPr>
    <w:rPr>
      <w:sz w:val="24"/>
      <w:szCs w:val="24"/>
      <w:lang w:eastAsia="de-DE"/>
    </w:rPr>
  </w:style>
  <w:style w:type="paragraph" w:customStyle="1" w:styleId="Point1">
    <w:name w:val="Point 1"/>
    <w:basedOn w:val="Normal"/>
    <w:rsid w:val="000B2CDA"/>
    <w:pPr>
      <w:spacing w:before="120" w:after="120"/>
      <w:ind w:left="1417" w:hanging="567"/>
      <w:jc w:val="both"/>
    </w:pPr>
    <w:rPr>
      <w:sz w:val="24"/>
      <w:szCs w:val="24"/>
      <w:lang w:eastAsia="de-DE"/>
    </w:rPr>
  </w:style>
  <w:style w:type="paragraph" w:customStyle="1" w:styleId="Point2">
    <w:name w:val="Point 2"/>
    <w:basedOn w:val="Normal"/>
    <w:rsid w:val="000B2CDA"/>
    <w:pPr>
      <w:spacing w:before="120" w:after="120"/>
      <w:ind w:left="1984" w:hanging="567"/>
      <w:jc w:val="both"/>
    </w:pPr>
    <w:rPr>
      <w:sz w:val="24"/>
      <w:szCs w:val="24"/>
      <w:lang w:eastAsia="de-DE"/>
    </w:rPr>
  </w:style>
  <w:style w:type="paragraph" w:customStyle="1" w:styleId="Point3">
    <w:name w:val="Point 3"/>
    <w:basedOn w:val="Normal"/>
    <w:rsid w:val="000B2CDA"/>
    <w:pPr>
      <w:spacing w:before="120" w:after="120"/>
      <w:ind w:left="2551" w:hanging="567"/>
      <w:jc w:val="both"/>
    </w:pPr>
    <w:rPr>
      <w:sz w:val="24"/>
      <w:szCs w:val="24"/>
      <w:lang w:eastAsia="de-DE"/>
    </w:rPr>
  </w:style>
  <w:style w:type="paragraph" w:customStyle="1" w:styleId="Point4">
    <w:name w:val="Point 4"/>
    <w:basedOn w:val="Normal"/>
    <w:rsid w:val="000B2CDA"/>
    <w:pPr>
      <w:spacing w:before="120" w:after="120"/>
      <w:ind w:left="3118" w:hanging="567"/>
      <w:jc w:val="both"/>
    </w:pPr>
    <w:rPr>
      <w:sz w:val="24"/>
      <w:szCs w:val="24"/>
      <w:lang w:eastAsia="de-DE"/>
    </w:rPr>
  </w:style>
  <w:style w:type="paragraph" w:customStyle="1" w:styleId="Tiret0">
    <w:name w:val="Tiret 0"/>
    <w:basedOn w:val="Point0"/>
    <w:rsid w:val="000B2CDA"/>
    <w:pPr>
      <w:numPr>
        <w:numId w:val="9"/>
      </w:numPr>
    </w:pPr>
  </w:style>
  <w:style w:type="paragraph" w:customStyle="1" w:styleId="Tiret1">
    <w:name w:val="Tiret 1"/>
    <w:basedOn w:val="Point1"/>
    <w:rsid w:val="000B2CDA"/>
    <w:pPr>
      <w:numPr>
        <w:numId w:val="8"/>
      </w:numPr>
    </w:pPr>
  </w:style>
  <w:style w:type="paragraph" w:customStyle="1" w:styleId="Tiret2">
    <w:name w:val="Tiret 2"/>
    <w:basedOn w:val="Point2"/>
    <w:rsid w:val="000B2CDA"/>
    <w:pPr>
      <w:numPr>
        <w:numId w:val="7"/>
      </w:numPr>
    </w:pPr>
  </w:style>
  <w:style w:type="paragraph" w:customStyle="1" w:styleId="Tiret3">
    <w:name w:val="Tiret 3"/>
    <w:basedOn w:val="Point3"/>
    <w:rsid w:val="000B2CDA"/>
    <w:pPr>
      <w:numPr>
        <w:numId w:val="6"/>
      </w:numPr>
    </w:pPr>
  </w:style>
  <w:style w:type="paragraph" w:customStyle="1" w:styleId="Tiret4">
    <w:name w:val="Tiret 4"/>
    <w:basedOn w:val="Point4"/>
    <w:rsid w:val="000B2CDA"/>
    <w:pPr>
      <w:numPr>
        <w:numId w:val="5"/>
      </w:numPr>
    </w:pPr>
  </w:style>
  <w:style w:type="paragraph" w:customStyle="1" w:styleId="PointDouble0">
    <w:name w:val="PointDouble 0"/>
    <w:basedOn w:val="Normal"/>
    <w:rsid w:val="000B2CDA"/>
    <w:pPr>
      <w:tabs>
        <w:tab w:val="left" w:pos="850"/>
      </w:tabs>
      <w:spacing w:before="120" w:after="120"/>
      <w:ind w:left="1417" w:hanging="1417"/>
      <w:jc w:val="both"/>
    </w:pPr>
    <w:rPr>
      <w:sz w:val="24"/>
      <w:szCs w:val="24"/>
      <w:lang w:eastAsia="de-DE"/>
    </w:rPr>
  </w:style>
  <w:style w:type="paragraph" w:customStyle="1" w:styleId="PointDouble1">
    <w:name w:val="PointDouble 1"/>
    <w:basedOn w:val="Normal"/>
    <w:rsid w:val="000B2CDA"/>
    <w:pPr>
      <w:tabs>
        <w:tab w:val="left" w:pos="1417"/>
      </w:tabs>
      <w:spacing w:before="120" w:after="120"/>
      <w:ind w:left="1984" w:hanging="1134"/>
      <w:jc w:val="both"/>
    </w:pPr>
    <w:rPr>
      <w:sz w:val="24"/>
      <w:szCs w:val="24"/>
      <w:lang w:eastAsia="de-DE"/>
    </w:rPr>
  </w:style>
  <w:style w:type="paragraph" w:customStyle="1" w:styleId="PointDouble2">
    <w:name w:val="PointDouble 2"/>
    <w:basedOn w:val="Normal"/>
    <w:rsid w:val="000B2CDA"/>
    <w:pPr>
      <w:tabs>
        <w:tab w:val="left" w:pos="1984"/>
      </w:tabs>
      <w:spacing w:before="120" w:after="120"/>
      <w:ind w:left="2551" w:hanging="1134"/>
      <w:jc w:val="both"/>
    </w:pPr>
    <w:rPr>
      <w:sz w:val="24"/>
      <w:szCs w:val="24"/>
      <w:lang w:eastAsia="de-DE"/>
    </w:rPr>
  </w:style>
  <w:style w:type="paragraph" w:customStyle="1" w:styleId="PointDouble3">
    <w:name w:val="PointDouble 3"/>
    <w:basedOn w:val="Normal"/>
    <w:rsid w:val="000B2CDA"/>
    <w:pPr>
      <w:tabs>
        <w:tab w:val="left" w:pos="2551"/>
      </w:tabs>
      <w:spacing w:before="120" w:after="120"/>
      <w:ind w:left="3118" w:hanging="1134"/>
      <w:jc w:val="both"/>
    </w:pPr>
    <w:rPr>
      <w:sz w:val="24"/>
      <w:szCs w:val="24"/>
      <w:lang w:eastAsia="de-DE"/>
    </w:rPr>
  </w:style>
  <w:style w:type="paragraph" w:customStyle="1" w:styleId="PointDouble4">
    <w:name w:val="PointDouble 4"/>
    <w:basedOn w:val="Normal"/>
    <w:rsid w:val="000B2CDA"/>
    <w:pPr>
      <w:tabs>
        <w:tab w:val="left" w:pos="3118"/>
      </w:tabs>
      <w:spacing w:before="120" w:after="120"/>
      <w:ind w:left="3685" w:hanging="1134"/>
      <w:jc w:val="both"/>
    </w:pPr>
    <w:rPr>
      <w:sz w:val="24"/>
      <w:szCs w:val="24"/>
      <w:lang w:eastAsia="de-DE"/>
    </w:rPr>
  </w:style>
  <w:style w:type="paragraph" w:customStyle="1" w:styleId="PointTriple0">
    <w:name w:val="PointTriple 0"/>
    <w:basedOn w:val="Normal"/>
    <w:rsid w:val="000B2CDA"/>
    <w:pPr>
      <w:tabs>
        <w:tab w:val="left" w:pos="850"/>
        <w:tab w:val="left" w:pos="1417"/>
      </w:tabs>
      <w:spacing w:before="120" w:after="120"/>
      <w:ind w:left="1984" w:hanging="1984"/>
      <w:jc w:val="both"/>
    </w:pPr>
    <w:rPr>
      <w:sz w:val="24"/>
      <w:szCs w:val="24"/>
      <w:lang w:eastAsia="de-DE"/>
    </w:rPr>
  </w:style>
  <w:style w:type="paragraph" w:customStyle="1" w:styleId="PointTriple1">
    <w:name w:val="PointTriple 1"/>
    <w:basedOn w:val="Normal"/>
    <w:rsid w:val="000B2CDA"/>
    <w:pPr>
      <w:tabs>
        <w:tab w:val="left" w:pos="1417"/>
        <w:tab w:val="left" w:pos="1984"/>
      </w:tabs>
      <w:spacing w:before="120" w:after="120"/>
      <w:ind w:left="2551" w:hanging="1701"/>
      <w:jc w:val="both"/>
    </w:pPr>
    <w:rPr>
      <w:sz w:val="24"/>
      <w:szCs w:val="24"/>
      <w:lang w:eastAsia="de-DE"/>
    </w:rPr>
  </w:style>
  <w:style w:type="paragraph" w:customStyle="1" w:styleId="PointTriple2">
    <w:name w:val="PointTriple 2"/>
    <w:basedOn w:val="Normal"/>
    <w:rsid w:val="000B2CDA"/>
    <w:pPr>
      <w:tabs>
        <w:tab w:val="left" w:pos="1984"/>
        <w:tab w:val="left" w:pos="2551"/>
      </w:tabs>
      <w:spacing w:before="120" w:after="120"/>
      <w:ind w:left="3118" w:hanging="1701"/>
      <w:jc w:val="both"/>
    </w:pPr>
    <w:rPr>
      <w:sz w:val="24"/>
      <w:szCs w:val="24"/>
      <w:lang w:eastAsia="de-DE"/>
    </w:rPr>
  </w:style>
  <w:style w:type="paragraph" w:customStyle="1" w:styleId="PointTriple3">
    <w:name w:val="PointTriple 3"/>
    <w:basedOn w:val="Normal"/>
    <w:rsid w:val="000B2CDA"/>
    <w:pPr>
      <w:tabs>
        <w:tab w:val="left" w:pos="2551"/>
        <w:tab w:val="left" w:pos="3118"/>
      </w:tabs>
      <w:spacing w:before="120" w:after="120"/>
      <w:ind w:left="3685" w:hanging="1701"/>
      <w:jc w:val="both"/>
    </w:pPr>
    <w:rPr>
      <w:sz w:val="24"/>
      <w:szCs w:val="24"/>
      <w:lang w:eastAsia="de-DE"/>
    </w:rPr>
  </w:style>
  <w:style w:type="paragraph" w:customStyle="1" w:styleId="PointTriple4">
    <w:name w:val="PointTriple 4"/>
    <w:basedOn w:val="Normal"/>
    <w:rsid w:val="000B2CDA"/>
    <w:pPr>
      <w:tabs>
        <w:tab w:val="left" w:pos="3118"/>
        <w:tab w:val="left" w:pos="3685"/>
      </w:tabs>
      <w:spacing w:before="120" w:after="120"/>
      <w:ind w:left="4252" w:hanging="1701"/>
      <w:jc w:val="both"/>
    </w:pPr>
    <w:rPr>
      <w:sz w:val="24"/>
      <w:szCs w:val="24"/>
      <w:lang w:eastAsia="de-DE"/>
    </w:rPr>
  </w:style>
  <w:style w:type="paragraph" w:customStyle="1" w:styleId="ManualNumPar1">
    <w:name w:val="Manual NumPar 1"/>
    <w:basedOn w:val="Normal"/>
    <w:next w:val="Text1"/>
    <w:rsid w:val="000B2CDA"/>
    <w:pPr>
      <w:spacing w:before="120" w:after="120"/>
      <w:ind w:left="850" w:hanging="850"/>
      <w:jc w:val="both"/>
    </w:pPr>
    <w:rPr>
      <w:sz w:val="24"/>
      <w:szCs w:val="24"/>
      <w:lang w:eastAsia="de-DE"/>
    </w:rPr>
  </w:style>
  <w:style w:type="paragraph" w:customStyle="1" w:styleId="ManualNumPar2">
    <w:name w:val="Manual NumPar 2"/>
    <w:basedOn w:val="Normal"/>
    <w:next w:val="Text2"/>
    <w:rsid w:val="000B2CDA"/>
    <w:pPr>
      <w:spacing w:before="120" w:after="120"/>
      <w:ind w:left="850" w:hanging="850"/>
      <w:jc w:val="both"/>
    </w:pPr>
    <w:rPr>
      <w:sz w:val="24"/>
      <w:szCs w:val="24"/>
      <w:lang w:eastAsia="de-DE"/>
    </w:rPr>
  </w:style>
  <w:style w:type="paragraph" w:customStyle="1" w:styleId="ManualNumPar3">
    <w:name w:val="Manual NumPar 3"/>
    <w:basedOn w:val="Normal"/>
    <w:next w:val="Text3"/>
    <w:rsid w:val="000B2CDA"/>
    <w:pPr>
      <w:spacing w:before="120" w:after="120"/>
      <w:ind w:left="850" w:hanging="850"/>
      <w:jc w:val="both"/>
    </w:pPr>
    <w:rPr>
      <w:sz w:val="24"/>
      <w:szCs w:val="24"/>
      <w:lang w:eastAsia="de-DE"/>
    </w:rPr>
  </w:style>
  <w:style w:type="paragraph" w:customStyle="1" w:styleId="ManualNumPar4">
    <w:name w:val="Manual NumPar 4"/>
    <w:basedOn w:val="Normal"/>
    <w:next w:val="Text4"/>
    <w:rsid w:val="000B2CDA"/>
    <w:pPr>
      <w:spacing w:before="120" w:after="120"/>
      <w:ind w:left="850" w:hanging="850"/>
      <w:jc w:val="both"/>
    </w:pPr>
    <w:rPr>
      <w:sz w:val="24"/>
      <w:szCs w:val="24"/>
      <w:lang w:eastAsia="de-DE"/>
    </w:rPr>
  </w:style>
  <w:style w:type="paragraph" w:customStyle="1" w:styleId="QuotedNumPar">
    <w:name w:val="Quoted NumPar"/>
    <w:basedOn w:val="Normal"/>
    <w:rsid w:val="000B2CDA"/>
    <w:pPr>
      <w:spacing w:before="120" w:after="120"/>
      <w:ind w:left="1417" w:hanging="567"/>
      <w:jc w:val="both"/>
    </w:pPr>
    <w:rPr>
      <w:sz w:val="24"/>
      <w:szCs w:val="24"/>
      <w:lang w:eastAsia="de-DE"/>
    </w:rPr>
  </w:style>
  <w:style w:type="paragraph" w:customStyle="1" w:styleId="ManualHeading1">
    <w:name w:val="Manual Heading 1"/>
    <w:basedOn w:val="Normal"/>
    <w:next w:val="Text1"/>
    <w:rsid w:val="000B2CDA"/>
    <w:pPr>
      <w:keepNext/>
      <w:tabs>
        <w:tab w:val="left" w:pos="850"/>
      </w:tabs>
      <w:spacing w:before="360" w:after="120"/>
      <w:ind w:left="850" w:hanging="850"/>
      <w:jc w:val="both"/>
      <w:outlineLvl w:val="0"/>
    </w:pPr>
    <w:rPr>
      <w:b/>
      <w:smallCaps/>
      <w:sz w:val="24"/>
      <w:szCs w:val="24"/>
      <w:lang w:eastAsia="de-DE"/>
    </w:rPr>
  </w:style>
  <w:style w:type="paragraph" w:customStyle="1" w:styleId="ManualHeading2">
    <w:name w:val="Manual Heading 2"/>
    <w:basedOn w:val="Normal"/>
    <w:next w:val="Text2"/>
    <w:rsid w:val="000B2CDA"/>
    <w:pPr>
      <w:keepNext/>
      <w:tabs>
        <w:tab w:val="left" w:pos="850"/>
      </w:tabs>
      <w:spacing w:before="120" w:after="120"/>
      <w:ind w:left="850" w:hanging="850"/>
      <w:jc w:val="both"/>
      <w:outlineLvl w:val="1"/>
    </w:pPr>
    <w:rPr>
      <w:b/>
      <w:sz w:val="24"/>
      <w:szCs w:val="24"/>
      <w:lang w:eastAsia="de-DE"/>
    </w:rPr>
  </w:style>
  <w:style w:type="paragraph" w:customStyle="1" w:styleId="ManualHeading3">
    <w:name w:val="Manual Heading 3"/>
    <w:basedOn w:val="Normal"/>
    <w:next w:val="Text3"/>
    <w:rsid w:val="000B2CDA"/>
    <w:pPr>
      <w:keepNext/>
      <w:tabs>
        <w:tab w:val="left" w:pos="850"/>
      </w:tabs>
      <w:spacing w:before="120" w:after="120"/>
      <w:ind w:left="850" w:hanging="850"/>
      <w:jc w:val="both"/>
      <w:outlineLvl w:val="2"/>
    </w:pPr>
    <w:rPr>
      <w:i/>
      <w:sz w:val="24"/>
      <w:szCs w:val="24"/>
      <w:lang w:eastAsia="de-DE"/>
    </w:rPr>
  </w:style>
  <w:style w:type="paragraph" w:customStyle="1" w:styleId="ManualHeading4">
    <w:name w:val="Manual Heading 4"/>
    <w:basedOn w:val="Normal"/>
    <w:next w:val="Text4"/>
    <w:rsid w:val="000B2CDA"/>
    <w:pPr>
      <w:keepNext/>
      <w:tabs>
        <w:tab w:val="left" w:pos="850"/>
      </w:tabs>
      <w:spacing w:before="120" w:after="120"/>
      <w:ind w:left="850" w:hanging="850"/>
      <w:jc w:val="both"/>
      <w:outlineLvl w:val="3"/>
    </w:pPr>
    <w:rPr>
      <w:sz w:val="24"/>
      <w:szCs w:val="24"/>
      <w:lang w:eastAsia="de-DE"/>
    </w:rPr>
  </w:style>
  <w:style w:type="paragraph" w:customStyle="1" w:styleId="ChapterTitle">
    <w:name w:val="ChapterTitle"/>
    <w:basedOn w:val="Normal"/>
    <w:next w:val="Normal"/>
    <w:rsid w:val="000B2CDA"/>
    <w:pPr>
      <w:keepNext/>
      <w:spacing w:before="120" w:after="360"/>
      <w:jc w:val="center"/>
    </w:pPr>
    <w:rPr>
      <w:b/>
      <w:sz w:val="32"/>
      <w:szCs w:val="24"/>
      <w:lang w:eastAsia="de-DE"/>
    </w:rPr>
  </w:style>
  <w:style w:type="paragraph" w:customStyle="1" w:styleId="SectionTitle">
    <w:name w:val="SectionTitle"/>
    <w:basedOn w:val="Normal"/>
    <w:next w:val="Heading1"/>
    <w:rsid w:val="000B2CDA"/>
    <w:pPr>
      <w:keepNext/>
      <w:spacing w:before="120" w:after="360"/>
      <w:jc w:val="center"/>
    </w:pPr>
    <w:rPr>
      <w:b/>
      <w:smallCaps/>
      <w:sz w:val="28"/>
      <w:szCs w:val="24"/>
      <w:lang w:eastAsia="de-DE"/>
    </w:rPr>
  </w:style>
  <w:style w:type="paragraph" w:customStyle="1" w:styleId="ListDash3">
    <w:name w:val="List Dash 3"/>
    <w:basedOn w:val="Normal"/>
    <w:rsid w:val="000B2CDA"/>
    <w:pPr>
      <w:numPr>
        <w:numId w:val="4"/>
      </w:numPr>
      <w:spacing w:before="120" w:after="120"/>
      <w:jc w:val="both"/>
    </w:pPr>
    <w:rPr>
      <w:sz w:val="24"/>
      <w:szCs w:val="24"/>
      <w:lang w:eastAsia="de-DE"/>
    </w:rPr>
  </w:style>
  <w:style w:type="paragraph" w:customStyle="1" w:styleId="ListDash4">
    <w:name w:val="List Dash 4"/>
    <w:basedOn w:val="Normal"/>
    <w:rsid w:val="000B2CDA"/>
    <w:pPr>
      <w:numPr>
        <w:numId w:val="3"/>
      </w:numPr>
      <w:spacing w:before="120" w:after="120"/>
      <w:jc w:val="both"/>
    </w:pPr>
    <w:rPr>
      <w:sz w:val="24"/>
      <w:szCs w:val="24"/>
      <w:lang w:eastAsia="de-DE"/>
    </w:rPr>
  </w:style>
  <w:style w:type="paragraph" w:customStyle="1" w:styleId="ListNumber1">
    <w:name w:val="List Number 1"/>
    <w:basedOn w:val="Text1"/>
    <w:rsid w:val="000B2CDA"/>
    <w:pPr>
      <w:numPr>
        <w:numId w:val="2"/>
      </w:numPr>
      <w:spacing w:before="120" w:after="120"/>
    </w:pPr>
    <w:rPr>
      <w:szCs w:val="24"/>
      <w:lang w:eastAsia="de-DE"/>
    </w:rPr>
  </w:style>
  <w:style w:type="paragraph" w:customStyle="1" w:styleId="ListNumberLevel2">
    <w:name w:val="List Number (Level 2)"/>
    <w:basedOn w:val="Normal"/>
    <w:rsid w:val="000B2CDA"/>
    <w:pPr>
      <w:tabs>
        <w:tab w:val="num" w:pos="1417"/>
      </w:tabs>
      <w:spacing w:before="120" w:after="120"/>
      <w:ind w:left="1417" w:hanging="708"/>
      <w:jc w:val="both"/>
    </w:pPr>
    <w:rPr>
      <w:sz w:val="24"/>
      <w:szCs w:val="24"/>
      <w:lang w:eastAsia="de-DE"/>
    </w:rPr>
  </w:style>
  <w:style w:type="paragraph" w:customStyle="1" w:styleId="ListNumber1Level2">
    <w:name w:val="List Number 1 (Level 2)"/>
    <w:basedOn w:val="Text1"/>
    <w:rsid w:val="000B2CDA"/>
    <w:pPr>
      <w:numPr>
        <w:ilvl w:val="1"/>
        <w:numId w:val="2"/>
      </w:numPr>
      <w:spacing w:before="120" w:after="120"/>
    </w:pPr>
    <w:rPr>
      <w:szCs w:val="24"/>
      <w:lang w:eastAsia="de-DE"/>
    </w:rPr>
  </w:style>
  <w:style w:type="paragraph" w:customStyle="1" w:styleId="ListNumber2Level2">
    <w:name w:val="List Number 2 (Level 2)"/>
    <w:basedOn w:val="Text2"/>
    <w:rsid w:val="000B2CDA"/>
    <w:pPr>
      <w:tabs>
        <w:tab w:val="clear" w:pos="2302"/>
        <w:tab w:val="num" w:pos="2268"/>
      </w:tabs>
      <w:overflowPunct/>
      <w:autoSpaceDE/>
      <w:autoSpaceDN/>
      <w:adjustRightInd/>
      <w:spacing w:before="120" w:after="120"/>
      <w:ind w:left="2268" w:hanging="708"/>
      <w:textAlignment w:val="auto"/>
    </w:pPr>
    <w:rPr>
      <w:rFonts w:eastAsia="Times New Roman"/>
      <w:szCs w:val="24"/>
      <w:lang w:eastAsia="de-DE"/>
    </w:rPr>
  </w:style>
  <w:style w:type="paragraph" w:customStyle="1" w:styleId="ListNumber3Level2">
    <w:name w:val="List Number 3 (Level 2)"/>
    <w:basedOn w:val="Text3"/>
    <w:rsid w:val="000B2CDA"/>
    <w:pPr>
      <w:tabs>
        <w:tab w:val="num" w:pos="2268"/>
      </w:tabs>
      <w:ind w:left="2268" w:hanging="708"/>
    </w:pPr>
  </w:style>
  <w:style w:type="paragraph" w:customStyle="1" w:styleId="ListNumber4Level2">
    <w:name w:val="List Number 4 (Level 2)"/>
    <w:basedOn w:val="Text4"/>
    <w:rsid w:val="000B2CDA"/>
    <w:pPr>
      <w:tabs>
        <w:tab w:val="num" w:pos="2268"/>
      </w:tabs>
      <w:ind w:left="2268" w:hanging="708"/>
    </w:pPr>
  </w:style>
  <w:style w:type="paragraph" w:customStyle="1" w:styleId="ListNumberLevel3">
    <w:name w:val="List Number (Level 3)"/>
    <w:basedOn w:val="Normal"/>
    <w:rsid w:val="000B2CDA"/>
    <w:pPr>
      <w:tabs>
        <w:tab w:val="num" w:pos="2126"/>
      </w:tabs>
      <w:spacing w:before="120" w:after="120"/>
      <w:ind w:left="2126" w:hanging="709"/>
      <w:jc w:val="both"/>
    </w:pPr>
    <w:rPr>
      <w:sz w:val="24"/>
      <w:szCs w:val="24"/>
      <w:lang w:eastAsia="de-DE"/>
    </w:rPr>
  </w:style>
  <w:style w:type="paragraph" w:customStyle="1" w:styleId="ListNumber1Level3">
    <w:name w:val="List Number 1 (Level 3)"/>
    <w:basedOn w:val="Text1"/>
    <w:rsid w:val="000B2CDA"/>
    <w:pPr>
      <w:numPr>
        <w:ilvl w:val="2"/>
        <w:numId w:val="2"/>
      </w:numPr>
      <w:spacing w:before="120" w:after="120"/>
    </w:pPr>
    <w:rPr>
      <w:szCs w:val="24"/>
      <w:lang w:eastAsia="de-DE"/>
    </w:rPr>
  </w:style>
  <w:style w:type="paragraph" w:customStyle="1" w:styleId="ListNumber2Level3">
    <w:name w:val="List Number 2 (Level 3)"/>
    <w:basedOn w:val="Text2"/>
    <w:rsid w:val="000B2CDA"/>
    <w:pPr>
      <w:tabs>
        <w:tab w:val="clear" w:pos="2302"/>
        <w:tab w:val="num" w:pos="2977"/>
      </w:tabs>
      <w:overflowPunct/>
      <w:autoSpaceDE/>
      <w:autoSpaceDN/>
      <w:adjustRightInd/>
      <w:spacing w:before="120" w:after="120"/>
      <w:ind w:left="2977" w:hanging="709"/>
      <w:textAlignment w:val="auto"/>
    </w:pPr>
    <w:rPr>
      <w:rFonts w:eastAsia="Times New Roman"/>
      <w:szCs w:val="24"/>
      <w:lang w:eastAsia="de-DE"/>
    </w:rPr>
  </w:style>
  <w:style w:type="paragraph" w:customStyle="1" w:styleId="ListNumber3Level3">
    <w:name w:val="List Number 3 (Level 3)"/>
    <w:basedOn w:val="Text3"/>
    <w:rsid w:val="000B2CDA"/>
    <w:pPr>
      <w:tabs>
        <w:tab w:val="num" w:pos="2977"/>
      </w:tabs>
      <w:ind w:left="2977" w:hanging="709"/>
    </w:pPr>
  </w:style>
  <w:style w:type="paragraph" w:customStyle="1" w:styleId="ListNumber4Level3">
    <w:name w:val="List Number 4 (Level 3)"/>
    <w:basedOn w:val="Text4"/>
    <w:rsid w:val="000B2CDA"/>
    <w:pPr>
      <w:tabs>
        <w:tab w:val="num" w:pos="2977"/>
      </w:tabs>
      <w:ind w:left="2977" w:hanging="709"/>
    </w:pPr>
  </w:style>
  <w:style w:type="paragraph" w:customStyle="1" w:styleId="ListNumberLevel4">
    <w:name w:val="List Number (Level 4)"/>
    <w:basedOn w:val="Normal"/>
    <w:rsid w:val="000B2CDA"/>
    <w:pPr>
      <w:tabs>
        <w:tab w:val="num" w:pos="2835"/>
      </w:tabs>
      <w:spacing w:before="120" w:after="120"/>
      <w:ind w:left="2835" w:hanging="709"/>
      <w:jc w:val="both"/>
    </w:pPr>
    <w:rPr>
      <w:sz w:val="24"/>
      <w:szCs w:val="24"/>
      <w:lang w:eastAsia="de-DE"/>
    </w:rPr>
  </w:style>
  <w:style w:type="paragraph" w:customStyle="1" w:styleId="ListNumber1Level4">
    <w:name w:val="List Number 1 (Level 4)"/>
    <w:basedOn w:val="Text1"/>
    <w:rsid w:val="000B2CDA"/>
    <w:pPr>
      <w:numPr>
        <w:ilvl w:val="3"/>
        <w:numId w:val="2"/>
      </w:numPr>
      <w:spacing w:before="120" w:after="120"/>
    </w:pPr>
    <w:rPr>
      <w:szCs w:val="24"/>
      <w:lang w:eastAsia="de-DE"/>
    </w:rPr>
  </w:style>
  <w:style w:type="paragraph" w:customStyle="1" w:styleId="ListNumber2Level4">
    <w:name w:val="List Number 2 (Level 4)"/>
    <w:basedOn w:val="Text2"/>
    <w:rsid w:val="000B2CDA"/>
    <w:pPr>
      <w:tabs>
        <w:tab w:val="clear" w:pos="2302"/>
        <w:tab w:val="num" w:pos="3686"/>
      </w:tabs>
      <w:overflowPunct/>
      <w:autoSpaceDE/>
      <w:autoSpaceDN/>
      <w:adjustRightInd/>
      <w:spacing w:before="120" w:after="120"/>
      <w:ind w:left="3686" w:hanging="709"/>
      <w:textAlignment w:val="auto"/>
    </w:pPr>
    <w:rPr>
      <w:rFonts w:eastAsia="Times New Roman"/>
      <w:szCs w:val="24"/>
      <w:lang w:eastAsia="de-DE"/>
    </w:rPr>
  </w:style>
  <w:style w:type="paragraph" w:customStyle="1" w:styleId="ListNumber3Level4">
    <w:name w:val="List Number 3 (Level 4)"/>
    <w:basedOn w:val="Text3"/>
    <w:rsid w:val="000B2CDA"/>
    <w:pPr>
      <w:tabs>
        <w:tab w:val="num" w:pos="3686"/>
      </w:tabs>
      <w:ind w:left="3686" w:hanging="709"/>
    </w:pPr>
  </w:style>
  <w:style w:type="paragraph" w:customStyle="1" w:styleId="ListNumber4Level4">
    <w:name w:val="List Number 4 (Level 4)"/>
    <w:basedOn w:val="Text4"/>
    <w:rsid w:val="000B2CDA"/>
    <w:pPr>
      <w:tabs>
        <w:tab w:val="num" w:pos="3686"/>
      </w:tabs>
      <w:ind w:left="3686" w:hanging="709"/>
    </w:pPr>
  </w:style>
  <w:style w:type="paragraph" w:customStyle="1" w:styleId="TableTitle">
    <w:name w:val="Table Title"/>
    <w:basedOn w:val="Normal"/>
    <w:next w:val="Normal"/>
    <w:rsid w:val="000B2CDA"/>
    <w:pPr>
      <w:spacing w:before="120" w:after="120"/>
      <w:jc w:val="center"/>
    </w:pPr>
    <w:rPr>
      <w:b/>
      <w:sz w:val="24"/>
      <w:szCs w:val="24"/>
      <w:lang w:eastAsia="de-DE"/>
    </w:rPr>
  </w:style>
  <w:style w:type="character" w:customStyle="1" w:styleId="Marker">
    <w:name w:val="Marker"/>
    <w:basedOn w:val="DefaultParagraphFont"/>
    <w:rsid w:val="000B2CDA"/>
    <w:rPr>
      <w:rFonts w:cs="Times New Roman"/>
      <w:color w:val="0000FF"/>
    </w:rPr>
  </w:style>
  <w:style w:type="character" w:customStyle="1" w:styleId="Marker1">
    <w:name w:val="Marker1"/>
    <w:basedOn w:val="DefaultParagraphFont"/>
    <w:rsid w:val="000B2CDA"/>
    <w:rPr>
      <w:rFonts w:cs="Times New Roman"/>
      <w:color w:val="008000"/>
    </w:rPr>
  </w:style>
  <w:style w:type="character" w:customStyle="1" w:styleId="Marker2">
    <w:name w:val="Marker2"/>
    <w:basedOn w:val="DefaultParagraphFont"/>
    <w:rsid w:val="000B2CDA"/>
    <w:rPr>
      <w:rFonts w:cs="Times New Roman"/>
      <w:color w:val="FF0000"/>
    </w:rPr>
  </w:style>
  <w:style w:type="paragraph" w:customStyle="1" w:styleId="Annexetitreacte">
    <w:name w:val="Annexe titre (acte)"/>
    <w:basedOn w:val="Normal"/>
    <w:next w:val="Normal"/>
    <w:rsid w:val="000B2CDA"/>
    <w:pPr>
      <w:spacing w:before="120" w:after="120"/>
      <w:jc w:val="center"/>
    </w:pPr>
    <w:rPr>
      <w:b/>
      <w:sz w:val="24"/>
      <w:szCs w:val="24"/>
      <w:u w:val="single"/>
      <w:lang w:eastAsia="de-DE"/>
    </w:rPr>
  </w:style>
  <w:style w:type="paragraph" w:customStyle="1" w:styleId="Annexetitreexposglobal">
    <w:name w:val="Annexe titre (exposé global)"/>
    <w:basedOn w:val="Normal"/>
    <w:next w:val="Normal"/>
    <w:rsid w:val="000B2CDA"/>
    <w:pPr>
      <w:spacing w:before="120" w:after="120"/>
      <w:jc w:val="center"/>
    </w:pPr>
    <w:rPr>
      <w:b/>
      <w:sz w:val="24"/>
      <w:szCs w:val="24"/>
      <w:u w:val="single"/>
      <w:lang w:eastAsia="de-DE"/>
    </w:rPr>
  </w:style>
  <w:style w:type="paragraph" w:customStyle="1" w:styleId="Annexetitreexpos">
    <w:name w:val="Annexe titre (exposé)"/>
    <w:basedOn w:val="Normal"/>
    <w:next w:val="Normal"/>
    <w:rsid w:val="000B2CDA"/>
    <w:pPr>
      <w:spacing w:before="120" w:after="120"/>
      <w:jc w:val="center"/>
    </w:pPr>
    <w:rPr>
      <w:b/>
      <w:sz w:val="24"/>
      <w:szCs w:val="24"/>
      <w:u w:val="single"/>
      <w:lang w:eastAsia="de-DE"/>
    </w:rPr>
  </w:style>
  <w:style w:type="paragraph" w:customStyle="1" w:styleId="Annexetitrefichefinacte">
    <w:name w:val="Annexe titre (fiche fin. acte)"/>
    <w:basedOn w:val="Normal"/>
    <w:next w:val="Normal"/>
    <w:rsid w:val="000B2CDA"/>
    <w:pPr>
      <w:spacing w:before="120" w:after="120"/>
      <w:jc w:val="center"/>
    </w:pPr>
    <w:rPr>
      <w:b/>
      <w:sz w:val="24"/>
      <w:szCs w:val="24"/>
      <w:u w:val="single"/>
      <w:lang w:eastAsia="de-DE"/>
    </w:rPr>
  </w:style>
  <w:style w:type="paragraph" w:customStyle="1" w:styleId="Annexetitrefichefinglobale">
    <w:name w:val="Annexe titre (fiche fin. globale)"/>
    <w:basedOn w:val="Normal"/>
    <w:next w:val="Normal"/>
    <w:rsid w:val="000B2CDA"/>
    <w:pPr>
      <w:spacing w:before="120" w:after="120"/>
      <w:jc w:val="center"/>
    </w:pPr>
    <w:rPr>
      <w:b/>
      <w:sz w:val="24"/>
      <w:szCs w:val="24"/>
      <w:u w:val="single"/>
      <w:lang w:eastAsia="de-DE"/>
    </w:rPr>
  </w:style>
  <w:style w:type="paragraph" w:customStyle="1" w:styleId="Annexetitreglobale">
    <w:name w:val="Annexe titre (globale)"/>
    <w:basedOn w:val="Normal"/>
    <w:next w:val="Normal"/>
    <w:rsid w:val="000B2CDA"/>
    <w:pPr>
      <w:spacing w:before="120" w:after="120"/>
      <w:jc w:val="center"/>
    </w:pPr>
    <w:rPr>
      <w:b/>
      <w:sz w:val="24"/>
      <w:szCs w:val="24"/>
      <w:u w:val="single"/>
      <w:lang w:eastAsia="de-DE"/>
    </w:rPr>
  </w:style>
  <w:style w:type="paragraph" w:customStyle="1" w:styleId="Applicationdirecte">
    <w:name w:val="Application directe"/>
    <w:basedOn w:val="Normal"/>
    <w:next w:val="Fait"/>
    <w:rsid w:val="000B2CDA"/>
    <w:pPr>
      <w:spacing w:before="480" w:after="120"/>
      <w:jc w:val="both"/>
    </w:pPr>
    <w:rPr>
      <w:sz w:val="24"/>
      <w:szCs w:val="24"/>
      <w:lang w:eastAsia="de-DE"/>
    </w:rPr>
  </w:style>
  <w:style w:type="paragraph" w:customStyle="1" w:styleId="Fait">
    <w:name w:val="Fait à"/>
    <w:basedOn w:val="Normal"/>
    <w:next w:val="Institutionquisigne"/>
    <w:rsid w:val="000B2CDA"/>
    <w:pPr>
      <w:keepNext/>
      <w:spacing w:before="120"/>
      <w:jc w:val="both"/>
    </w:pPr>
    <w:rPr>
      <w:sz w:val="24"/>
      <w:szCs w:val="24"/>
      <w:lang w:eastAsia="de-DE"/>
    </w:rPr>
  </w:style>
  <w:style w:type="paragraph" w:customStyle="1" w:styleId="Institutionquisigne">
    <w:name w:val="Institution qui signe"/>
    <w:basedOn w:val="Normal"/>
    <w:next w:val="Personnequisigne"/>
    <w:rsid w:val="000B2CDA"/>
    <w:pPr>
      <w:keepNext/>
      <w:tabs>
        <w:tab w:val="left" w:pos="4252"/>
      </w:tabs>
      <w:spacing w:before="720"/>
      <w:jc w:val="both"/>
    </w:pPr>
    <w:rPr>
      <w:i/>
      <w:sz w:val="24"/>
      <w:szCs w:val="24"/>
      <w:lang w:eastAsia="de-DE"/>
    </w:rPr>
  </w:style>
  <w:style w:type="paragraph" w:customStyle="1" w:styleId="Personnequisigne">
    <w:name w:val="Personne qui signe"/>
    <w:basedOn w:val="Normal"/>
    <w:next w:val="Institutionquisigne"/>
    <w:rsid w:val="000B2CDA"/>
    <w:pPr>
      <w:tabs>
        <w:tab w:val="left" w:pos="4252"/>
      </w:tabs>
    </w:pPr>
    <w:rPr>
      <w:i/>
      <w:sz w:val="24"/>
      <w:szCs w:val="24"/>
      <w:lang w:eastAsia="de-DE"/>
    </w:rPr>
  </w:style>
  <w:style w:type="paragraph" w:customStyle="1" w:styleId="Avertissementtitre">
    <w:name w:val="Avertissement titre"/>
    <w:basedOn w:val="Normal"/>
    <w:next w:val="Normal"/>
    <w:rsid w:val="000B2CDA"/>
    <w:pPr>
      <w:keepNext/>
      <w:spacing w:before="480" w:after="120"/>
      <w:jc w:val="both"/>
    </w:pPr>
    <w:rPr>
      <w:sz w:val="24"/>
      <w:szCs w:val="24"/>
      <w:u w:val="single"/>
      <w:lang w:eastAsia="de-DE"/>
    </w:rPr>
  </w:style>
  <w:style w:type="paragraph" w:customStyle="1" w:styleId="Confidence">
    <w:name w:val="Confidence"/>
    <w:basedOn w:val="Normal"/>
    <w:next w:val="Normal"/>
    <w:rsid w:val="000B2CDA"/>
    <w:pPr>
      <w:spacing w:before="360" w:after="120"/>
      <w:jc w:val="center"/>
    </w:pPr>
    <w:rPr>
      <w:sz w:val="24"/>
      <w:szCs w:val="24"/>
      <w:lang w:eastAsia="de-DE"/>
    </w:rPr>
  </w:style>
  <w:style w:type="paragraph" w:customStyle="1" w:styleId="Confidentialit">
    <w:name w:val="Confidentialité"/>
    <w:basedOn w:val="Normal"/>
    <w:next w:val="Statut"/>
    <w:rsid w:val="000B2CDA"/>
    <w:pPr>
      <w:spacing w:before="240" w:after="240"/>
      <w:ind w:left="5103"/>
      <w:jc w:val="both"/>
    </w:pPr>
    <w:rPr>
      <w:sz w:val="24"/>
      <w:szCs w:val="24"/>
      <w:u w:val="single"/>
      <w:lang w:eastAsia="de-DE"/>
    </w:rPr>
  </w:style>
  <w:style w:type="paragraph" w:customStyle="1" w:styleId="Statut">
    <w:name w:val="Statut"/>
    <w:basedOn w:val="Normal"/>
    <w:next w:val="Typedudocument"/>
    <w:rsid w:val="000B2CDA"/>
    <w:pPr>
      <w:spacing w:before="360"/>
      <w:jc w:val="center"/>
    </w:pPr>
    <w:rPr>
      <w:sz w:val="24"/>
      <w:szCs w:val="24"/>
      <w:lang w:eastAsia="de-DE"/>
    </w:rPr>
  </w:style>
  <w:style w:type="paragraph" w:customStyle="1" w:styleId="Typedudocument">
    <w:name w:val="Type du document"/>
    <w:basedOn w:val="Normal"/>
    <w:next w:val="Datedadoption"/>
    <w:rsid w:val="000B2CDA"/>
    <w:pPr>
      <w:spacing w:before="360"/>
      <w:jc w:val="center"/>
    </w:pPr>
    <w:rPr>
      <w:b/>
      <w:sz w:val="24"/>
      <w:szCs w:val="24"/>
      <w:lang w:eastAsia="de-DE"/>
    </w:rPr>
  </w:style>
  <w:style w:type="paragraph" w:customStyle="1" w:styleId="Datedadoption">
    <w:name w:val="Date d'adoption"/>
    <w:basedOn w:val="Normal"/>
    <w:next w:val="Titreobjet"/>
    <w:rsid w:val="000B2CDA"/>
    <w:pPr>
      <w:spacing w:before="360"/>
      <w:jc w:val="center"/>
    </w:pPr>
    <w:rPr>
      <w:b/>
      <w:sz w:val="24"/>
      <w:szCs w:val="24"/>
      <w:lang w:eastAsia="de-DE"/>
    </w:rPr>
  </w:style>
  <w:style w:type="paragraph" w:customStyle="1" w:styleId="Titreobjet">
    <w:name w:val="Titre objet"/>
    <w:basedOn w:val="Normal"/>
    <w:next w:val="Sous-titreobjet"/>
    <w:rsid w:val="000B2CDA"/>
    <w:pPr>
      <w:spacing w:before="360" w:after="360"/>
      <w:jc w:val="center"/>
    </w:pPr>
    <w:rPr>
      <w:b/>
      <w:sz w:val="24"/>
      <w:szCs w:val="24"/>
      <w:lang w:eastAsia="de-DE"/>
    </w:rPr>
  </w:style>
  <w:style w:type="paragraph" w:customStyle="1" w:styleId="Sous-titreobjet">
    <w:name w:val="Sous-titre objet"/>
    <w:basedOn w:val="Normal"/>
    <w:rsid w:val="000B2CDA"/>
    <w:pPr>
      <w:jc w:val="center"/>
    </w:pPr>
    <w:rPr>
      <w:b/>
      <w:sz w:val="24"/>
      <w:szCs w:val="24"/>
      <w:lang w:eastAsia="de-DE"/>
    </w:rPr>
  </w:style>
  <w:style w:type="paragraph" w:customStyle="1" w:styleId="Considrant">
    <w:name w:val="Considérant"/>
    <w:basedOn w:val="Normal"/>
    <w:rsid w:val="000B2CDA"/>
    <w:pPr>
      <w:numPr>
        <w:numId w:val="10"/>
      </w:numPr>
      <w:spacing w:before="120" w:after="120"/>
      <w:jc w:val="both"/>
    </w:pPr>
    <w:rPr>
      <w:sz w:val="24"/>
      <w:szCs w:val="24"/>
      <w:lang w:eastAsia="de-DE"/>
    </w:rPr>
  </w:style>
  <w:style w:type="paragraph" w:customStyle="1" w:styleId="Corrigendum">
    <w:name w:val="Corrigendum"/>
    <w:basedOn w:val="Normal"/>
    <w:next w:val="Normal"/>
    <w:rsid w:val="000B2CDA"/>
    <w:pPr>
      <w:spacing w:after="240"/>
    </w:pPr>
    <w:rPr>
      <w:sz w:val="24"/>
      <w:szCs w:val="24"/>
      <w:lang w:eastAsia="de-DE"/>
    </w:rPr>
  </w:style>
  <w:style w:type="paragraph" w:customStyle="1" w:styleId="Emission">
    <w:name w:val="Emission"/>
    <w:basedOn w:val="Normal"/>
    <w:next w:val="Rfrenceinstitutionelle"/>
    <w:rsid w:val="000B2CDA"/>
    <w:pPr>
      <w:ind w:left="5103"/>
    </w:pPr>
    <w:rPr>
      <w:sz w:val="24"/>
      <w:szCs w:val="24"/>
      <w:lang w:eastAsia="de-DE"/>
    </w:rPr>
  </w:style>
  <w:style w:type="paragraph" w:customStyle="1" w:styleId="Rfrenceinstitutionelle">
    <w:name w:val="Référence institutionelle"/>
    <w:basedOn w:val="Normal"/>
    <w:next w:val="Statut"/>
    <w:rsid w:val="000B2CDA"/>
    <w:pPr>
      <w:spacing w:after="240"/>
      <w:ind w:left="5103"/>
    </w:pPr>
    <w:rPr>
      <w:sz w:val="24"/>
      <w:szCs w:val="24"/>
      <w:lang w:eastAsia="de-DE"/>
    </w:rPr>
  </w:style>
  <w:style w:type="paragraph" w:customStyle="1" w:styleId="Exposdesmotifstitre">
    <w:name w:val="Exposé des motifs titre"/>
    <w:basedOn w:val="Normal"/>
    <w:next w:val="Normal"/>
    <w:rsid w:val="000B2CDA"/>
    <w:pPr>
      <w:spacing w:before="120" w:after="120"/>
      <w:jc w:val="center"/>
    </w:pPr>
    <w:rPr>
      <w:b/>
      <w:sz w:val="24"/>
      <w:szCs w:val="24"/>
      <w:u w:val="single"/>
      <w:lang w:eastAsia="de-DE"/>
    </w:rPr>
  </w:style>
  <w:style w:type="paragraph" w:customStyle="1" w:styleId="Exposdesmotifstitreglobal">
    <w:name w:val="Exposé des motifs titre (global)"/>
    <w:basedOn w:val="Normal"/>
    <w:next w:val="Normal"/>
    <w:rsid w:val="000B2CDA"/>
    <w:pPr>
      <w:spacing w:before="120" w:after="120"/>
      <w:jc w:val="center"/>
    </w:pPr>
    <w:rPr>
      <w:b/>
      <w:sz w:val="24"/>
      <w:szCs w:val="24"/>
      <w:u w:val="single"/>
      <w:lang w:eastAsia="de-DE"/>
    </w:rPr>
  </w:style>
  <w:style w:type="paragraph" w:customStyle="1" w:styleId="Formuledadoption">
    <w:name w:val="Formule d'adoption"/>
    <w:basedOn w:val="Normal"/>
    <w:next w:val="Titrearticle"/>
    <w:rsid w:val="000B2CDA"/>
    <w:pPr>
      <w:keepNext/>
      <w:spacing w:before="120" w:after="120"/>
      <w:jc w:val="both"/>
    </w:pPr>
    <w:rPr>
      <w:sz w:val="24"/>
      <w:szCs w:val="24"/>
      <w:lang w:eastAsia="de-DE"/>
    </w:rPr>
  </w:style>
  <w:style w:type="paragraph" w:customStyle="1" w:styleId="Titrearticle">
    <w:name w:val="Titre article"/>
    <w:basedOn w:val="Normal"/>
    <w:next w:val="Normal"/>
    <w:rsid w:val="000B2CDA"/>
    <w:pPr>
      <w:keepNext/>
      <w:spacing w:before="360" w:after="120"/>
      <w:jc w:val="center"/>
    </w:pPr>
    <w:rPr>
      <w:i/>
      <w:sz w:val="24"/>
      <w:szCs w:val="24"/>
      <w:lang w:eastAsia="de-DE"/>
    </w:rPr>
  </w:style>
  <w:style w:type="paragraph" w:customStyle="1" w:styleId="Institutionquiagit">
    <w:name w:val="Institution qui agit"/>
    <w:basedOn w:val="Normal"/>
    <w:next w:val="Normal"/>
    <w:rsid w:val="000B2CDA"/>
    <w:pPr>
      <w:keepNext/>
      <w:spacing w:before="600" w:after="120"/>
      <w:jc w:val="both"/>
    </w:pPr>
    <w:rPr>
      <w:sz w:val="24"/>
      <w:szCs w:val="24"/>
      <w:lang w:eastAsia="de-DE"/>
    </w:rPr>
  </w:style>
  <w:style w:type="paragraph" w:customStyle="1" w:styleId="Langue">
    <w:name w:val="Langue"/>
    <w:basedOn w:val="Normal"/>
    <w:next w:val="Rfrenceinterne"/>
    <w:rsid w:val="000B2CDA"/>
    <w:pPr>
      <w:spacing w:after="600"/>
      <w:jc w:val="center"/>
    </w:pPr>
    <w:rPr>
      <w:b/>
      <w:caps/>
      <w:sz w:val="24"/>
      <w:szCs w:val="24"/>
      <w:lang w:eastAsia="de-DE"/>
    </w:rPr>
  </w:style>
  <w:style w:type="paragraph" w:customStyle="1" w:styleId="Rfrenceinterne">
    <w:name w:val="Référence interne"/>
    <w:basedOn w:val="Normal"/>
    <w:next w:val="Nomdelinstitution"/>
    <w:rsid w:val="000B2CDA"/>
    <w:pPr>
      <w:spacing w:after="600"/>
      <w:jc w:val="center"/>
    </w:pPr>
    <w:rPr>
      <w:b/>
      <w:sz w:val="24"/>
      <w:szCs w:val="24"/>
      <w:lang w:eastAsia="de-DE"/>
    </w:rPr>
  </w:style>
  <w:style w:type="paragraph" w:customStyle="1" w:styleId="Nomdelinstitution">
    <w:name w:val="Nom de l'institution"/>
    <w:basedOn w:val="Normal"/>
    <w:next w:val="Emission"/>
    <w:rsid w:val="000B2CDA"/>
    <w:rPr>
      <w:rFonts w:ascii="Arial" w:hAnsi="Arial" w:cs="Arial"/>
      <w:sz w:val="24"/>
      <w:szCs w:val="24"/>
      <w:lang w:eastAsia="de-DE"/>
    </w:rPr>
  </w:style>
  <w:style w:type="paragraph" w:customStyle="1" w:styleId="Langueoriginale">
    <w:name w:val="Langue originale"/>
    <w:basedOn w:val="Normal"/>
    <w:next w:val="Phrasefinale"/>
    <w:rsid w:val="000B2CDA"/>
    <w:pPr>
      <w:spacing w:before="360" w:after="120"/>
      <w:jc w:val="center"/>
    </w:pPr>
    <w:rPr>
      <w:caps/>
      <w:sz w:val="24"/>
      <w:szCs w:val="24"/>
      <w:lang w:eastAsia="de-DE"/>
    </w:rPr>
  </w:style>
  <w:style w:type="paragraph" w:customStyle="1" w:styleId="Phrasefinale">
    <w:name w:val="Phrase finale"/>
    <w:basedOn w:val="Normal"/>
    <w:next w:val="Normal"/>
    <w:rsid w:val="000B2CDA"/>
    <w:pPr>
      <w:spacing w:before="360"/>
      <w:jc w:val="center"/>
    </w:pPr>
    <w:rPr>
      <w:sz w:val="24"/>
      <w:szCs w:val="24"/>
      <w:lang w:eastAsia="de-DE"/>
    </w:rPr>
  </w:style>
  <w:style w:type="paragraph" w:customStyle="1" w:styleId="ManualConsidrant">
    <w:name w:val="Manual Considérant"/>
    <w:basedOn w:val="Normal"/>
    <w:rsid w:val="000B2CDA"/>
    <w:pPr>
      <w:spacing w:before="120" w:after="120"/>
      <w:ind w:left="709" w:hanging="709"/>
      <w:jc w:val="both"/>
    </w:pPr>
    <w:rPr>
      <w:sz w:val="24"/>
      <w:szCs w:val="24"/>
      <w:lang w:eastAsia="de-DE"/>
    </w:rPr>
  </w:style>
  <w:style w:type="paragraph" w:customStyle="1" w:styleId="Prliminairetitre">
    <w:name w:val="Préliminaire titre"/>
    <w:basedOn w:val="Normal"/>
    <w:next w:val="Normal"/>
    <w:rsid w:val="000B2CDA"/>
    <w:pPr>
      <w:spacing w:before="360" w:after="360"/>
      <w:jc w:val="center"/>
    </w:pPr>
    <w:rPr>
      <w:b/>
      <w:sz w:val="24"/>
      <w:szCs w:val="24"/>
      <w:lang w:eastAsia="de-DE"/>
    </w:rPr>
  </w:style>
  <w:style w:type="paragraph" w:customStyle="1" w:styleId="Prliminairetype">
    <w:name w:val="Préliminaire type"/>
    <w:basedOn w:val="Normal"/>
    <w:next w:val="Normal"/>
    <w:rsid w:val="000B2CDA"/>
    <w:pPr>
      <w:spacing w:before="360"/>
      <w:jc w:val="center"/>
    </w:pPr>
    <w:rPr>
      <w:b/>
      <w:sz w:val="24"/>
      <w:szCs w:val="24"/>
      <w:lang w:eastAsia="de-DE"/>
    </w:rPr>
  </w:style>
  <w:style w:type="paragraph" w:customStyle="1" w:styleId="Rfrenceinterinstitutionelle">
    <w:name w:val="Référence interinstitutionelle"/>
    <w:basedOn w:val="Normal"/>
    <w:next w:val="Statut"/>
    <w:rsid w:val="000B2CDA"/>
    <w:pPr>
      <w:ind w:left="5103"/>
    </w:pPr>
    <w:rPr>
      <w:sz w:val="24"/>
      <w:szCs w:val="24"/>
      <w:lang w:eastAsia="de-DE"/>
    </w:rPr>
  </w:style>
  <w:style w:type="paragraph" w:customStyle="1" w:styleId="Rfrenceinterinstitutionelleprliminaire">
    <w:name w:val="Référence interinstitutionelle (préliminaire)"/>
    <w:basedOn w:val="Normal"/>
    <w:next w:val="Normal"/>
    <w:rsid w:val="000B2CDA"/>
    <w:pPr>
      <w:ind w:left="5103"/>
    </w:pPr>
    <w:rPr>
      <w:sz w:val="24"/>
      <w:szCs w:val="24"/>
      <w:lang w:eastAsia="de-DE"/>
    </w:rPr>
  </w:style>
  <w:style w:type="paragraph" w:customStyle="1" w:styleId="Sous-titreobjetprliminaire">
    <w:name w:val="Sous-titre objet (préliminaire)"/>
    <w:basedOn w:val="Normal"/>
    <w:rsid w:val="000B2CDA"/>
    <w:pPr>
      <w:jc w:val="center"/>
    </w:pPr>
    <w:rPr>
      <w:b/>
      <w:sz w:val="24"/>
      <w:szCs w:val="24"/>
      <w:lang w:eastAsia="de-DE"/>
    </w:rPr>
  </w:style>
  <w:style w:type="paragraph" w:customStyle="1" w:styleId="Statutprliminaire">
    <w:name w:val="Statut (préliminaire)"/>
    <w:basedOn w:val="Normal"/>
    <w:next w:val="Normal"/>
    <w:rsid w:val="000B2CDA"/>
    <w:pPr>
      <w:spacing w:before="360"/>
      <w:jc w:val="center"/>
    </w:pPr>
    <w:rPr>
      <w:sz w:val="24"/>
      <w:szCs w:val="24"/>
      <w:lang w:eastAsia="de-DE"/>
    </w:rPr>
  </w:style>
  <w:style w:type="paragraph" w:customStyle="1" w:styleId="Titreobjetprliminaire">
    <w:name w:val="Titre objet (préliminaire)"/>
    <w:basedOn w:val="Normal"/>
    <w:next w:val="Normal"/>
    <w:rsid w:val="000B2CDA"/>
    <w:pPr>
      <w:spacing w:before="360" w:after="360"/>
      <w:jc w:val="center"/>
    </w:pPr>
    <w:rPr>
      <w:b/>
      <w:sz w:val="24"/>
      <w:szCs w:val="24"/>
      <w:lang w:eastAsia="de-DE"/>
    </w:rPr>
  </w:style>
  <w:style w:type="paragraph" w:customStyle="1" w:styleId="Typedudocumentprliminaire">
    <w:name w:val="Type du document (préliminaire)"/>
    <w:basedOn w:val="Normal"/>
    <w:next w:val="Normal"/>
    <w:rsid w:val="000B2CDA"/>
    <w:pPr>
      <w:spacing w:before="360"/>
      <w:jc w:val="center"/>
    </w:pPr>
    <w:rPr>
      <w:b/>
      <w:sz w:val="24"/>
      <w:szCs w:val="24"/>
      <w:lang w:eastAsia="de-DE"/>
    </w:rPr>
  </w:style>
  <w:style w:type="character" w:customStyle="1" w:styleId="Added">
    <w:name w:val="Added"/>
    <w:basedOn w:val="DefaultParagraphFont"/>
    <w:rsid w:val="000B2CDA"/>
    <w:rPr>
      <w:rFonts w:cs="Times New Roman"/>
      <w:b/>
      <w:u w:val="single"/>
    </w:rPr>
  </w:style>
  <w:style w:type="character" w:customStyle="1" w:styleId="Deleted">
    <w:name w:val="Deleted"/>
    <w:basedOn w:val="DefaultParagraphFont"/>
    <w:rsid w:val="000B2CDA"/>
    <w:rPr>
      <w:rFonts w:cs="Times New Roman"/>
      <w:strike/>
    </w:rPr>
  </w:style>
  <w:style w:type="paragraph" w:customStyle="1" w:styleId="Address">
    <w:name w:val="Address"/>
    <w:basedOn w:val="Normal"/>
    <w:next w:val="Normal"/>
    <w:rsid w:val="000B2CDA"/>
    <w:pPr>
      <w:keepLines/>
      <w:spacing w:before="120" w:after="120" w:line="360" w:lineRule="auto"/>
      <w:ind w:left="3402"/>
    </w:pPr>
    <w:rPr>
      <w:sz w:val="24"/>
      <w:szCs w:val="24"/>
      <w:lang w:eastAsia="de-DE"/>
    </w:rPr>
  </w:style>
  <w:style w:type="paragraph" w:customStyle="1" w:styleId="Fichefinancirestandardtitre">
    <w:name w:val="Fiche financière (standard) titre"/>
    <w:basedOn w:val="Normal"/>
    <w:next w:val="Normal"/>
    <w:rsid w:val="000B2CDA"/>
    <w:pPr>
      <w:spacing w:before="120" w:after="120"/>
      <w:jc w:val="center"/>
    </w:pPr>
    <w:rPr>
      <w:b/>
      <w:sz w:val="24"/>
      <w:szCs w:val="24"/>
      <w:u w:val="single"/>
      <w:lang w:eastAsia="de-DE"/>
    </w:rPr>
  </w:style>
  <w:style w:type="paragraph" w:customStyle="1" w:styleId="Fichefinancirestandardtitreacte">
    <w:name w:val="Fiche financière (standard) titre (acte)"/>
    <w:basedOn w:val="Normal"/>
    <w:next w:val="Normal"/>
    <w:rsid w:val="000B2CDA"/>
    <w:pPr>
      <w:spacing w:before="120" w:after="120"/>
      <w:jc w:val="center"/>
    </w:pPr>
    <w:rPr>
      <w:b/>
      <w:sz w:val="24"/>
      <w:szCs w:val="24"/>
      <w:u w:val="single"/>
      <w:lang w:eastAsia="de-DE"/>
    </w:rPr>
  </w:style>
  <w:style w:type="paragraph" w:customStyle="1" w:styleId="Fichefinanciretravailtitre">
    <w:name w:val="Fiche financière (travail) titre"/>
    <w:basedOn w:val="Normal"/>
    <w:next w:val="Normal"/>
    <w:rsid w:val="000B2CDA"/>
    <w:pPr>
      <w:spacing w:before="120" w:after="120"/>
      <w:jc w:val="center"/>
    </w:pPr>
    <w:rPr>
      <w:b/>
      <w:sz w:val="24"/>
      <w:szCs w:val="24"/>
      <w:u w:val="single"/>
      <w:lang w:eastAsia="de-DE"/>
    </w:rPr>
  </w:style>
  <w:style w:type="paragraph" w:customStyle="1" w:styleId="Fichefinanciretravailtitreacte">
    <w:name w:val="Fiche financière (travail) titre (acte)"/>
    <w:basedOn w:val="Normal"/>
    <w:next w:val="Normal"/>
    <w:rsid w:val="000B2CDA"/>
    <w:pPr>
      <w:spacing w:before="120" w:after="120"/>
      <w:jc w:val="center"/>
    </w:pPr>
    <w:rPr>
      <w:b/>
      <w:sz w:val="24"/>
      <w:szCs w:val="24"/>
      <w:u w:val="single"/>
      <w:lang w:eastAsia="de-DE"/>
    </w:rPr>
  </w:style>
  <w:style w:type="paragraph" w:customStyle="1" w:styleId="Fichefinancireattributiontitre">
    <w:name w:val="Fiche financière (attribution) titre"/>
    <w:basedOn w:val="Normal"/>
    <w:next w:val="Normal"/>
    <w:rsid w:val="000B2CDA"/>
    <w:pPr>
      <w:spacing w:before="120" w:after="120"/>
      <w:jc w:val="center"/>
    </w:pPr>
    <w:rPr>
      <w:b/>
      <w:sz w:val="24"/>
      <w:szCs w:val="24"/>
      <w:u w:val="single"/>
      <w:lang w:eastAsia="de-DE"/>
    </w:rPr>
  </w:style>
  <w:style w:type="paragraph" w:customStyle="1" w:styleId="Fichefinancireattributiontitreacte">
    <w:name w:val="Fiche financière (attribution) titre (acte)"/>
    <w:basedOn w:val="Normal"/>
    <w:next w:val="Normal"/>
    <w:rsid w:val="000B2CDA"/>
    <w:pPr>
      <w:spacing w:before="120" w:after="120"/>
      <w:jc w:val="center"/>
    </w:pPr>
    <w:rPr>
      <w:b/>
      <w:sz w:val="24"/>
      <w:szCs w:val="24"/>
      <w:u w:val="single"/>
      <w:lang w:eastAsia="de-DE"/>
    </w:rPr>
  </w:style>
  <w:style w:type="paragraph" w:customStyle="1" w:styleId="Objetexterne">
    <w:name w:val="Objet externe"/>
    <w:basedOn w:val="Normal"/>
    <w:next w:val="Normal"/>
    <w:rsid w:val="000B2CDA"/>
    <w:pPr>
      <w:spacing w:before="120" w:after="120"/>
      <w:jc w:val="both"/>
    </w:pPr>
    <w:rPr>
      <w:i/>
      <w:caps/>
      <w:sz w:val="24"/>
      <w:szCs w:val="24"/>
      <w:lang w:eastAsia="de-DE"/>
    </w:rPr>
  </w:style>
  <w:style w:type="paragraph" w:customStyle="1" w:styleId="Style2">
    <w:name w:val="Style2"/>
    <w:basedOn w:val="Normal"/>
    <w:autoRedefine/>
    <w:rsid w:val="000B2CDA"/>
    <w:pPr>
      <w:jc w:val="both"/>
    </w:pPr>
    <w:rPr>
      <w:b/>
      <w:bCs/>
      <w:sz w:val="24"/>
      <w:szCs w:val="24"/>
      <w:lang w:eastAsia="en-GB"/>
    </w:rPr>
  </w:style>
  <w:style w:type="paragraph" w:customStyle="1" w:styleId="Style4">
    <w:name w:val="Style4"/>
    <w:basedOn w:val="FootnoteText"/>
    <w:autoRedefine/>
    <w:rsid w:val="000B2CDA"/>
    <w:pPr>
      <w:keepNext w:val="0"/>
      <w:keepLines w:val="0"/>
      <w:spacing w:before="0"/>
      <w:jc w:val="both"/>
    </w:pPr>
    <w:rPr>
      <w:sz w:val="18"/>
      <w:szCs w:val="18"/>
      <w:lang w:eastAsia="en-GB"/>
    </w:rPr>
  </w:style>
  <w:style w:type="paragraph" w:customStyle="1" w:styleId="Style3">
    <w:name w:val="Style3"/>
    <w:basedOn w:val="FootnoteText"/>
    <w:rsid w:val="000B2CDA"/>
    <w:pPr>
      <w:keepNext w:val="0"/>
      <w:keepLines w:val="0"/>
      <w:spacing w:before="0"/>
      <w:jc w:val="both"/>
    </w:pPr>
    <w:rPr>
      <w:b/>
      <w:bCs/>
      <w:sz w:val="18"/>
      <w:szCs w:val="18"/>
      <w:lang w:eastAsia="en-GB"/>
    </w:rPr>
  </w:style>
  <w:style w:type="paragraph" w:customStyle="1" w:styleId="Style5">
    <w:name w:val="Style5"/>
    <w:basedOn w:val="FootnoteText"/>
    <w:autoRedefine/>
    <w:rsid w:val="000B2CDA"/>
    <w:pPr>
      <w:keepNext w:val="0"/>
      <w:keepLines w:val="0"/>
      <w:spacing w:before="0"/>
      <w:jc w:val="both"/>
    </w:pPr>
    <w:rPr>
      <w:b/>
      <w:bCs/>
      <w:sz w:val="18"/>
      <w:szCs w:val="18"/>
      <w:lang w:val="en-US" w:eastAsia="en-GB"/>
    </w:rPr>
  </w:style>
  <w:style w:type="character" w:customStyle="1" w:styleId="Style">
    <w:name w:val="Style"/>
    <w:basedOn w:val="FootnoteReference"/>
    <w:rsid w:val="000B2CDA"/>
    <w:rPr>
      <w:rFonts w:ascii="Verdana" w:hAnsi="Verdana" w:cs="Verdana"/>
      <w:sz w:val="18"/>
      <w:szCs w:val="18"/>
      <w:vertAlign w:val="superscript"/>
    </w:rPr>
  </w:style>
  <w:style w:type="paragraph" w:customStyle="1" w:styleId="Style6">
    <w:name w:val="Style6"/>
    <w:basedOn w:val="Normal"/>
    <w:autoRedefine/>
    <w:rsid w:val="000B2CDA"/>
    <w:rPr>
      <w:b/>
      <w:bCs/>
      <w:sz w:val="24"/>
      <w:szCs w:val="24"/>
      <w:lang w:eastAsia="en-GB"/>
    </w:rPr>
  </w:style>
  <w:style w:type="paragraph" w:customStyle="1" w:styleId="Style7">
    <w:name w:val="Style7"/>
    <w:basedOn w:val="Normal"/>
    <w:autoRedefine/>
    <w:rsid w:val="000B2CDA"/>
    <w:rPr>
      <w:lang w:eastAsia="en-GB"/>
    </w:rPr>
  </w:style>
  <w:style w:type="paragraph" w:customStyle="1" w:styleId="Style8">
    <w:name w:val="Style8"/>
    <w:basedOn w:val="Normal"/>
    <w:autoRedefine/>
    <w:rsid w:val="000B2CDA"/>
    <w:rPr>
      <w:lang w:eastAsia="en-GB"/>
    </w:rPr>
  </w:style>
  <w:style w:type="paragraph" w:customStyle="1" w:styleId="Style9">
    <w:name w:val="Style9"/>
    <w:basedOn w:val="Normal"/>
    <w:next w:val="Style1"/>
    <w:autoRedefine/>
    <w:rsid w:val="000B2CDA"/>
    <w:rPr>
      <w:sz w:val="24"/>
      <w:szCs w:val="24"/>
      <w:lang w:eastAsia="en-GB"/>
    </w:rPr>
  </w:style>
  <w:style w:type="paragraph" w:customStyle="1" w:styleId="Style10">
    <w:name w:val="Style10"/>
    <w:basedOn w:val="Normal"/>
    <w:autoRedefine/>
    <w:rsid w:val="000B2CDA"/>
    <w:rPr>
      <w:sz w:val="24"/>
      <w:szCs w:val="24"/>
      <w:lang w:eastAsia="en-GB"/>
    </w:rPr>
  </w:style>
  <w:style w:type="table" w:styleId="TableElegant">
    <w:name w:val="Table Elegant"/>
    <w:basedOn w:val="TableNormal"/>
    <w:rsid w:val="000B2CDA"/>
    <w:rPr>
      <w:rFonts w:eastAsia="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Theme">
    <w:name w:val="Table Theme"/>
    <w:basedOn w:val="TableNormal"/>
    <w:rsid w:val="000B2CDA"/>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rsid w:val="000B2CDA"/>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1-Accent21">
    <w:name w:val="Medium Grid 1 - Accent 21"/>
    <w:basedOn w:val="Normal"/>
    <w:uiPriority w:val="72"/>
    <w:qFormat/>
    <w:rsid w:val="000B2CDA"/>
    <w:pPr>
      <w:spacing w:before="120"/>
      <w:ind w:left="720"/>
      <w:contextualSpacing/>
    </w:pPr>
    <w:rPr>
      <w:rFonts w:eastAsia="MS Mincho"/>
      <w:sz w:val="24"/>
      <w:szCs w:val="24"/>
      <w:lang w:eastAsia="ja-JP"/>
    </w:rPr>
  </w:style>
  <w:style w:type="character" w:styleId="EndnoteReference">
    <w:name w:val="endnote reference"/>
    <w:basedOn w:val="DefaultParagraphFont"/>
    <w:rsid w:val="000B2CDA"/>
    <w:rPr>
      <w:vertAlign w:val="superscript"/>
    </w:rPr>
  </w:style>
  <w:style w:type="paragraph" w:customStyle="1" w:styleId="SourceCode">
    <w:name w:val="Source Code"/>
    <w:basedOn w:val="BodyText2"/>
    <w:rsid w:val="00A424D8"/>
    <w:pPr>
      <w:widowControl/>
      <w:suppressAutoHyphens/>
      <w:ind w:left="720"/>
      <w:jc w:val="both"/>
    </w:pPr>
    <w:rPr>
      <w:rFonts w:ascii="Courier New" w:hAnsi="Courier New" w:cs="Courier New"/>
      <w:b/>
      <w:bCs/>
      <w:noProof/>
      <w:color w:val="333399"/>
      <w:sz w:val="18"/>
      <w:szCs w:val="24"/>
      <w:lang w:eastAsia="en-US"/>
    </w:rPr>
  </w:style>
  <w:style w:type="paragraph" w:customStyle="1" w:styleId="AppendixHeading1">
    <w:name w:val="Appendix Heading 1"/>
    <w:basedOn w:val="Heading1"/>
    <w:next w:val="Normal"/>
    <w:rsid w:val="00A424D8"/>
    <w:pPr>
      <w:pageBreakBefore/>
      <w:spacing w:before="0" w:after="120"/>
      <w:jc w:val="center"/>
    </w:pPr>
    <w:rPr>
      <w:rFonts w:ascii="Times New Roman Bold" w:hAnsi="Times New Roman Bold" w:cs="Times New Roman"/>
      <w:noProof/>
      <w:kern w:val="0"/>
      <w:sz w:val="24"/>
      <w:szCs w:val="20"/>
      <w:lang w:eastAsia="en-US"/>
    </w:rPr>
  </w:style>
  <w:style w:type="paragraph" w:customStyle="1" w:styleId="IOTCReportNormal">
    <w:name w:val="IOTC Report Normal"/>
    <w:autoRedefine/>
    <w:rsid w:val="00A424D8"/>
    <w:pPr>
      <w:spacing w:before="60" w:after="60"/>
      <w:jc w:val="both"/>
    </w:pPr>
    <w:rPr>
      <w:rFonts w:eastAsia="Times New Roman"/>
      <w:noProof/>
      <w:sz w:val="22"/>
      <w:szCs w:val="22"/>
      <w:lang w:eastAsia="en-US"/>
    </w:rPr>
  </w:style>
  <w:style w:type="paragraph" w:customStyle="1" w:styleId="IOTCReport-AppendixHeading1">
    <w:name w:val="IOTC Report - Appendix Heading 1"/>
    <w:basedOn w:val="BodyText"/>
    <w:rsid w:val="00A424D8"/>
    <w:pPr>
      <w:keepNext/>
      <w:spacing w:before="240" w:after="240"/>
      <w:jc w:val="center"/>
    </w:pPr>
    <w:rPr>
      <w:rFonts w:ascii="Times New Roman Bold" w:hAnsi="Times New Roman Bold"/>
      <w:b/>
      <w:smallCaps/>
      <w:noProof/>
      <w:sz w:val="26"/>
      <w:szCs w:val="20"/>
      <w:lang w:eastAsia="en-US"/>
    </w:rPr>
  </w:style>
  <w:style w:type="paragraph" w:customStyle="1" w:styleId="IOTCReport-AppendixHeading2">
    <w:name w:val="IOTC Report - Appendix Heading 2"/>
    <w:basedOn w:val="IOTCReport-AppendixHeading1"/>
    <w:rsid w:val="00A424D8"/>
    <w:pPr>
      <w:keepLines/>
      <w:spacing w:before="200" w:after="120"/>
      <w:jc w:val="left"/>
    </w:pPr>
    <w:rPr>
      <w:noProof w:val="0"/>
      <w:snapToGrid w:val="0"/>
      <w:sz w:val="22"/>
    </w:rPr>
  </w:style>
  <w:style w:type="paragraph" w:customStyle="1" w:styleId="NN">
    <w:name w:val="NN"/>
    <w:basedOn w:val="Normal"/>
    <w:autoRedefine/>
    <w:rsid w:val="00A424D8"/>
    <w:pPr>
      <w:widowControl w:val="0"/>
      <w:spacing w:before="120"/>
      <w:jc w:val="both"/>
    </w:pPr>
    <w:rPr>
      <w:rFonts w:ascii="Arial" w:hAnsi="Arial" w:cs="Arial"/>
      <w:bCs/>
      <w:i/>
      <w:kern w:val="2"/>
      <w:sz w:val="18"/>
      <w:szCs w:val="18"/>
      <w:lang w:eastAsia="en-US"/>
    </w:rPr>
  </w:style>
  <w:style w:type="paragraph" w:customStyle="1" w:styleId="1AutoList1">
    <w:name w:val="1AutoList1"/>
    <w:rsid w:val="00A424D8"/>
    <w:pPr>
      <w:widowControl w:val="0"/>
      <w:tabs>
        <w:tab w:val="left" w:pos="720"/>
      </w:tabs>
      <w:autoSpaceDE w:val="0"/>
      <w:autoSpaceDN w:val="0"/>
      <w:adjustRightInd w:val="0"/>
      <w:ind w:left="720" w:hanging="720"/>
      <w:jc w:val="both"/>
    </w:pPr>
    <w:rPr>
      <w:sz w:val="24"/>
      <w:lang w:val="en-US" w:eastAsia="ja-JP"/>
    </w:rPr>
  </w:style>
  <w:style w:type="paragraph" w:customStyle="1" w:styleId="Toto">
    <w:name w:val="Toto"/>
    <w:basedOn w:val="IOTCReport-AppendixHeading1"/>
    <w:rsid w:val="00A424D8"/>
  </w:style>
  <w:style w:type="table" w:customStyle="1" w:styleId="TableGrid3">
    <w:name w:val="Table Grid3"/>
    <w:basedOn w:val="TableNormal"/>
    <w:next w:val="TableGrid"/>
    <w:rsid w:val="00A424D8"/>
    <w:pPr>
      <w:spacing w:after="24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Resolutions14pt">
    <w:name w:val="Style Resolutions + 14 pt"/>
    <w:basedOn w:val="Resolutions"/>
    <w:qFormat/>
    <w:rsid w:val="00A424D8"/>
    <w:rPr>
      <w:bCs/>
      <w:sz w:val="28"/>
    </w:rPr>
  </w:style>
  <w:style w:type="paragraph" w:customStyle="1" w:styleId="StyleIOTCReportNormalBold">
    <w:name w:val="Style IOTC Report Normal + Bold"/>
    <w:basedOn w:val="IOTCReportNormal"/>
    <w:autoRedefine/>
    <w:rsid w:val="00A424D8"/>
    <w:pPr>
      <w:jc w:val="left"/>
    </w:pPr>
    <w:rPr>
      <w:bCs/>
      <w:sz w:val="20"/>
      <w:szCs w:val="20"/>
    </w:rPr>
  </w:style>
  <w:style w:type="paragraph" w:customStyle="1" w:styleId="StyleIOTCReport-AppendixHeading2Before6ptAfter0pt">
    <w:name w:val="Style IOTC Report - Appendix Heading 2 + Before:  6 pt After:  0 pt"/>
    <w:basedOn w:val="IOTCReport-AppendixHeading2"/>
    <w:autoRedefine/>
    <w:rsid w:val="00A424D8"/>
    <w:pPr>
      <w:spacing w:before="120"/>
    </w:pPr>
    <w:rPr>
      <w:bCs/>
    </w:rPr>
  </w:style>
  <w:style w:type="paragraph" w:customStyle="1" w:styleId="StyleIOTCReportNormalAllcaps">
    <w:name w:val="Style IOTC Report Normal + All caps"/>
    <w:basedOn w:val="IOTCReportNormal"/>
    <w:rsid w:val="00A424D8"/>
    <w:rPr>
      <w:caps/>
    </w:rPr>
  </w:style>
  <w:style w:type="paragraph" w:customStyle="1" w:styleId="StyleIOTCReportNormalAllcaps1">
    <w:name w:val="Style IOTC Report Normal + All caps1"/>
    <w:basedOn w:val="IOTCReportNormal"/>
    <w:next w:val="StyleIOTCReportNormalAllcaps"/>
    <w:rsid w:val="00A424D8"/>
    <w:rPr>
      <w:caps/>
    </w:rPr>
  </w:style>
  <w:style w:type="paragraph" w:customStyle="1" w:styleId="StyleIOTCReportNormalBackground1Allcaps">
    <w:name w:val="Style IOTC Report Normal + Background 1 All caps"/>
    <w:basedOn w:val="IOTCReportNormal"/>
    <w:autoRedefine/>
    <w:rsid w:val="00A424D8"/>
    <w:rPr>
      <w:caps/>
      <w:color w:val="BFBFBF"/>
    </w:rPr>
  </w:style>
  <w:style w:type="paragraph" w:customStyle="1" w:styleId="StyleIOTCReportNormal11ptAllcaps">
    <w:name w:val="Style IOTC Report Normal + 11 pt All caps"/>
    <w:basedOn w:val="IOTCReportNormal"/>
    <w:autoRedefine/>
    <w:rsid w:val="00A424D8"/>
    <w:rPr>
      <w:rFonts w:ascii="Times New Roman Bold" w:hAnsi="Times New Roman Bold"/>
      <w:b/>
    </w:rPr>
  </w:style>
  <w:style w:type="character" w:customStyle="1" w:styleId="CommentTextChar1">
    <w:name w:val="Comment Text Char1"/>
    <w:basedOn w:val="DefaultParagraphFont"/>
    <w:rsid w:val="00A424D8"/>
    <w:rPr>
      <w:lang w:val="en-GB"/>
    </w:rPr>
  </w:style>
  <w:style w:type="table" w:customStyle="1" w:styleId="TableGrid12">
    <w:name w:val="Table Grid12"/>
    <w:basedOn w:val="TableNormal"/>
    <w:next w:val="TableGrid"/>
    <w:rsid w:val="00A424D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solutionsAnnex">
    <w:name w:val="Resolutions Annex"/>
    <w:qFormat/>
    <w:rsid w:val="00A424D8"/>
    <w:pPr>
      <w:jc w:val="center"/>
    </w:pPr>
    <w:rPr>
      <w:rFonts w:ascii="Times New Roman Bold" w:eastAsia="Times New Roman" w:hAnsi="Times New Roman Bold"/>
      <w:b/>
      <w:smallCaps/>
      <w:noProof/>
      <w:snapToGrid w:val="0"/>
      <w:sz w:val="26"/>
      <w:szCs w:val="24"/>
      <w:lang w:eastAsia="en-US"/>
    </w:rPr>
  </w:style>
  <w:style w:type="paragraph" w:customStyle="1" w:styleId="ESText">
    <w:name w:val="ES Text"/>
    <w:basedOn w:val="Normal"/>
    <w:link w:val="ESTextChar"/>
    <w:uiPriority w:val="99"/>
    <w:qFormat/>
    <w:rsid w:val="00372FAD"/>
    <w:pPr>
      <w:spacing w:before="120" w:after="120"/>
      <w:jc w:val="both"/>
    </w:pPr>
    <w:rPr>
      <w:szCs w:val="24"/>
    </w:rPr>
  </w:style>
  <w:style w:type="character" w:customStyle="1" w:styleId="ESTextChar">
    <w:name w:val="ES Text Char"/>
    <w:basedOn w:val="DefaultParagraphFont"/>
    <w:link w:val="ESText"/>
    <w:uiPriority w:val="99"/>
    <w:rsid w:val="00372FAD"/>
    <w:rPr>
      <w:rFonts w:eastAsia="Times New Roman"/>
      <w:sz w:val="22"/>
      <w:szCs w:val="24"/>
      <w:lang w:eastAsia="fr-FR"/>
    </w:rPr>
  </w:style>
  <w:style w:type="table" w:customStyle="1" w:styleId="TableGrid4">
    <w:name w:val="Table Grid4"/>
    <w:basedOn w:val="TableNormal"/>
    <w:next w:val="TableGrid"/>
    <w:uiPriority w:val="59"/>
    <w:rsid w:val="006A7F12"/>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
    <w:name w:val="Char1"/>
    <w:basedOn w:val="Normal"/>
    <w:rsid w:val="00392973"/>
    <w:rPr>
      <w:rFonts w:ascii="Arial" w:hAnsi="Arial" w:cs="Arial"/>
      <w:lang w:val="en-AU" w:eastAsia="en-US"/>
    </w:rPr>
  </w:style>
  <w:style w:type="paragraph" w:customStyle="1" w:styleId="NoteLevel11">
    <w:name w:val="Note Level 11"/>
    <w:basedOn w:val="Normal"/>
    <w:rsid w:val="00D42E5F"/>
    <w:pPr>
      <w:keepNext/>
      <w:numPr>
        <w:numId w:val="11"/>
      </w:numPr>
      <w:spacing w:after="60" w:line="260" w:lineRule="exact"/>
      <w:outlineLvl w:val="0"/>
    </w:pPr>
    <w:rPr>
      <w:rFonts w:ascii="Helvetica" w:eastAsia="MS Gothic" w:hAnsi="Helvetica"/>
      <w:color w:val="000000"/>
      <w:sz w:val="18"/>
      <w:szCs w:val="24"/>
      <w:lang w:val="en-AU" w:eastAsia="en-US"/>
    </w:rPr>
  </w:style>
  <w:style w:type="paragraph" w:customStyle="1" w:styleId="VersoPage">
    <w:name w:val="Verso Page"/>
    <w:basedOn w:val="Normal"/>
    <w:rsid w:val="00D42E5F"/>
    <w:pPr>
      <w:spacing w:after="60" w:line="260" w:lineRule="exact"/>
      <w:ind w:right="4536"/>
    </w:pPr>
    <w:rPr>
      <w:color w:val="000000"/>
      <w:sz w:val="18"/>
      <w:szCs w:val="24"/>
      <w:lang w:val="en-AU" w:eastAsia="en-US"/>
    </w:rPr>
  </w:style>
  <w:style w:type="paragraph" w:customStyle="1" w:styleId="BRSVERSOPAGE">
    <w:name w:val="BRS VERSO PAGE"/>
    <w:basedOn w:val="Normal"/>
    <w:rsid w:val="00D42E5F"/>
    <w:pPr>
      <w:spacing w:after="120"/>
      <w:ind w:right="3776"/>
    </w:pPr>
    <w:rPr>
      <w:sz w:val="19"/>
      <w:szCs w:val="20"/>
      <w:lang w:val="en-AU" w:eastAsia="en-US"/>
    </w:rPr>
  </w:style>
  <w:style w:type="paragraph" w:styleId="TOCHeading">
    <w:name w:val="TOC Heading"/>
    <w:basedOn w:val="Heading1"/>
    <w:next w:val="Normal"/>
    <w:uiPriority w:val="39"/>
    <w:semiHidden/>
    <w:unhideWhenUsed/>
    <w:qFormat/>
    <w:rsid w:val="009013D4"/>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ja-JP"/>
    </w:rPr>
  </w:style>
  <w:style w:type="paragraph" w:styleId="NoSpacing">
    <w:name w:val="No Spacing"/>
    <w:uiPriority w:val="1"/>
    <w:qFormat/>
    <w:rsid w:val="00DC3027"/>
    <w:rPr>
      <w:rFonts w:eastAsia="Times New Roman"/>
      <w:sz w:val="24"/>
      <w:szCs w:val="24"/>
      <w:lang w:val="en-US" w:eastAsia="en-US"/>
    </w:rPr>
  </w:style>
  <w:style w:type="paragraph" w:customStyle="1" w:styleId="AnnexTitle">
    <w:name w:val="Annex Title"/>
    <w:basedOn w:val="Normal"/>
    <w:next w:val="Normal"/>
    <w:qFormat/>
    <w:rsid w:val="00224C06"/>
    <w:pPr>
      <w:spacing w:after="300"/>
      <w:contextualSpacing/>
      <w:jc w:val="center"/>
    </w:pPr>
    <w:rPr>
      <w:rFonts w:ascii="Times New Roman Bold" w:eastAsia="MS Mincho" w:hAnsi="Times New Roman Bold"/>
      <w:b/>
      <w:bCs/>
      <w:smallCaps/>
      <w:sz w:val="28"/>
      <w:szCs w:val="28"/>
      <w:lang w:val="fr-FR" w:eastAsia="en-US"/>
    </w:rPr>
  </w:style>
  <w:style w:type="paragraph" w:styleId="Revision">
    <w:name w:val="Revision"/>
    <w:hidden/>
    <w:uiPriority w:val="99"/>
    <w:semiHidden/>
    <w:rsid w:val="007E02CD"/>
    <w:rPr>
      <w:rFonts w:eastAsia="Times New Roman"/>
      <w:sz w:val="22"/>
      <w:szCs w:val="22"/>
      <w:lang w:val="en-US" w:eastAsia="fr-FR"/>
    </w:rPr>
  </w:style>
  <w:style w:type="paragraph" w:customStyle="1" w:styleId="Body">
    <w:name w:val="Body"/>
    <w:autoRedefine/>
    <w:uiPriority w:val="99"/>
    <w:rsid w:val="000825BD"/>
    <w:pPr>
      <w:numPr>
        <w:numId w:val="12"/>
      </w:numPr>
      <w:jc w:val="both"/>
    </w:pPr>
    <w:rPr>
      <w:rFonts w:eastAsia="?????? Pro W3"/>
      <w:color w:val="000000"/>
      <w:sz w:val="22"/>
      <w:szCs w:val="22"/>
      <w:lang w:val="en-US" w:eastAsia="en-US"/>
    </w:rPr>
  </w:style>
  <w:style w:type="table" w:customStyle="1" w:styleId="TableGrid5">
    <w:name w:val="Table Grid5"/>
    <w:basedOn w:val="TableNormal"/>
    <w:next w:val="TableGrid"/>
    <w:uiPriority w:val="59"/>
    <w:rsid w:val="00AA501C"/>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AA501C"/>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CharChar">
    <w:name w:val="Footnote Char Char"/>
    <w:basedOn w:val="BodyText"/>
    <w:link w:val="FootnoteCharCharChar"/>
    <w:rsid w:val="00825BDD"/>
    <w:pPr>
      <w:jc w:val="both"/>
    </w:pPr>
    <w:rPr>
      <w:rFonts w:eastAsia="SimSun"/>
      <w:iCs/>
      <w:sz w:val="18"/>
      <w:szCs w:val="20"/>
      <w:lang w:eastAsia="en-US"/>
    </w:rPr>
  </w:style>
  <w:style w:type="character" w:customStyle="1" w:styleId="FootnoteCharCharChar">
    <w:name w:val="Footnote Char Char Char"/>
    <w:link w:val="FootnoteCharChar"/>
    <w:rsid w:val="00825BDD"/>
    <w:rPr>
      <w:rFonts w:eastAsia="SimSun"/>
      <w:iCs/>
      <w:sz w:val="18"/>
      <w:lang w:eastAsia="en-US"/>
    </w:rPr>
  </w:style>
  <w:style w:type="table" w:customStyle="1" w:styleId="TableGrid6">
    <w:name w:val="Table Grid6"/>
    <w:basedOn w:val="TableNormal"/>
    <w:next w:val="TableGrid"/>
    <w:rsid w:val="00825BDD"/>
    <w:pPr>
      <w:spacing w:after="120"/>
    </w:pPr>
    <w:rPr>
      <w:rFonts w:eastAsia="SimSun"/>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AOAddress">
    <w:name w:val="FAO Address"/>
    <w:basedOn w:val="Normal"/>
    <w:autoRedefine/>
    <w:rsid w:val="00825BDD"/>
    <w:pPr>
      <w:keepNext/>
      <w:keepLines/>
      <w:overflowPunct w:val="0"/>
      <w:autoSpaceDE w:val="0"/>
      <w:autoSpaceDN w:val="0"/>
      <w:adjustRightInd w:val="0"/>
      <w:spacing w:before="100" w:after="100"/>
      <w:jc w:val="center"/>
      <w:textAlignment w:val="baseline"/>
    </w:pPr>
    <w:rPr>
      <w:rFonts w:cs="Cordia New"/>
      <w:i/>
      <w:sz w:val="20"/>
      <w:szCs w:val="20"/>
      <w:lang w:eastAsia="en-GB"/>
    </w:rPr>
  </w:style>
  <w:style w:type="paragraph" w:customStyle="1" w:styleId="FootnoteCharCharCharChar">
    <w:name w:val="Footnote Char Char Char Char"/>
    <w:basedOn w:val="BodyText"/>
    <w:link w:val="FootnoteCharCharCharCharChar"/>
    <w:rsid w:val="00825BDD"/>
    <w:pPr>
      <w:jc w:val="both"/>
    </w:pPr>
    <w:rPr>
      <w:rFonts w:eastAsia="SimSun"/>
      <w:iCs/>
      <w:sz w:val="18"/>
      <w:szCs w:val="24"/>
      <w:lang w:eastAsia="en-US"/>
    </w:rPr>
  </w:style>
  <w:style w:type="character" w:customStyle="1" w:styleId="FootnoteCharCharCharCharChar">
    <w:name w:val="Footnote Char Char Char Char Char"/>
    <w:link w:val="FootnoteCharCharCharChar"/>
    <w:rsid w:val="00825BDD"/>
    <w:rPr>
      <w:rFonts w:eastAsia="SimSun"/>
      <w:iCs/>
      <w:sz w:val="18"/>
      <w:szCs w:val="24"/>
      <w:lang w:eastAsia="en-US"/>
    </w:rPr>
  </w:style>
  <w:style w:type="paragraph" w:customStyle="1" w:styleId="NormalFont">
    <w:name w:val="NormalFont"/>
    <w:basedOn w:val="Normal"/>
    <w:rsid w:val="00825BDD"/>
    <w:pPr>
      <w:spacing w:after="120"/>
    </w:pPr>
    <w:rPr>
      <w:szCs w:val="24"/>
      <w:lang w:eastAsia="en-US"/>
    </w:rPr>
  </w:style>
  <w:style w:type="paragraph" w:customStyle="1" w:styleId="MainHeading">
    <w:name w:val="MainHeading"/>
    <w:basedOn w:val="Heading2"/>
    <w:rsid w:val="00825BDD"/>
    <w:pPr>
      <w:spacing w:after="120"/>
      <w:jc w:val="both"/>
    </w:pPr>
    <w:rPr>
      <w:rFonts w:ascii="Courier New" w:hAnsi="Courier New" w:cs="Times New Roman"/>
      <w:bCs w:val="0"/>
      <w:i w:val="0"/>
      <w:iCs w:val="0"/>
      <w:smallCaps/>
      <w:sz w:val="32"/>
      <w:lang w:eastAsia="en-US"/>
    </w:rPr>
  </w:style>
  <w:style w:type="table" w:customStyle="1" w:styleId="TableGrid56">
    <w:name w:val="Table Grid56"/>
    <w:basedOn w:val="TableNormal"/>
    <w:next w:val="TableGrid"/>
    <w:uiPriority w:val="59"/>
    <w:rsid w:val="00A54F1C"/>
    <w:pPr>
      <w:ind w:left="720" w:hanging="432"/>
      <w:jc w:val="both"/>
    </w:pPr>
    <w:rPr>
      <w:rFonts w:ascii="Calibri" w:eastAsia="Calibri" w:hAnsi="Calibri"/>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5">
    <w:name w:val="Table Grid65"/>
    <w:basedOn w:val="TableNormal"/>
    <w:next w:val="TableGrid"/>
    <w:uiPriority w:val="59"/>
    <w:rsid w:val="00A54F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
    <w:name w:val="Table Grid74"/>
    <w:basedOn w:val="TableNormal"/>
    <w:next w:val="TableGrid"/>
    <w:uiPriority w:val="59"/>
    <w:rsid w:val="00A54F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7">
    <w:name w:val="Table Grid57"/>
    <w:basedOn w:val="TableNormal"/>
    <w:next w:val="TableGrid"/>
    <w:uiPriority w:val="59"/>
    <w:rsid w:val="00A54F1C"/>
    <w:pPr>
      <w:ind w:left="720" w:hanging="432"/>
      <w:jc w:val="both"/>
    </w:pPr>
    <w:rPr>
      <w:rFonts w:ascii="Calibri" w:eastAsia="Calibri" w:hAnsi="Calibri"/>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
    <w:name w:val="Table Grid66"/>
    <w:basedOn w:val="TableNormal"/>
    <w:next w:val="TableGrid"/>
    <w:uiPriority w:val="59"/>
    <w:rsid w:val="00A54F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8">
    <w:name w:val="Table Grid58"/>
    <w:basedOn w:val="TableNormal"/>
    <w:next w:val="TableGrid"/>
    <w:uiPriority w:val="59"/>
    <w:rsid w:val="00AA5E7D"/>
    <w:pPr>
      <w:ind w:left="720" w:hanging="432"/>
      <w:jc w:val="both"/>
    </w:pPr>
    <w:rPr>
      <w:rFonts w:ascii="Calibri" w:eastAsia="Calibri" w:hAnsi="Calibri"/>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7">
    <w:name w:val="Table Grid67"/>
    <w:basedOn w:val="TableNormal"/>
    <w:next w:val="TableGrid"/>
    <w:uiPriority w:val="59"/>
    <w:rsid w:val="00AA5E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9">
    <w:name w:val="Table Grid59"/>
    <w:basedOn w:val="TableNormal"/>
    <w:next w:val="TableGrid"/>
    <w:uiPriority w:val="59"/>
    <w:rsid w:val="00AA5E7D"/>
    <w:pPr>
      <w:ind w:left="720" w:hanging="432"/>
      <w:jc w:val="both"/>
    </w:pPr>
    <w:rPr>
      <w:rFonts w:ascii="Calibri" w:eastAsia="Calibri" w:hAnsi="Calibri"/>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8">
    <w:name w:val="Table Grid68"/>
    <w:basedOn w:val="TableNormal"/>
    <w:next w:val="TableGrid"/>
    <w:uiPriority w:val="59"/>
    <w:rsid w:val="00AA5E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9">
    <w:name w:val="Table Grid69"/>
    <w:basedOn w:val="TableNormal"/>
    <w:next w:val="TableGrid"/>
    <w:uiPriority w:val="59"/>
    <w:rsid w:val="00AA5E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
    <w:name w:val="Table Grid7"/>
    <w:basedOn w:val="TableNormal"/>
    <w:next w:val="TableGrid"/>
    <w:uiPriority w:val="59"/>
    <w:rsid w:val="002E7E13"/>
    <w:pPr>
      <w:ind w:left="720" w:hanging="432"/>
      <w:jc w:val="both"/>
    </w:pPr>
    <w:rPr>
      <w:rFonts w:asciiTheme="minorHAnsi" w:eastAsiaTheme="minorHAnsi" w:hAnsiTheme="minorHAnsi" w:cstheme="minorBidi"/>
      <w:sz w:val="22"/>
      <w:szCs w:val="22"/>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8">
    <w:name w:val="Table Grid8"/>
    <w:basedOn w:val="TableNormal"/>
    <w:next w:val="TableGrid"/>
    <w:uiPriority w:val="59"/>
    <w:rsid w:val="00296C34"/>
    <w:pPr>
      <w:ind w:left="720" w:hanging="432"/>
      <w:jc w:val="both"/>
    </w:pPr>
    <w:rPr>
      <w:rFonts w:ascii="Calibri" w:eastAsia="Calibri" w:hAnsi="Calibri"/>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9">
    <w:name w:val="Table Grid9"/>
    <w:basedOn w:val="TableNormal"/>
    <w:next w:val="TableGrid"/>
    <w:uiPriority w:val="59"/>
    <w:rsid w:val="000E0A4D"/>
    <w:pPr>
      <w:ind w:left="720" w:hanging="432"/>
      <w:jc w:val="both"/>
    </w:pPr>
    <w:rPr>
      <w:rFonts w:ascii="Calibri" w:eastAsia="Calibri" w:hAnsi="Calibri"/>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
    <w:name w:val="Table Grid10"/>
    <w:basedOn w:val="TableNormal"/>
    <w:next w:val="TableGrid"/>
    <w:uiPriority w:val="59"/>
    <w:rsid w:val="009F60E0"/>
    <w:pPr>
      <w:ind w:left="720" w:hanging="432"/>
      <w:jc w:val="both"/>
    </w:pPr>
    <w:rPr>
      <w:rFonts w:ascii="Calibri" w:eastAsia="Calibri" w:hAnsi="Calibri"/>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5">
    <w:name w:val="Table Grid25"/>
    <w:basedOn w:val="TableNormal"/>
    <w:next w:val="TableGrid"/>
    <w:uiPriority w:val="59"/>
    <w:rsid w:val="005E3108"/>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59"/>
    <w:rsid w:val="005E3108"/>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6">
    <w:name w:val="Table Grid516"/>
    <w:basedOn w:val="TableNormal"/>
    <w:next w:val="TableGrid"/>
    <w:uiPriority w:val="59"/>
    <w:rsid w:val="005E3108"/>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
    <w:name w:val="Table Grid315"/>
    <w:basedOn w:val="TableNormal"/>
    <w:next w:val="TableGrid"/>
    <w:uiPriority w:val="59"/>
    <w:rsid w:val="005E3108"/>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leNormal"/>
    <w:next w:val="TableGrid"/>
    <w:uiPriority w:val="59"/>
    <w:rsid w:val="005A6A5C"/>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OTCSubheading20">
    <w:name w:val="IOTC Subheading 2"/>
    <w:basedOn w:val="Heading2"/>
    <w:qFormat/>
    <w:rsid w:val="00273EAD"/>
    <w:rPr>
      <w:rFonts w:ascii="Times New Roman" w:hAnsi="Times New Roman"/>
      <w:sz w:val="22"/>
    </w:rPr>
  </w:style>
  <w:style w:type="paragraph" w:customStyle="1" w:styleId="Style11">
    <w:name w:val="Style11"/>
    <w:basedOn w:val="IOTCSubheading20"/>
    <w:qFormat/>
    <w:rsid w:val="00273EAD"/>
    <w:pPr>
      <w:spacing w:before="120"/>
    </w:pPr>
  </w:style>
  <w:style w:type="paragraph" w:customStyle="1" w:styleId="IOTCsubheading2">
    <w:name w:val="IOTC subheading 2"/>
    <w:next w:val="TOC2"/>
    <w:qFormat/>
    <w:rsid w:val="002E7640"/>
    <w:pPr>
      <w:numPr>
        <w:ilvl w:val="1"/>
        <w:numId w:val="18"/>
      </w:numPr>
      <w:spacing w:before="60"/>
    </w:pPr>
    <w:rPr>
      <w:rFonts w:eastAsia="Times New Roman" w:cs="Arial"/>
      <w:b/>
      <w:bCs/>
      <w:i/>
      <w:iCs/>
      <w:color w:val="000000" w:themeColor="text1"/>
      <w:sz w:val="22"/>
      <w:szCs w:val="28"/>
      <w:lang w:val="en-US" w:eastAsia="fr-FR"/>
    </w:rPr>
  </w:style>
  <w:style w:type="table" w:customStyle="1" w:styleId="TableGrid3152">
    <w:name w:val="Table Grid3152"/>
    <w:basedOn w:val="TableNormal"/>
    <w:next w:val="TableGrid"/>
    <w:uiPriority w:val="59"/>
    <w:rsid w:val="00DB178B"/>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3">
    <w:name w:val="Table Grid263"/>
    <w:basedOn w:val="TableNormal"/>
    <w:next w:val="TableGrid"/>
    <w:uiPriority w:val="59"/>
    <w:rsid w:val="00DB178B"/>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TableNormal"/>
    <w:next w:val="TableGrid"/>
    <w:rsid w:val="00173880"/>
    <w:pPr>
      <w:spacing w:after="120"/>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0">
    <w:name w:val="Table Grid310"/>
    <w:basedOn w:val="TableNormal"/>
    <w:next w:val="TableGrid"/>
    <w:uiPriority w:val="59"/>
    <w:rsid w:val="005062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3">
    <w:name w:val="Table Grid13"/>
    <w:basedOn w:val="TableNormal"/>
    <w:next w:val="TableGrid"/>
    <w:uiPriority w:val="59"/>
    <w:rsid w:val="00CA0EA8"/>
    <w:pPr>
      <w:ind w:left="720" w:hanging="432"/>
      <w:jc w:val="both"/>
    </w:pPr>
    <w:rPr>
      <w:rFonts w:ascii="Calibri" w:eastAsia="Calibri" w:hAnsi="Calibri"/>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62">
    <w:name w:val="Table Grid662"/>
    <w:basedOn w:val="TableNormal"/>
    <w:next w:val="TableGrid"/>
    <w:uiPriority w:val="59"/>
    <w:rsid w:val="00DB1CF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53">
    <w:name w:val="Table Grid3153"/>
    <w:basedOn w:val="TableNormal"/>
    <w:next w:val="TableGrid"/>
    <w:uiPriority w:val="59"/>
    <w:rsid w:val="00DB1CF2"/>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72">
    <w:name w:val="Table Grid672"/>
    <w:basedOn w:val="TableNormal"/>
    <w:next w:val="TableGrid"/>
    <w:uiPriority w:val="59"/>
    <w:rsid w:val="00DB1CF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54">
    <w:name w:val="Table Grid3154"/>
    <w:basedOn w:val="TableNormal"/>
    <w:next w:val="TableGrid"/>
    <w:uiPriority w:val="59"/>
    <w:rsid w:val="00DB1CF2"/>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31">
    <w:name w:val="Table Grid2531"/>
    <w:basedOn w:val="TableNormal"/>
    <w:next w:val="TableGrid"/>
    <w:uiPriority w:val="59"/>
    <w:rsid w:val="00DB1CF2"/>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61">
    <w:name w:val="Table Grid31561"/>
    <w:basedOn w:val="TableNormal"/>
    <w:next w:val="TableGrid"/>
    <w:uiPriority w:val="59"/>
    <w:rsid w:val="00DB1CF2"/>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23">
    <w:name w:val="Table Grid31523"/>
    <w:basedOn w:val="TableNormal"/>
    <w:next w:val="TableGrid"/>
    <w:uiPriority w:val="59"/>
    <w:rsid w:val="00DB1CF2"/>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32">
    <w:name w:val="Table Grid2632"/>
    <w:basedOn w:val="TableNormal"/>
    <w:next w:val="TableGrid"/>
    <w:uiPriority w:val="59"/>
    <w:rsid w:val="00DB1CF2"/>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A7580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
    <w:name w:val="바탕글"/>
    <w:basedOn w:val="Normal"/>
    <w:rsid w:val="00A7580B"/>
    <w:pPr>
      <w:snapToGrid w:val="0"/>
      <w:spacing w:line="384" w:lineRule="auto"/>
      <w:jc w:val="both"/>
    </w:pPr>
    <w:rPr>
      <w:rFonts w:ascii="Batang" w:eastAsia="Batang" w:hAnsi="Batang" w:cs="Gulim"/>
      <w:color w:val="000000"/>
      <w:sz w:val="20"/>
      <w:szCs w:val="20"/>
      <w:lang w:eastAsia="ko-KR"/>
    </w:rPr>
  </w:style>
  <w:style w:type="table" w:customStyle="1" w:styleId="TableGrid71">
    <w:name w:val="Table Grid71"/>
    <w:basedOn w:val="TableNormal"/>
    <w:next w:val="TableGrid"/>
    <w:uiPriority w:val="59"/>
    <w:rsid w:val="00A7580B"/>
    <w:pPr>
      <w:spacing w:after="120"/>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8">
    <w:name w:val="Table Grid518"/>
    <w:basedOn w:val="TableNormal"/>
    <w:next w:val="TableGrid"/>
    <w:uiPriority w:val="59"/>
    <w:rsid w:val="00A7580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9">
    <w:name w:val="Table Grid319"/>
    <w:basedOn w:val="TableNormal"/>
    <w:next w:val="TableGrid"/>
    <w:uiPriority w:val="59"/>
    <w:rsid w:val="00A7580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leNormal"/>
    <w:next w:val="TableGrid"/>
    <w:rsid w:val="007F4189"/>
    <w:pPr>
      <w:spacing w:after="120"/>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7F4189"/>
    <w:pPr>
      <w:spacing w:after="120"/>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EA7747"/>
    <w:pPr>
      <w:spacing w:after="120"/>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F531E6"/>
    <w:pPr>
      <w:spacing w:after="120"/>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1A4536"/>
    <w:pPr>
      <w:spacing w:after="120"/>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7E4BBE"/>
    <w:pPr>
      <w:spacing w:after="120"/>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A255D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A255D0"/>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535968"/>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210">
    <w:name w:val="Table Grid315210"/>
    <w:basedOn w:val="TableNormal"/>
    <w:next w:val="TableGrid"/>
    <w:uiPriority w:val="59"/>
    <w:rsid w:val="00C21228"/>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50"/>
    <w:basedOn w:val="TableNormal"/>
    <w:next w:val="TableGrid"/>
    <w:rsid w:val="00C96F7B"/>
    <w:pPr>
      <w:spacing w:after="120"/>
    </w:pPr>
    <w:rPr>
      <w:rFonts w:eastAsia="Bat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2101">
    <w:name w:val="Table Grid3152101"/>
    <w:basedOn w:val="TableNormal"/>
    <w:next w:val="TableGrid"/>
    <w:uiPriority w:val="59"/>
    <w:rsid w:val="002D3850"/>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2102">
    <w:name w:val="Table Grid3152102"/>
    <w:basedOn w:val="TableNormal"/>
    <w:next w:val="TableGrid"/>
    <w:uiPriority w:val="59"/>
    <w:rsid w:val="00113899"/>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621">
    <w:name w:val="Table Grid6621"/>
    <w:basedOn w:val="TableNormal"/>
    <w:next w:val="TableGrid"/>
    <w:uiPriority w:val="59"/>
    <w:rsid w:val="00881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52103">
    <w:name w:val="Table Grid3152103"/>
    <w:basedOn w:val="TableNormal"/>
    <w:next w:val="TableGrid"/>
    <w:uiPriority w:val="59"/>
    <w:rsid w:val="00881F40"/>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721">
    <w:name w:val="Table Grid6721"/>
    <w:basedOn w:val="TableNormal"/>
    <w:next w:val="TableGrid"/>
    <w:uiPriority w:val="59"/>
    <w:rsid w:val="00D60A1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52104">
    <w:name w:val="Table Grid3152104"/>
    <w:basedOn w:val="TableNormal"/>
    <w:next w:val="TableGrid"/>
    <w:uiPriority w:val="59"/>
    <w:rsid w:val="00D60A17"/>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311">
    <w:name w:val="Table Grid25311"/>
    <w:basedOn w:val="TableNormal"/>
    <w:next w:val="TableGrid"/>
    <w:uiPriority w:val="59"/>
    <w:rsid w:val="00CC1444"/>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2105">
    <w:name w:val="Table Grid3152105"/>
    <w:basedOn w:val="TableNormal"/>
    <w:next w:val="TableGrid"/>
    <w:uiPriority w:val="59"/>
    <w:rsid w:val="00CC1444"/>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322">
    <w:name w:val="Table Grid26322"/>
    <w:basedOn w:val="TableNormal"/>
    <w:next w:val="TableGrid"/>
    <w:uiPriority w:val="59"/>
    <w:rsid w:val="001A00CC"/>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21011">
    <w:name w:val="Table Grid31521011"/>
    <w:basedOn w:val="TableNormal"/>
    <w:next w:val="TableGrid"/>
    <w:uiPriority w:val="59"/>
    <w:rsid w:val="001A00CC"/>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147D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4">
    <w:name w:val="Table Grid24"/>
    <w:basedOn w:val="TableNormal"/>
    <w:next w:val="TableGrid"/>
    <w:rsid w:val="00147D3E"/>
    <w:pPr>
      <w:spacing w:after="120"/>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rsid w:val="00147D3E"/>
    <w:pPr>
      <w:spacing w:after="120"/>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9"/>
    <w:basedOn w:val="TableNormal"/>
    <w:next w:val="TableGrid"/>
    <w:rsid w:val="00147D3E"/>
    <w:pPr>
      <w:spacing w:after="120"/>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Graphic Caption Char"/>
    <w:basedOn w:val="DefaultParagraphFont"/>
    <w:link w:val="ListParagraph"/>
    <w:uiPriority w:val="34"/>
    <w:qFormat/>
    <w:rsid w:val="00147D3E"/>
    <w:rPr>
      <w:rFonts w:eastAsia="Times New Roman"/>
      <w:sz w:val="22"/>
      <w:szCs w:val="22"/>
      <w:lang w:val="en-US" w:eastAsia="fr-FR"/>
    </w:rPr>
  </w:style>
  <w:style w:type="paragraph" w:customStyle="1" w:styleId="Standard">
    <w:name w:val="Standard"/>
    <w:rsid w:val="00C775A6"/>
    <w:pPr>
      <w:suppressAutoHyphens/>
      <w:autoSpaceDN w:val="0"/>
      <w:textAlignment w:val="baseline"/>
    </w:pPr>
    <w:rPr>
      <w:rFonts w:ascii="Liberation Serif" w:eastAsia="Noto Sans CJK SC Regular" w:hAnsi="Liberation Serif" w:cs="FreeSans"/>
      <w:kern w:val="3"/>
      <w:sz w:val="24"/>
      <w:szCs w:val="24"/>
      <w:lang w:val="en-US" w:eastAsia="zh-CN" w:bidi="hi-IN"/>
    </w:rPr>
  </w:style>
  <w:style w:type="character" w:customStyle="1" w:styleId="UnresolvedMention1">
    <w:name w:val="Unresolved Mention1"/>
    <w:basedOn w:val="DefaultParagraphFont"/>
    <w:uiPriority w:val="99"/>
    <w:semiHidden/>
    <w:unhideWhenUsed/>
    <w:rsid w:val="000679D1"/>
    <w:rPr>
      <w:color w:val="808080"/>
      <w:shd w:val="clear" w:color="auto" w:fill="E6E6E6"/>
    </w:rPr>
  </w:style>
  <w:style w:type="character" w:customStyle="1" w:styleId="UnresolvedMention2">
    <w:name w:val="Unresolved Mention2"/>
    <w:basedOn w:val="DefaultParagraphFont"/>
    <w:uiPriority w:val="99"/>
    <w:semiHidden/>
    <w:unhideWhenUsed/>
    <w:rsid w:val="00711DBD"/>
    <w:rPr>
      <w:color w:val="808080"/>
      <w:shd w:val="clear" w:color="auto" w:fill="E6E6E6"/>
    </w:rPr>
  </w:style>
  <w:style w:type="table" w:styleId="LightShading-Accent5">
    <w:name w:val="Light Shading Accent 5"/>
    <w:basedOn w:val="TableNormal"/>
    <w:uiPriority w:val="60"/>
    <w:rsid w:val="00871AE0"/>
    <w:rPr>
      <w:rFonts w:asciiTheme="minorHAnsi" w:eastAsiaTheme="minorEastAsia" w:hAnsiTheme="minorHAnsi" w:cstheme="minorBidi"/>
      <w:color w:val="31849B" w:themeColor="accent5" w:themeShade="BF"/>
      <w:kern w:val="2"/>
      <w:sz w:val="21"/>
      <w:szCs w:val="22"/>
      <w:lang w:val="en-US" w:eastAsia="zh-CN"/>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customStyle="1" w:styleId="western">
    <w:name w:val="western"/>
    <w:basedOn w:val="Normal"/>
    <w:rsid w:val="00736EA3"/>
    <w:pPr>
      <w:spacing w:before="100" w:beforeAutospacing="1" w:after="119"/>
    </w:pPr>
    <w:rPr>
      <w:rFonts w:eastAsiaTheme="minorHAnsi"/>
      <w:color w:val="00000A"/>
      <w:lang w:val="es-ES" w:eastAsia="es-ES"/>
    </w:rPr>
  </w:style>
  <w:style w:type="character" w:customStyle="1" w:styleId="UnresolvedMention3">
    <w:name w:val="Unresolved Mention3"/>
    <w:basedOn w:val="DefaultParagraphFont"/>
    <w:uiPriority w:val="99"/>
    <w:semiHidden/>
    <w:unhideWhenUsed/>
    <w:rsid w:val="00E05F90"/>
    <w:rPr>
      <w:color w:val="605E5C"/>
      <w:shd w:val="clear" w:color="auto" w:fill="E1DFDD"/>
    </w:rPr>
  </w:style>
  <w:style w:type="character" w:customStyle="1" w:styleId="UnresolvedMention30">
    <w:name w:val="Unresolved Mention30"/>
    <w:basedOn w:val="DefaultParagraphFont"/>
    <w:uiPriority w:val="99"/>
    <w:semiHidden/>
    <w:unhideWhenUsed/>
    <w:rsid w:val="00957A92"/>
    <w:rPr>
      <w:color w:val="605E5C"/>
      <w:shd w:val="clear" w:color="auto" w:fill="E1DFDD"/>
    </w:rPr>
  </w:style>
  <w:style w:type="paragraph" w:customStyle="1" w:styleId="Footnotes">
    <w:name w:val="Footnotes"/>
    <w:basedOn w:val="Normal"/>
    <w:link w:val="FootnotesChar"/>
    <w:qFormat/>
    <w:rsid w:val="00957A92"/>
    <w:pPr>
      <w:autoSpaceDE w:val="0"/>
      <w:autoSpaceDN w:val="0"/>
      <w:adjustRightInd w:val="0"/>
      <w:spacing w:after="120"/>
      <w:jc w:val="both"/>
    </w:pPr>
    <w:rPr>
      <w:rFonts w:ascii="Calibri" w:hAnsi="Calibri" w:cs="Calibri"/>
      <w:color w:val="000000"/>
      <w:sz w:val="18"/>
      <w:szCs w:val="18"/>
    </w:rPr>
  </w:style>
  <w:style w:type="character" w:customStyle="1" w:styleId="FootnotesChar">
    <w:name w:val="Footnotes Char"/>
    <w:basedOn w:val="DefaultParagraphFont"/>
    <w:link w:val="Footnotes"/>
    <w:rsid w:val="00957A92"/>
    <w:rPr>
      <w:rFonts w:ascii="Calibri" w:eastAsia="Times New Roman" w:hAnsi="Calibri" w:cs="Calibri"/>
      <w:color w:val="000000"/>
      <w:sz w:val="18"/>
      <w:szCs w:val="18"/>
      <w:lang w:val="en-US" w:eastAsia="fr-FR"/>
    </w:rPr>
  </w:style>
  <w:style w:type="paragraph" w:customStyle="1" w:styleId="AppendixHeading">
    <w:name w:val="AppendixHeading"/>
    <w:basedOn w:val="Normal"/>
    <w:link w:val="AppendixHeadingChar"/>
    <w:qFormat/>
    <w:rsid w:val="00957A92"/>
    <w:pPr>
      <w:contextualSpacing/>
      <w:jc w:val="center"/>
      <w:outlineLvl w:val="0"/>
    </w:pPr>
    <w:rPr>
      <w:rFonts w:ascii="Calibri" w:eastAsia="MS Mincho" w:hAnsi="Calibri" w:cs="Calibri"/>
      <w:b/>
      <w:bCs/>
      <w:smallCaps/>
      <w:color w:val="000000"/>
      <w:kern w:val="32"/>
      <w:sz w:val="28"/>
      <w:lang w:eastAsia="en-US"/>
    </w:rPr>
  </w:style>
  <w:style w:type="paragraph" w:customStyle="1" w:styleId="AppendixSections">
    <w:name w:val="AppendixSections"/>
    <w:basedOn w:val="Normal"/>
    <w:link w:val="AppendixSectionsChar"/>
    <w:qFormat/>
    <w:rsid w:val="00957A92"/>
    <w:pPr>
      <w:keepNext/>
      <w:spacing w:before="240" w:after="60"/>
      <w:outlineLvl w:val="1"/>
    </w:pPr>
    <w:rPr>
      <w:rFonts w:ascii="Calibri" w:hAnsi="Calibri" w:cs="Calibri"/>
      <w:b/>
      <w:bCs/>
      <w:sz w:val="28"/>
      <w:szCs w:val="28"/>
    </w:rPr>
  </w:style>
  <w:style w:type="character" w:customStyle="1" w:styleId="AppendixHeadingChar">
    <w:name w:val="AppendixHeading Char"/>
    <w:basedOn w:val="DefaultParagraphFont"/>
    <w:link w:val="AppendixHeading"/>
    <w:rsid w:val="00957A92"/>
    <w:rPr>
      <w:rFonts w:ascii="Calibri" w:hAnsi="Calibri" w:cs="Calibri"/>
      <w:b/>
      <w:bCs/>
      <w:smallCaps/>
      <w:color w:val="000000"/>
      <w:kern w:val="32"/>
      <w:sz w:val="28"/>
      <w:szCs w:val="22"/>
      <w:lang w:eastAsia="en-US"/>
    </w:rPr>
  </w:style>
  <w:style w:type="character" w:customStyle="1" w:styleId="AppendixSectionsChar">
    <w:name w:val="AppendixSections Char"/>
    <w:basedOn w:val="DefaultParagraphFont"/>
    <w:link w:val="AppendixSections"/>
    <w:rsid w:val="00957A92"/>
    <w:rPr>
      <w:rFonts w:ascii="Calibri" w:eastAsia="Times New Roman" w:hAnsi="Calibri" w:cs="Calibri"/>
      <w:b/>
      <w:bCs/>
      <w:sz w:val="28"/>
      <w:szCs w:val="28"/>
      <w:lang w:val="en-US" w:eastAsia="fr-FR"/>
    </w:rPr>
  </w:style>
  <w:style w:type="character" w:customStyle="1" w:styleId="UnresolvedMention4">
    <w:name w:val="Unresolved Mention4"/>
    <w:basedOn w:val="DefaultParagraphFont"/>
    <w:uiPriority w:val="99"/>
    <w:semiHidden/>
    <w:unhideWhenUsed/>
    <w:rsid w:val="001B0C3D"/>
    <w:rPr>
      <w:color w:val="605E5C"/>
      <w:shd w:val="clear" w:color="auto" w:fill="E1DFDD"/>
    </w:rPr>
  </w:style>
  <w:style w:type="character" w:styleId="UnresolvedMention">
    <w:name w:val="Unresolved Mention"/>
    <w:basedOn w:val="DefaultParagraphFont"/>
    <w:uiPriority w:val="99"/>
    <w:semiHidden/>
    <w:unhideWhenUsed/>
    <w:rsid w:val="00392FFD"/>
    <w:rPr>
      <w:color w:val="605E5C"/>
      <w:shd w:val="clear" w:color="auto" w:fill="E1DFDD"/>
    </w:rPr>
  </w:style>
  <w:style w:type="paragraph" w:customStyle="1" w:styleId="ImageCaption">
    <w:name w:val="Image Caption"/>
    <w:basedOn w:val="Caption"/>
    <w:uiPriority w:val="1"/>
    <w:qFormat/>
    <w:rsid w:val="0006495B"/>
    <w:pPr>
      <w:spacing w:after="200"/>
      <w:jc w:val="both"/>
    </w:pPr>
    <w:rPr>
      <w:rFonts w:ascii="Calibri" w:eastAsiaTheme="minorHAnsi" w:hAnsi="Calibri" w:cstheme="minorBidi"/>
      <w:b w:val="0"/>
      <w:bCs w:val="0"/>
      <w:iCs/>
      <w:sz w:val="18"/>
      <w:szCs w:val="18"/>
      <w:lang w:eastAsia="en-US"/>
    </w:rPr>
  </w:style>
  <w:style w:type="numbering" w:customStyle="1" w:styleId="FAONumberlists221">
    <w:name w:val="FAO Number lists221"/>
    <w:basedOn w:val="NoList"/>
    <w:rsid w:val="00DF26BC"/>
  </w:style>
  <w:style w:type="character" w:styleId="Mention">
    <w:name w:val="Mention"/>
    <w:basedOn w:val="DefaultParagraphFont"/>
    <w:uiPriority w:val="99"/>
    <w:unhideWhenUsed/>
    <w:rsid w:val="001033E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12317">
      <w:bodyDiv w:val="1"/>
      <w:marLeft w:val="0"/>
      <w:marRight w:val="0"/>
      <w:marTop w:val="0"/>
      <w:marBottom w:val="0"/>
      <w:divBdr>
        <w:top w:val="none" w:sz="0" w:space="0" w:color="auto"/>
        <w:left w:val="none" w:sz="0" w:space="0" w:color="auto"/>
        <w:bottom w:val="none" w:sz="0" w:space="0" w:color="auto"/>
        <w:right w:val="none" w:sz="0" w:space="0" w:color="auto"/>
      </w:divBdr>
    </w:div>
    <w:div w:id="67576266">
      <w:bodyDiv w:val="1"/>
      <w:marLeft w:val="0"/>
      <w:marRight w:val="0"/>
      <w:marTop w:val="0"/>
      <w:marBottom w:val="0"/>
      <w:divBdr>
        <w:top w:val="none" w:sz="0" w:space="0" w:color="auto"/>
        <w:left w:val="none" w:sz="0" w:space="0" w:color="auto"/>
        <w:bottom w:val="none" w:sz="0" w:space="0" w:color="auto"/>
        <w:right w:val="none" w:sz="0" w:space="0" w:color="auto"/>
      </w:divBdr>
    </w:div>
    <w:div w:id="87431566">
      <w:bodyDiv w:val="1"/>
      <w:marLeft w:val="0"/>
      <w:marRight w:val="0"/>
      <w:marTop w:val="0"/>
      <w:marBottom w:val="0"/>
      <w:divBdr>
        <w:top w:val="none" w:sz="0" w:space="0" w:color="auto"/>
        <w:left w:val="none" w:sz="0" w:space="0" w:color="auto"/>
        <w:bottom w:val="none" w:sz="0" w:space="0" w:color="auto"/>
        <w:right w:val="none" w:sz="0" w:space="0" w:color="auto"/>
      </w:divBdr>
    </w:div>
    <w:div w:id="115224780">
      <w:bodyDiv w:val="1"/>
      <w:marLeft w:val="0"/>
      <w:marRight w:val="0"/>
      <w:marTop w:val="0"/>
      <w:marBottom w:val="0"/>
      <w:divBdr>
        <w:top w:val="none" w:sz="0" w:space="0" w:color="auto"/>
        <w:left w:val="none" w:sz="0" w:space="0" w:color="auto"/>
        <w:bottom w:val="none" w:sz="0" w:space="0" w:color="auto"/>
        <w:right w:val="none" w:sz="0" w:space="0" w:color="auto"/>
      </w:divBdr>
    </w:div>
    <w:div w:id="178277431">
      <w:bodyDiv w:val="1"/>
      <w:marLeft w:val="0"/>
      <w:marRight w:val="0"/>
      <w:marTop w:val="0"/>
      <w:marBottom w:val="0"/>
      <w:divBdr>
        <w:top w:val="none" w:sz="0" w:space="0" w:color="auto"/>
        <w:left w:val="none" w:sz="0" w:space="0" w:color="auto"/>
        <w:bottom w:val="none" w:sz="0" w:space="0" w:color="auto"/>
        <w:right w:val="none" w:sz="0" w:space="0" w:color="auto"/>
      </w:divBdr>
    </w:div>
    <w:div w:id="193229436">
      <w:bodyDiv w:val="1"/>
      <w:marLeft w:val="0"/>
      <w:marRight w:val="0"/>
      <w:marTop w:val="0"/>
      <w:marBottom w:val="0"/>
      <w:divBdr>
        <w:top w:val="none" w:sz="0" w:space="0" w:color="auto"/>
        <w:left w:val="none" w:sz="0" w:space="0" w:color="auto"/>
        <w:bottom w:val="none" w:sz="0" w:space="0" w:color="auto"/>
        <w:right w:val="none" w:sz="0" w:space="0" w:color="auto"/>
      </w:divBdr>
    </w:div>
    <w:div w:id="198713536">
      <w:bodyDiv w:val="1"/>
      <w:marLeft w:val="0"/>
      <w:marRight w:val="0"/>
      <w:marTop w:val="0"/>
      <w:marBottom w:val="0"/>
      <w:divBdr>
        <w:top w:val="none" w:sz="0" w:space="0" w:color="auto"/>
        <w:left w:val="none" w:sz="0" w:space="0" w:color="auto"/>
        <w:bottom w:val="none" w:sz="0" w:space="0" w:color="auto"/>
        <w:right w:val="none" w:sz="0" w:space="0" w:color="auto"/>
      </w:divBdr>
    </w:div>
    <w:div w:id="218635743">
      <w:bodyDiv w:val="1"/>
      <w:marLeft w:val="0"/>
      <w:marRight w:val="0"/>
      <w:marTop w:val="0"/>
      <w:marBottom w:val="0"/>
      <w:divBdr>
        <w:top w:val="none" w:sz="0" w:space="0" w:color="auto"/>
        <w:left w:val="none" w:sz="0" w:space="0" w:color="auto"/>
        <w:bottom w:val="none" w:sz="0" w:space="0" w:color="auto"/>
        <w:right w:val="none" w:sz="0" w:space="0" w:color="auto"/>
      </w:divBdr>
    </w:div>
    <w:div w:id="242303406">
      <w:bodyDiv w:val="1"/>
      <w:marLeft w:val="0"/>
      <w:marRight w:val="0"/>
      <w:marTop w:val="0"/>
      <w:marBottom w:val="0"/>
      <w:divBdr>
        <w:top w:val="none" w:sz="0" w:space="0" w:color="auto"/>
        <w:left w:val="none" w:sz="0" w:space="0" w:color="auto"/>
        <w:bottom w:val="none" w:sz="0" w:space="0" w:color="auto"/>
        <w:right w:val="none" w:sz="0" w:space="0" w:color="auto"/>
      </w:divBdr>
    </w:div>
    <w:div w:id="288321103">
      <w:bodyDiv w:val="1"/>
      <w:marLeft w:val="0"/>
      <w:marRight w:val="0"/>
      <w:marTop w:val="0"/>
      <w:marBottom w:val="0"/>
      <w:divBdr>
        <w:top w:val="none" w:sz="0" w:space="0" w:color="auto"/>
        <w:left w:val="none" w:sz="0" w:space="0" w:color="auto"/>
        <w:bottom w:val="none" w:sz="0" w:space="0" w:color="auto"/>
        <w:right w:val="none" w:sz="0" w:space="0" w:color="auto"/>
      </w:divBdr>
    </w:div>
    <w:div w:id="303196092">
      <w:bodyDiv w:val="1"/>
      <w:marLeft w:val="0"/>
      <w:marRight w:val="0"/>
      <w:marTop w:val="0"/>
      <w:marBottom w:val="0"/>
      <w:divBdr>
        <w:top w:val="none" w:sz="0" w:space="0" w:color="auto"/>
        <w:left w:val="none" w:sz="0" w:space="0" w:color="auto"/>
        <w:bottom w:val="none" w:sz="0" w:space="0" w:color="auto"/>
        <w:right w:val="none" w:sz="0" w:space="0" w:color="auto"/>
      </w:divBdr>
    </w:div>
    <w:div w:id="336033411">
      <w:bodyDiv w:val="1"/>
      <w:marLeft w:val="0"/>
      <w:marRight w:val="0"/>
      <w:marTop w:val="0"/>
      <w:marBottom w:val="0"/>
      <w:divBdr>
        <w:top w:val="none" w:sz="0" w:space="0" w:color="auto"/>
        <w:left w:val="none" w:sz="0" w:space="0" w:color="auto"/>
        <w:bottom w:val="none" w:sz="0" w:space="0" w:color="auto"/>
        <w:right w:val="none" w:sz="0" w:space="0" w:color="auto"/>
      </w:divBdr>
    </w:div>
    <w:div w:id="362365576">
      <w:bodyDiv w:val="1"/>
      <w:marLeft w:val="0"/>
      <w:marRight w:val="0"/>
      <w:marTop w:val="0"/>
      <w:marBottom w:val="0"/>
      <w:divBdr>
        <w:top w:val="none" w:sz="0" w:space="0" w:color="auto"/>
        <w:left w:val="none" w:sz="0" w:space="0" w:color="auto"/>
        <w:bottom w:val="none" w:sz="0" w:space="0" w:color="auto"/>
        <w:right w:val="none" w:sz="0" w:space="0" w:color="auto"/>
      </w:divBdr>
    </w:div>
    <w:div w:id="373620949">
      <w:bodyDiv w:val="1"/>
      <w:marLeft w:val="0"/>
      <w:marRight w:val="0"/>
      <w:marTop w:val="0"/>
      <w:marBottom w:val="0"/>
      <w:divBdr>
        <w:top w:val="none" w:sz="0" w:space="0" w:color="auto"/>
        <w:left w:val="none" w:sz="0" w:space="0" w:color="auto"/>
        <w:bottom w:val="none" w:sz="0" w:space="0" w:color="auto"/>
        <w:right w:val="none" w:sz="0" w:space="0" w:color="auto"/>
      </w:divBdr>
    </w:div>
    <w:div w:id="458450370">
      <w:bodyDiv w:val="1"/>
      <w:marLeft w:val="0"/>
      <w:marRight w:val="0"/>
      <w:marTop w:val="0"/>
      <w:marBottom w:val="0"/>
      <w:divBdr>
        <w:top w:val="none" w:sz="0" w:space="0" w:color="auto"/>
        <w:left w:val="none" w:sz="0" w:space="0" w:color="auto"/>
        <w:bottom w:val="none" w:sz="0" w:space="0" w:color="auto"/>
        <w:right w:val="none" w:sz="0" w:space="0" w:color="auto"/>
      </w:divBdr>
    </w:div>
    <w:div w:id="469133100">
      <w:bodyDiv w:val="1"/>
      <w:marLeft w:val="0"/>
      <w:marRight w:val="0"/>
      <w:marTop w:val="0"/>
      <w:marBottom w:val="0"/>
      <w:divBdr>
        <w:top w:val="none" w:sz="0" w:space="0" w:color="auto"/>
        <w:left w:val="none" w:sz="0" w:space="0" w:color="auto"/>
        <w:bottom w:val="none" w:sz="0" w:space="0" w:color="auto"/>
        <w:right w:val="none" w:sz="0" w:space="0" w:color="auto"/>
      </w:divBdr>
    </w:div>
    <w:div w:id="497814379">
      <w:bodyDiv w:val="1"/>
      <w:marLeft w:val="0"/>
      <w:marRight w:val="0"/>
      <w:marTop w:val="0"/>
      <w:marBottom w:val="0"/>
      <w:divBdr>
        <w:top w:val="none" w:sz="0" w:space="0" w:color="auto"/>
        <w:left w:val="none" w:sz="0" w:space="0" w:color="auto"/>
        <w:bottom w:val="none" w:sz="0" w:space="0" w:color="auto"/>
        <w:right w:val="none" w:sz="0" w:space="0" w:color="auto"/>
      </w:divBdr>
      <w:divsChild>
        <w:div w:id="9262053">
          <w:marLeft w:val="0"/>
          <w:marRight w:val="0"/>
          <w:marTop w:val="0"/>
          <w:marBottom w:val="0"/>
          <w:divBdr>
            <w:top w:val="none" w:sz="0" w:space="0" w:color="auto"/>
            <w:left w:val="none" w:sz="0" w:space="0" w:color="auto"/>
            <w:bottom w:val="none" w:sz="0" w:space="0" w:color="auto"/>
            <w:right w:val="none" w:sz="0" w:space="0" w:color="auto"/>
          </w:divBdr>
        </w:div>
        <w:div w:id="274672961">
          <w:marLeft w:val="0"/>
          <w:marRight w:val="0"/>
          <w:marTop w:val="0"/>
          <w:marBottom w:val="0"/>
          <w:divBdr>
            <w:top w:val="none" w:sz="0" w:space="0" w:color="auto"/>
            <w:left w:val="none" w:sz="0" w:space="0" w:color="auto"/>
            <w:bottom w:val="none" w:sz="0" w:space="0" w:color="auto"/>
            <w:right w:val="none" w:sz="0" w:space="0" w:color="auto"/>
          </w:divBdr>
        </w:div>
        <w:div w:id="702436236">
          <w:marLeft w:val="0"/>
          <w:marRight w:val="0"/>
          <w:marTop w:val="0"/>
          <w:marBottom w:val="0"/>
          <w:divBdr>
            <w:top w:val="none" w:sz="0" w:space="0" w:color="auto"/>
            <w:left w:val="none" w:sz="0" w:space="0" w:color="auto"/>
            <w:bottom w:val="none" w:sz="0" w:space="0" w:color="auto"/>
            <w:right w:val="none" w:sz="0" w:space="0" w:color="auto"/>
          </w:divBdr>
        </w:div>
        <w:div w:id="918903484">
          <w:marLeft w:val="0"/>
          <w:marRight w:val="0"/>
          <w:marTop w:val="0"/>
          <w:marBottom w:val="0"/>
          <w:divBdr>
            <w:top w:val="none" w:sz="0" w:space="0" w:color="auto"/>
            <w:left w:val="none" w:sz="0" w:space="0" w:color="auto"/>
            <w:bottom w:val="none" w:sz="0" w:space="0" w:color="auto"/>
            <w:right w:val="none" w:sz="0" w:space="0" w:color="auto"/>
          </w:divBdr>
        </w:div>
        <w:div w:id="924918656">
          <w:marLeft w:val="0"/>
          <w:marRight w:val="0"/>
          <w:marTop w:val="0"/>
          <w:marBottom w:val="0"/>
          <w:divBdr>
            <w:top w:val="none" w:sz="0" w:space="0" w:color="auto"/>
            <w:left w:val="none" w:sz="0" w:space="0" w:color="auto"/>
            <w:bottom w:val="none" w:sz="0" w:space="0" w:color="auto"/>
            <w:right w:val="none" w:sz="0" w:space="0" w:color="auto"/>
          </w:divBdr>
        </w:div>
        <w:div w:id="1056854863">
          <w:marLeft w:val="0"/>
          <w:marRight w:val="0"/>
          <w:marTop w:val="0"/>
          <w:marBottom w:val="0"/>
          <w:divBdr>
            <w:top w:val="none" w:sz="0" w:space="0" w:color="auto"/>
            <w:left w:val="none" w:sz="0" w:space="0" w:color="auto"/>
            <w:bottom w:val="none" w:sz="0" w:space="0" w:color="auto"/>
            <w:right w:val="none" w:sz="0" w:space="0" w:color="auto"/>
          </w:divBdr>
        </w:div>
        <w:div w:id="1417626276">
          <w:marLeft w:val="0"/>
          <w:marRight w:val="0"/>
          <w:marTop w:val="0"/>
          <w:marBottom w:val="0"/>
          <w:divBdr>
            <w:top w:val="none" w:sz="0" w:space="0" w:color="auto"/>
            <w:left w:val="none" w:sz="0" w:space="0" w:color="auto"/>
            <w:bottom w:val="none" w:sz="0" w:space="0" w:color="auto"/>
            <w:right w:val="none" w:sz="0" w:space="0" w:color="auto"/>
          </w:divBdr>
        </w:div>
        <w:div w:id="1856918616">
          <w:marLeft w:val="0"/>
          <w:marRight w:val="0"/>
          <w:marTop w:val="0"/>
          <w:marBottom w:val="0"/>
          <w:divBdr>
            <w:top w:val="none" w:sz="0" w:space="0" w:color="auto"/>
            <w:left w:val="none" w:sz="0" w:space="0" w:color="auto"/>
            <w:bottom w:val="none" w:sz="0" w:space="0" w:color="auto"/>
            <w:right w:val="none" w:sz="0" w:space="0" w:color="auto"/>
          </w:divBdr>
        </w:div>
      </w:divsChild>
    </w:div>
    <w:div w:id="504855921">
      <w:bodyDiv w:val="1"/>
      <w:marLeft w:val="0"/>
      <w:marRight w:val="0"/>
      <w:marTop w:val="0"/>
      <w:marBottom w:val="0"/>
      <w:divBdr>
        <w:top w:val="none" w:sz="0" w:space="0" w:color="auto"/>
        <w:left w:val="none" w:sz="0" w:space="0" w:color="auto"/>
        <w:bottom w:val="none" w:sz="0" w:space="0" w:color="auto"/>
        <w:right w:val="none" w:sz="0" w:space="0" w:color="auto"/>
      </w:divBdr>
    </w:div>
    <w:div w:id="513888071">
      <w:bodyDiv w:val="1"/>
      <w:marLeft w:val="0"/>
      <w:marRight w:val="0"/>
      <w:marTop w:val="0"/>
      <w:marBottom w:val="0"/>
      <w:divBdr>
        <w:top w:val="none" w:sz="0" w:space="0" w:color="auto"/>
        <w:left w:val="none" w:sz="0" w:space="0" w:color="auto"/>
        <w:bottom w:val="none" w:sz="0" w:space="0" w:color="auto"/>
        <w:right w:val="none" w:sz="0" w:space="0" w:color="auto"/>
      </w:divBdr>
    </w:div>
    <w:div w:id="531576429">
      <w:bodyDiv w:val="1"/>
      <w:marLeft w:val="0"/>
      <w:marRight w:val="0"/>
      <w:marTop w:val="0"/>
      <w:marBottom w:val="0"/>
      <w:divBdr>
        <w:top w:val="none" w:sz="0" w:space="0" w:color="auto"/>
        <w:left w:val="none" w:sz="0" w:space="0" w:color="auto"/>
        <w:bottom w:val="none" w:sz="0" w:space="0" w:color="auto"/>
        <w:right w:val="none" w:sz="0" w:space="0" w:color="auto"/>
      </w:divBdr>
    </w:div>
    <w:div w:id="542600838">
      <w:bodyDiv w:val="1"/>
      <w:marLeft w:val="0"/>
      <w:marRight w:val="0"/>
      <w:marTop w:val="0"/>
      <w:marBottom w:val="0"/>
      <w:divBdr>
        <w:top w:val="none" w:sz="0" w:space="0" w:color="auto"/>
        <w:left w:val="none" w:sz="0" w:space="0" w:color="auto"/>
        <w:bottom w:val="none" w:sz="0" w:space="0" w:color="auto"/>
        <w:right w:val="none" w:sz="0" w:space="0" w:color="auto"/>
      </w:divBdr>
    </w:div>
    <w:div w:id="550001748">
      <w:bodyDiv w:val="1"/>
      <w:marLeft w:val="0"/>
      <w:marRight w:val="0"/>
      <w:marTop w:val="0"/>
      <w:marBottom w:val="0"/>
      <w:divBdr>
        <w:top w:val="none" w:sz="0" w:space="0" w:color="auto"/>
        <w:left w:val="none" w:sz="0" w:space="0" w:color="auto"/>
        <w:bottom w:val="none" w:sz="0" w:space="0" w:color="auto"/>
        <w:right w:val="none" w:sz="0" w:space="0" w:color="auto"/>
      </w:divBdr>
    </w:div>
    <w:div w:id="558590838">
      <w:bodyDiv w:val="1"/>
      <w:marLeft w:val="0"/>
      <w:marRight w:val="0"/>
      <w:marTop w:val="0"/>
      <w:marBottom w:val="0"/>
      <w:divBdr>
        <w:top w:val="none" w:sz="0" w:space="0" w:color="auto"/>
        <w:left w:val="none" w:sz="0" w:space="0" w:color="auto"/>
        <w:bottom w:val="none" w:sz="0" w:space="0" w:color="auto"/>
        <w:right w:val="none" w:sz="0" w:space="0" w:color="auto"/>
      </w:divBdr>
    </w:div>
    <w:div w:id="578903765">
      <w:bodyDiv w:val="1"/>
      <w:marLeft w:val="0"/>
      <w:marRight w:val="0"/>
      <w:marTop w:val="0"/>
      <w:marBottom w:val="0"/>
      <w:divBdr>
        <w:top w:val="none" w:sz="0" w:space="0" w:color="auto"/>
        <w:left w:val="none" w:sz="0" w:space="0" w:color="auto"/>
        <w:bottom w:val="none" w:sz="0" w:space="0" w:color="auto"/>
        <w:right w:val="none" w:sz="0" w:space="0" w:color="auto"/>
      </w:divBdr>
    </w:div>
    <w:div w:id="640965302">
      <w:bodyDiv w:val="1"/>
      <w:marLeft w:val="0"/>
      <w:marRight w:val="0"/>
      <w:marTop w:val="0"/>
      <w:marBottom w:val="0"/>
      <w:divBdr>
        <w:top w:val="none" w:sz="0" w:space="0" w:color="auto"/>
        <w:left w:val="none" w:sz="0" w:space="0" w:color="auto"/>
        <w:bottom w:val="none" w:sz="0" w:space="0" w:color="auto"/>
        <w:right w:val="none" w:sz="0" w:space="0" w:color="auto"/>
      </w:divBdr>
    </w:div>
    <w:div w:id="668362450">
      <w:bodyDiv w:val="1"/>
      <w:marLeft w:val="0"/>
      <w:marRight w:val="0"/>
      <w:marTop w:val="0"/>
      <w:marBottom w:val="0"/>
      <w:divBdr>
        <w:top w:val="none" w:sz="0" w:space="0" w:color="auto"/>
        <w:left w:val="none" w:sz="0" w:space="0" w:color="auto"/>
        <w:bottom w:val="none" w:sz="0" w:space="0" w:color="auto"/>
        <w:right w:val="none" w:sz="0" w:space="0" w:color="auto"/>
      </w:divBdr>
      <w:divsChild>
        <w:div w:id="826437139">
          <w:marLeft w:val="0"/>
          <w:marRight w:val="0"/>
          <w:marTop w:val="0"/>
          <w:marBottom w:val="0"/>
          <w:divBdr>
            <w:top w:val="none" w:sz="0" w:space="0" w:color="auto"/>
            <w:left w:val="none" w:sz="0" w:space="0" w:color="auto"/>
            <w:bottom w:val="none" w:sz="0" w:space="0" w:color="auto"/>
            <w:right w:val="none" w:sz="0" w:space="0" w:color="auto"/>
          </w:divBdr>
        </w:div>
        <w:div w:id="1152060061">
          <w:marLeft w:val="0"/>
          <w:marRight w:val="0"/>
          <w:marTop w:val="0"/>
          <w:marBottom w:val="0"/>
          <w:divBdr>
            <w:top w:val="none" w:sz="0" w:space="0" w:color="auto"/>
            <w:left w:val="none" w:sz="0" w:space="0" w:color="auto"/>
            <w:bottom w:val="none" w:sz="0" w:space="0" w:color="auto"/>
            <w:right w:val="none" w:sz="0" w:space="0" w:color="auto"/>
          </w:divBdr>
        </w:div>
        <w:div w:id="1321077997">
          <w:marLeft w:val="0"/>
          <w:marRight w:val="0"/>
          <w:marTop w:val="0"/>
          <w:marBottom w:val="0"/>
          <w:divBdr>
            <w:top w:val="none" w:sz="0" w:space="0" w:color="auto"/>
            <w:left w:val="none" w:sz="0" w:space="0" w:color="auto"/>
            <w:bottom w:val="none" w:sz="0" w:space="0" w:color="auto"/>
            <w:right w:val="none" w:sz="0" w:space="0" w:color="auto"/>
          </w:divBdr>
        </w:div>
        <w:div w:id="1507552750">
          <w:marLeft w:val="0"/>
          <w:marRight w:val="0"/>
          <w:marTop w:val="0"/>
          <w:marBottom w:val="0"/>
          <w:divBdr>
            <w:top w:val="none" w:sz="0" w:space="0" w:color="auto"/>
            <w:left w:val="none" w:sz="0" w:space="0" w:color="auto"/>
            <w:bottom w:val="none" w:sz="0" w:space="0" w:color="auto"/>
            <w:right w:val="none" w:sz="0" w:space="0" w:color="auto"/>
          </w:divBdr>
        </w:div>
        <w:div w:id="2004158706">
          <w:marLeft w:val="0"/>
          <w:marRight w:val="0"/>
          <w:marTop w:val="0"/>
          <w:marBottom w:val="0"/>
          <w:divBdr>
            <w:top w:val="none" w:sz="0" w:space="0" w:color="auto"/>
            <w:left w:val="none" w:sz="0" w:space="0" w:color="auto"/>
            <w:bottom w:val="none" w:sz="0" w:space="0" w:color="auto"/>
            <w:right w:val="none" w:sz="0" w:space="0" w:color="auto"/>
          </w:divBdr>
        </w:div>
        <w:div w:id="2085563870">
          <w:marLeft w:val="0"/>
          <w:marRight w:val="0"/>
          <w:marTop w:val="0"/>
          <w:marBottom w:val="0"/>
          <w:divBdr>
            <w:top w:val="none" w:sz="0" w:space="0" w:color="auto"/>
            <w:left w:val="none" w:sz="0" w:space="0" w:color="auto"/>
            <w:bottom w:val="none" w:sz="0" w:space="0" w:color="auto"/>
            <w:right w:val="none" w:sz="0" w:space="0" w:color="auto"/>
          </w:divBdr>
        </w:div>
      </w:divsChild>
    </w:div>
    <w:div w:id="695421356">
      <w:bodyDiv w:val="1"/>
      <w:marLeft w:val="0"/>
      <w:marRight w:val="0"/>
      <w:marTop w:val="0"/>
      <w:marBottom w:val="0"/>
      <w:divBdr>
        <w:top w:val="none" w:sz="0" w:space="0" w:color="auto"/>
        <w:left w:val="none" w:sz="0" w:space="0" w:color="auto"/>
        <w:bottom w:val="none" w:sz="0" w:space="0" w:color="auto"/>
        <w:right w:val="none" w:sz="0" w:space="0" w:color="auto"/>
      </w:divBdr>
    </w:div>
    <w:div w:id="700715328">
      <w:bodyDiv w:val="1"/>
      <w:marLeft w:val="0"/>
      <w:marRight w:val="0"/>
      <w:marTop w:val="0"/>
      <w:marBottom w:val="0"/>
      <w:divBdr>
        <w:top w:val="none" w:sz="0" w:space="0" w:color="auto"/>
        <w:left w:val="none" w:sz="0" w:space="0" w:color="auto"/>
        <w:bottom w:val="none" w:sz="0" w:space="0" w:color="auto"/>
        <w:right w:val="none" w:sz="0" w:space="0" w:color="auto"/>
      </w:divBdr>
    </w:div>
    <w:div w:id="704788945">
      <w:bodyDiv w:val="1"/>
      <w:marLeft w:val="0"/>
      <w:marRight w:val="0"/>
      <w:marTop w:val="0"/>
      <w:marBottom w:val="0"/>
      <w:divBdr>
        <w:top w:val="none" w:sz="0" w:space="0" w:color="auto"/>
        <w:left w:val="none" w:sz="0" w:space="0" w:color="auto"/>
        <w:bottom w:val="none" w:sz="0" w:space="0" w:color="auto"/>
        <w:right w:val="none" w:sz="0" w:space="0" w:color="auto"/>
      </w:divBdr>
    </w:div>
    <w:div w:id="782767238">
      <w:bodyDiv w:val="1"/>
      <w:marLeft w:val="0"/>
      <w:marRight w:val="0"/>
      <w:marTop w:val="0"/>
      <w:marBottom w:val="0"/>
      <w:divBdr>
        <w:top w:val="none" w:sz="0" w:space="0" w:color="auto"/>
        <w:left w:val="none" w:sz="0" w:space="0" w:color="auto"/>
        <w:bottom w:val="none" w:sz="0" w:space="0" w:color="auto"/>
        <w:right w:val="none" w:sz="0" w:space="0" w:color="auto"/>
      </w:divBdr>
    </w:div>
    <w:div w:id="808471975">
      <w:bodyDiv w:val="1"/>
      <w:marLeft w:val="0"/>
      <w:marRight w:val="0"/>
      <w:marTop w:val="0"/>
      <w:marBottom w:val="0"/>
      <w:divBdr>
        <w:top w:val="none" w:sz="0" w:space="0" w:color="auto"/>
        <w:left w:val="none" w:sz="0" w:space="0" w:color="auto"/>
        <w:bottom w:val="none" w:sz="0" w:space="0" w:color="auto"/>
        <w:right w:val="none" w:sz="0" w:space="0" w:color="auto"/>
      </w:divBdr>
    </w:div>
    <w:div w:id="843203661">
      <w:bodyDiv w:val="1"/>
      <w:marLeft w:val="0"/>
      <w:marRight w:val="0"/>
      <w:marTop w:val="0"/>
      <w:marBottom w:val="0"/>
      <w:divBdr>
        <w:top w:val="none" w:sz="0" w:space="0" w:color="auto"/>
        <w:left w:val="none" w:sz="0" w:space="0" w:color="auto"/>
        <w:bottom w:val="none" w:sz="0" w:space="0" w:color="auto"/>
        <w:right w:val="none" w:sz="0" w:space="0" w:color="auto"/>
      </w:divBdr>
    </w:div>
    <w:div w:id="852577385">
      <w:bodyDiv w:val="1"/>
      <w:marLeft w:val="0"/>
      <w:marRight w:val="0"/>
      <w:marTop w:val="0"/>
      <w:marBottom w:val="0"/>
      <w:divBdr>
        <w:top w:val="none" w:sz="0" w:space="0" w:color="auto"/>
        <w:left w:val="none" w:sz="0" w:space="0" w:color="auto"/>
        <w:bottom w:val="none" w:sz="0" w:space="0" w:color="auto"/>
        <w:right w:val="none" w:sz="0" w:space="0" w:color="auto"/>
      </w:divBdr>
    </w:div>
    <w:div w:id="886795879">
      <w:bodyDiv w:val="1"/>
      <w:marLeft w:val="0"/>
      <w:marRight w:val="0"/>
      <w:marTop w:val="0"/>
      <w:marBottom w:val="0"/>
      <w:divBdr>
        <w:top w:val="none" w:sz="0" w:space="0" w:color="auto"/>
        <w:left w:val="none" w:sz="0" w:space="0" w:color="auto"/>
        <w:bottom w:val="none" w:sz="0" w:space="0" w:color="auto"/>
        <w:right w:val="none" w:sz="0" w:space="0" w:color="auto"/>
      </w:divBdr>
    </w:div>
    <w:div w:id="902446669">
      <w:bodyDiv w:val="1"/>
      <w:marLeft w:val="0"/>
      <w:marRight w:val="0"/>
      <w:marTop w:val="0"/>
      <w:marBottom w:val="0"/>
      <w:divBdr>
        <w:top w:val="none" w:sz="0" w:space="0" w:color="auto"/>
        <w:left w:val="none" w:sz="0" w:space="0" w:color="auto"/>
        <w:bottom w:val="none" w:sz="0" w:space="0" w:color="auto"/>
        <w:right w:val="none" w:sz="0" w:space="0" w:color="auto"/>
      </w:divBdr>
    </w:div>
    <w:div w:id="911112710">
      <w:bodyDiv w:val="1"/>
      <w:marLeft w:val="0"/>
      <w:marRight w:val="0"/>
      <w:marTop w:val="0"/>
      <w:marBottom w:val="0"/>
      <w:divBdr>
        <w:top w:val="none" w:sz="0" w:space="0" w:color="auto"/>
        <w:left w:val="none" w:sz="0" w:space="0" w:color="auto"/>
        <w:bottom w:val="none" w:sz="0" w:space="0" w:color="auto"/>
        <w:right w:val="none" w:sz="0" w:space="0" w:color="auto"/>
      </w:divBdr>
    </w:div>
    <w:div w:id="919290693">
      <w:bodyDiv w:val="1"/>
      <w:marLeft w:val="0"/>
      <w:marRight w:val="0"/>
      <w:marTop w:val="0"/>
      <w:marBottom w:val="0"/>
      <w:divBdr>
        <w:top w:val="none" w:sz="0" w:space="0" w:color="auto"/>
        <w:left w:val="none" w:sz="0" w:space="0" w:color="auto"/>
        <w:bottom w:val="none" w:sz="0" w:space="0" w:color="auto"/>
        <w:right w:val="none" w:sz="0" w:space="0" w:color="auto"/>
      </w:divBdr>
      <w:divsChild>
        <w:div w:id="289938919">
          <w:marLeft w:val="0"/>
          <w:marRight w:val="0"/>
          <w:marTop w:val="0"/>
          <w:marBottom w:val="0"/>
          <w:divBdr>
            <w:top w:val="none" w:sz="0" w:space="0" w:color="auto"/>
            <w:left w:val="none" w:sz="0" w:space="0" w:color="auto"/>
            <w:bottom w:val="none" w:sz="0" w:space="0" w:color="auto"/>
            <w:right w:val="none" w:sz="0" w:space="0" w:color="auto"/>
          </w:divBdr>
        </w:div>
        <w:div w:id="314064634">
          <w:marLeft w:val="0"/>
          <w:marRight w:val="0"/>
          <w:marTop w:val="0"/>
          <w:marBottom w:val="0"/>
          <w:divBdr>
            <w:top w:val="none" w:sz="0" w:space="0" w:color="auto"/>
            <w:left w:val="none" w:sz="0" w:space="0" w:color="auto"/>
            <w:bottom w:val="none" w:sz="0" w:space="0" w:color="auto"/>
            <w:right w:val="none" w:sz="0" w:space="0" w:color="auto"/>
          </w:divBdr>
        </w:div>
        <w:div w:id="419451035">
          <w:marLeft w:val="0"/>
          <w:marRight w:val="0"/>
          <w:marTop w:val="0"/>
          <w:marBottom w:val="0"/>
          <w:divBdr>
            <w:top w:val="none" w:sz="0" w:space="0" w:color="auto"/>
            <w:left w:val="none" w:sz="0" w:space="0" w:color="auto"/>
            <w:bottom w:val="none" w:sz="0" w:space="0" w:color="auto"/>
            <w:right w:val="none" w:sz="0" w:space="0" w:color="auto"/>
          </w:divBdr>
        </w:div>
        <w:div w:id="586302351">
          <w:marLeft w:val="0"/>
          <w:marRight w:val="0"/>
          <w:marTop w:val="0"/>
          <w:marBottom w:val="0"/>
          <w:divBdr>
            <w:top w:val="none" w:sz="0" w:space="0" w:color="auto"/>
            <w:left w:val="none" w:sz="0" w:space="0" w:color="auto"/>
            <w:bottom w:val="none" w:sz="0" w:space="0" w:color="auto"/>
            <w:right w:val="none" w:sz="0" w:space="0" w:color="auto"/>
          </w:divBdr>
        </w:div>
        <w:div w:id="708646057">
          <w:marLeft w:val="0"/>
          <w:marRight w:val="0"/>
          <w:marTop w:val="0"/>
          <w:marBottom w:val="0"/>
          <w:divBdr>
            <w:top w:val="none" w:sz="0" w:space="0" w:color="auto"/>
            <w:left w:val="none" w:sz="0" w:space="0" w:color="auto"/>
            <w:bottom w:val="none" w:sz="0" w:space="0" w:color="auto"/>
            <w:right w:val="none" w:sz="0" w:space="0" w:color="auto"/>
          </w:divBdr>
        </w:div>
        <w:div w:id="843400432">
          <w:marLeft w:val="0"/>
          <w:marRight w:val="0"/>
          <w:marTop w:val="0"/>
          <w:marBottom w:val="0"/>
          <w:divBdr>
            <w:top w:val="none" w:sz="0" w:space="0" w:color="auto"/>
            <w:left w:val="none" w:sz="0" w:space="0" w:color="auto"/>
            <w:bottom w:val="none" w:sz="0" w:space="0" w:color="auto"/>
            <w:right w:val="none" w:sz="0" w:space="0" w:color="auto"/>
          </w:divBdr>
        </w:div>
        <w:div w:id="1211498740">
          <w:marLeft w:val="0"/>
          <w:marRight w:val="0"/>
          <w:marTop w:val="0"/>
          <w:marBottom w:val="0"/>
          <w:divBdr>
            <w:top w:val="none" w:sz="0" w:space="0" w:color="auto"/>
            <w:left w:val="none" w:sz="0" w:space="0" w:color="auto"/>
            <w:bottom w:val="none" w:sz="0" w:space="0" w:color="auto"/>
            <w:right w:val="none" w:sz="0" w:space="0" w:color="auto"/>
          </w:divBdr>
        </w:div>
        <w:div w:id="1380662617">
          <w:marLeft w:val="0"/>
          <w:marRight w:val="0"/>
          <w:marTop w:val="0"/>
          <w:marBottom w:val="0"/>
          <w:divBdr>
            <w:top w:val="none" w:sz="0" w:space="0" w:color="auto"/>
            <w:left w:val="none" w:sz="0" w:space="0" w:color="auto"/>
            <w:bottom w:val="none" w:sz="0" w:space="0" w:color="auto"/>
            <w:right w:val="none" w:sz="0" w:space="0" w:color="auto"/>
          </w:divBdr>
        </w:div>
        <w:div w:id="1723485377">
          <w:marLeft w:val="0"/>
          <w:marRight w:val="0"/>
          <w:marTop w:val="0"/>
          <w:marBottom w:val="0"/>
          <w:divBdr>
            <w:top w:val="none" w:sz="0" w:space="0" w:color="auto"/>
            <w:left w:val="none" w:sz="0" w:space="0" w:color="auto"/>
            <w:bottom w:val="none" w:sz="0" w:space="0" w:color="auto"/>
            <w:right w:val="none" w:sz="0" w:space="0" w:color="auto"/>
          </w:divBdr>
        </w:div>
        <w:div w:id="1910191122">
          <w:marLeft w:val="0"/>
          <w:marRight w:val="0"/>
          <w:marTop w:val="0"/>
          <w:marBottom w:val="0"/>
          <w:divBdr>
            <w:top w:val="none" w:sz="0" w:space="0" w:color="auto"/>
            <w:left w:val="none" w:sz="0" w:space="0" w:color="auto"/>
            <w:bottom w:val="none" w:sz="0" w:space="0" w:color="auto"/>
            <w:right w:val="none" w:sz="0" w:space="0" w:color="auto"/>
          </w:divBdr>
        </w:div>
      </w:divsChild>
    </w:div>
    <w:div w:id="931089241">
      <w:bodyDiv w:val="1"/>
      <w:marLeft w:val="0"/>
      <w:marRight w:val="0"/>
      <w:marTop w:val="0"/>
      <w:marBottom w:val="0"/>
      <w:divBdr>
        <w:top w:val="none" w:sz="0" w:space="0" w:color="auto"/>
        <w:left w:val="none" w:sz="0" w:space="0" w:color="auto"/>
        <w:bottom w:val="none" w:sz="0" w:space="0" w:color="auto"/>
        <w:right w:val="none" w:sz="0" w:space="0" w:color="auto"/>
      </w:divBdr>
    </w:div>
    <w:div w:id="963467845">
      <w:bodyDiv w:val="1"/>
      <w:marLeft w:val="0"/>
      <w:marRight w:val="0"/>
      <w:marTop w:val="0"/>
      <w:marBottom w:val="0"/>
      <w:divBdr>
        <w:top w:val="none" w:sz="0" w:space="0" w:color="auto"/>
        <w:left w:val="none" w:sz="0" w:space="0" w:color="auto"/>
        <w:bottom w:val="none" w:sz="0" w:space="0" w:color="auto"/>
        <w:right w:val="none" w:sz="0" w:space="0" w:color="auto"/>
      </w:divBdr>
      <w:divsChild>
        <w:div w:id="237710344">
          <w:marLeft w:val="2325"/>
          <w:marRight w:val="0"/>
          <w:marTop w:val="0"/>
          <w:marBottom w:val="0"/>
          <w:divBdr>
            <w:top w:val="none" w:sz="0" w:space="0" w:color="auto"/>
            <w:left w:val="none" w:sz="0" w:space="0" w:color="auto"/>
            <w:bottom w:val="none" w:sz="0" w:space="0" w:color="auto"/>
            <w:right w:val="none" w:sz="0" w:space="0" w:color="auto"/>
          </w:divBdr>
        </w:div>
      </w:divsChild>
    </w:div>
    <w:div w:id="973412741">
      <w:bodyDiv w:val="1"/>
      <w:marLeft w:val="0"/>
      <w:marRight w:val="0"/>
      <w:marTop w:val="0"/>
      <w:marBottom w:val="0"/>
      <w:divBdr>
        <w:top w:val="none" w:sz="0" w:space="0" w:color="auto"/>
        <w:left w:val="none" w:sz="0" w:space="0" w:color="auto"/>
        <w:bottom w:val="none" w:sz="0" w:space="0" w:color="auto"/>
        <w:right w:val="none" w:sz="0" w:space="0" w:color="auto"/>
      </w:divBdr>
    </w:div>
    <w:div w:id="1020082902">
      <w:bodyDiv w:val="1"/>
      <w:marLeft w:val="0"/>
      <w:marRight w:val="0"/>
      <w:marTop w:val="0"/>
      <w:marBottom w:val="0"/>
      <w:divBdr>
        <w:top w:val="none" w:sz="0" w:space="0" w:color="auto"/>
        <w:left w:val="none" w:sz="0" w:space="0" w:color="auto"/>
        <w:bottom w:val="none" w:sz="0" w:space="0" w:color="auto"/>
        <w:right w:val="none" w:sz="0" w:space="0" w:color="auto"/>
      </w:divBdr>
    </w:div>
    <w:div w:id="1030254157">
      <w:bodyDiv w:val="1"/>
      <w:marLeft w:val="0"/>
      <w:marRight w:val="0"/>
      <w:marTop w:val="0"/>
      <w:marBottom w:val="0"/>
      <w:divBdr>
        <w:top w:val="none" w:sz="0" w:space="0" w:color="auto"/>
        <w:left w:val="none" w:sz="0" w:space="0" w:color="auto"/>
        <w:bottom w:val="none" w:sz="0" w:space="0" w:color="auto"/>
        <w:right w:val="none" w:sz="0" w:space="0" w:color="auto"/>
      </w:divBdr>
      <w:divsChild>
        <w:div w:id="573319317">
          <w:marLeft w:val="0"/>
          <w:marRight w:val="0"/>
          <w:marTop w:val="0"/>
          <w:marBottom w:val="0"/>
          <w:divBdr>
            <w:top w:val="none" w:sz="0" w:space="0" w:color="auto"/>
            <w:left w:val="none" w:sz="0" w:space="0" w:color="auto"/>
            <w:bottom w:val="none" w:sz="0" w:space="0" w:color="auto"/>
            <w:right w:val="none" w:sz="0" w:space="0" w:color="auto"/>
          </w:divBdr>
        </w:div>
        <w:div w:id="628780368">
          <w:marLeft w:val="0"/>
          <w:marRight w:val="0"/>
          <w:marTop w:val="0"/>
          <w:marBottom w:val="0"/>
          <w:divBdr>
            <w:top w:val="none" w:sz="0" w:space="0" w:color="auto"/>
            <w:left w:val="none" w:sz="0" w:space="0" w:color="auto"/>
            <w:bottom w:val="none" w:sz="0" w:space="0" w:color="auto"/>
            <w:right w:val="none" w:sz="0" w:space="0" w:color="auto"/>
          </w:divBdr>
        </w:div>
        <w:div w:id="801582618">
          <w:marLeft w:val="0"/>
          <w:marRight w:val="0"/>
          <w:marTop w:val="0"/>
          <w:marBottom w:val="0"/>
          <w:divBdr>
            <w:top w:val="none" w:sz="0" w:space="0" w:color="auto"/>
            <w:left w:val="none" w:sz="0" w:space="0" w:color="auto"/>
            <w:bottom w:val="none" w:sz="0" w:space="0" w:color="auto"/>
            <w:right w:val="none" w:sz="0" w:space="0" w:color="auto"/>
          </w:divBdr>
        </w:div>
        <w:div w:id="1046026240">
          <w:marLeft w:val="0"/>
          <w:marRight w:val="0"/>
          <w:marTop w:val="0"/>
          <w:marBottom w:val="0"/>
          <w:divBdr>
            <w:top w:val="none" w:sz="0" w:space="0" w:color="auto"/>
            <w:left w:val="none" w:sz="0" w:space="0" w:color="auto"/>
            <w:bottom w:val="none" w:sz="0" w:space="0" w:color="auto"/>
            <w:right w:val="none" w:sz="0" w:space="0" w:color="auto"/>
          </w:divBdr>
        </w:div>
        <w:div w:id="1131051808">
          <w:marLeft w:val="0"/>
          <w:marRight w:val="0"/>
          <w:marTop w:val="0"/>
          <w:marBottom w:val="0"/>
          <w:divBdr>
            <w:top w:val="none" w:sz="0" w:space="0" w:color="auto"/>
            <w:left w:val="none" w:sz="0" w:space="0" w:color="auto"/>
            <w:bottom w:val="none" w:sz="0" w:space="0" w:color="auto"/>
            <w:right w:val="none" w:sz="0" w:space="0" w:color="auto"/>
          </w:divBdr>
        </w:div>
        <w:div w:id="1904292502">
          <w:marLeft w:val="0"/>
          <w:marRight w:val="0"/>
          <w:marTop w:val="0"/>
          <w:marBottom w:val="0"/>
          <w:divBdr>
            <w:top w:val="none" w:sz="0" w:space="0" w:color="auto"/>
            <w:left w:val="none" w:sz="0" w:space="0" w:color="auto"/>
            <w:bottom w:val="none" w:sz="0" w:space="0" w:color="auto"/>
            <w:right w:val="none" w:sz="0" w:space="0" w:color="auto"/>
          </w:divBdr>
        </w:div>
      </w:divsChild>
    </w:div>
    <w:div w:id="1040396134">
      <w:bodyDiv w:val="1"/>
      <w:marLeft w:val="0"/>
      <w:marRight w:val="0"/>
      <w:marTop w:val="0"/>
      <w:marBottom w:val="0"/>
      <w:divBdr>
        <w:top w:val="none" w:sz="0" w:space="0" w:color="auto"/>
        <w:left w:val="none" w:sz="0" w:space="0" w:color="auto"/>
        <w:bottom w:val="none" w:sz="0" w:space="0" w:color="auto"/>
        <w:right w:val="none" w:sz="0" w:space="0" w:color="auto"/>
      </w:divBdr>
    </w:div>
    <w:div w:id="1047875082">
      <w:bodyDiv w:val="1"/>
      <w:marLeft w:val="0"/>
      <w:marRight w:val="0"/>
      <w:marTop w:val="0"/>
      <w:marBottom w:val="0"/>
      <w:divBdr>
        <w:top w:val="none" w:sz="0" w:space="0" w:color="auto"/>
        <w:left w:val="none" w:sz="0" w:space="0" w:color="auto"/>
        <w:bottom w:val="none" w:sz="0" w:space="0" w:color="auto"/>
        <w:right w:val="none" w:sz="0" w:space="0" w:color="auto"/>
      </w:divBdr>
    </w:div>
    <w:div w:id="1098404566">
      <w:bodyDiv w:val="1"/>
      <w:marLeft w:val="0"/>
      <w:marRight w:val="0"/>
      <w:marTop w:val="0"/>
      <w:marBottom w:val="0"/>
      <w:divBdr>
        <w:top w:val="none" w:sz="0" w:space="0" w:color="auto"/>
        <w:left w:val="none" w:sz="0" w:space="0" w:color="auto"/>
        <w:bottom w:val="none" w:sz="0" w:space="0" w:color="auto"/>
        <w:right w:val="none" w:sz="0" w:space="0" w:color="auto"/>
      </w:divBdr>
    </w:div>
    <w:div w:id="1103652302">
      <w:bodyDiv w:val="1"/>
      <w:marLeft w:val="0"/>
      <w:marRight w:val="0"/>
      <w:marTop w:val="0"/>
      <w:marBottom w:val="0"/>
      <w:divBdr>
        <w:top w:val="none" w:sz="0" w:space="0" w:color="auto"/>
        <w:left w:val="none" w:sz="0" w:space="0" w:color="auto"/>
        <w:bottom w:val="none" w:sz="0" w:space="0" w:color="auto"/>
        <w:right w:val="none" w:sz="0" w:space="0" w:color="auto"/>
      </w:divBdr>
      <w:divsChild>
        <w:div w:id="324282574">
          <w:marLeft w:val="0"/>
          <w:marRight w:val="0"/>
          <w:marTop w:val="0"/>
          <w:marBottom w:val="0"/>
          <w:divBdr>
            <w:top w:val="none" w:sz="0" w:space="0" w:color="auto"/>
            <w:left w:val="none" w:sz="0" w:space="0" w:color="auto"/>
            <w:bottom w:val="none" w:sz="0" w:space="0" w:color="auto"/>
            <w:right w:val="none" w:sz="0" w:space="0" w:color="auto"/>
          </w:divBdr>
        </w:div>
        <w:div w:id="415831340">
          <w:marLeft w:val="0"/>
          <w:marRight w:val="0"/>
          <w:marTop w:val="0"/>
          <w:marBottom w:val="0"/>
          <w:divBdr>
            <w:top w:val="none" w:sz="0" w:space="0" w:color="auto"/>
            <w:left w:val="none" w:sz="0" w:space="0" w:color="auto"/>
            <w:bottom w:val="none" w:sz="0" w:space="0" w:color="auto"/>
            <w:right w:val="none" w:sz="0" w:space="0" w:color="auto"/>
          </w:divBdr>
        </w:div>
        <w:div w:id="875388685">
          <w:marLeft w:val="0"/>
          <w:marRight w:val="0"/>
          <w:marTop w:val="0"/>
          <w:marBottom w:val="0"/>
          <w:divBdr>
            <w:top w:val="none" w:sz="0" w:space="0" w:color="auto"/>
            <w:left w:val="none" w:sz="0" w:space="0" w:color="auto"/>
            <w:bottom w:val="none" w:sz="0" w:space="0" w:color="auto"/>
            <w:right w:val="none" w:sz="0" w:space="0" w:color="auto"/>
          </w:divBdr>
        </w:div>
        <w:div w:id="1439981880">
          <w:marLeft w:val="0"/>
          <w:marRight w:val="0"/>
          <w:marTop w:val="0"/>
          <w:marBottom w:val="0"/>
          <w:divBdr>
            <w:top w:val="none" w:sz="0" w:space="0" w:color="auto"/>
            <w:left w:val="none" w:sz="0" w:space="0" w:color="auto"/>
            <w:bottom w:val="none" w:sz="0" w:space="0" w:color="auto"/>
            <w:right w:val="none" w:sz="0" w:space="0" w:color="auto"/>
          </w:divBdr>
        </w:div>
        <w:div w:id="1909653546">
          <w:marLeft w:val="0"/>
          <w:marRight w:val="0"/>
          <w:marTop w:val="0"/>
          <w:marBottom w:val="0"/>
          <w:divBdr>
            <w:top w:val="none" w:sz="0" w:space="0" w:color="auto"/>
            <w:left w:val="none" w:sz="0" w:space="0" w:color="auto"/>
            <w:bottom w:val="none" w:sz="0" w:space="0" w:color="auto"/>
            <w:right w:val="none" w:sz="0" w:space="0" w:color="auto"/>
          </w:divBdr>
        </w:div>
        <w:div w:id="2019119567">
          <w:marLeft w:val="0"/>
          <w:marRight w:val="0"/>
          <w:marTop w:val="0"/>
          <w:marBottom w:val="0"/>
          <w:divBdr>
            <w:top w:val="none" w:sz="0" w:space="0" w:color="auto"/>
            <w:left w:val="none" w:sz="0" w:space="0" w:color="auto"/>
            <w:bottom w:val="none" w:sz="0" w:space="0" w:color="auto"/>
            <w:right w:val="none" w:sz="0" w:space="0" w:color="auto"/>
          </w:divBdr>
        </w:div>
      </w:divsChild>
    </w:div>
    <w:div w:id="1113407063">
      <w:bodyDiv w:val="1"/>
      <w:marLeft w:val="0"/>
      <w:marRight w:val="0"/>
      <w:marTop w:val="0"/>
      <w:marBottom w:val="0"/>
      <w:divBdr>
        <w:top w:val="none" w:sz="0" w:space="0" w:color="auto"/>
        <w:left w:val="none" w:sz="0" w:space="0" w:color="auto"/>
        <w:bottom w:val="none" w:sz="0" w:space="0" w:color="auto"/>
        <w:right w:val="none" w:sz="0" w:space="0" w:color="auto"/>
      </w:divBdr>
    </w:div>
    <w:div w:id="1121459976">
      <w:bodyDiv w:val="1"/>
      <w:marLeft w:val="0"/>
      <w:marRight w:val="0"/>
      <w:marTop w:val="0"/>
      <w:marBottom w:val="0"/>
      <w:divBdr>
        <w:top w:val="none" w:sz="0" w:space="0" w:color="auto"/>
        <w:left w:val="none" w:sz="0" w:space="0" w:color="auto"/>
        <w:bottom w:val="none" w:sz="0" w:space="0" w:color="auto"/>
        <w:right w:val="none" w:sz="0" w:space="0" w:color="auto"/>
      </w:divBdr>
    </w:div>
    <w:div w:id="1147630032">
      <w:bodyDiv w:val="1"/>
      <w:marLeft w:val="0"/>
      <w:marRight w:val="0"/>
      <w:marTop w:val="0"/>
      <w:marBottom w:val="0"/>
      <w:divBdr>
        <w:top w:val="none" w:sz="0" w:space="0" w:color="auto"/>
        <w:left w:val="none" w:sz="0" w:space="0" w:color="auto"/>
        <w:bottom w:val="none" w:sz="0" w:space="0" w:color="auto"/>
        <w:right w:val="none" w:sz="0" w:space="0" w:color="auto"/>
      </w:divBdr>
      <w:divsChild>
        <w:div w:id="451554546">
          <w:marLeft w:val="0"/>
          <w:marRight w:val="0"/>
          <w:marTop w:val="0"/>
          <w:marBottom w:val="0"/>
          <w:divBdr>
            <w:top w:val="none" w:sz="0" w:space="0" w:color="auto"/>
            <w:left w:val="none" w:sz="0" w:space="0" w:color="auto"/>
            <w:bottom w:val="none" w:sz="0" w:space="0" w:color="auto"/>
            <w:right w:val="none" w:sz="0" w:space="0" w:color="auto"/>
          </w:divBdr>
        </w:div>
        <w:div w:id="1427656537">
          <w:marLeft w:val="0"/>
          <w:marRight w:val="0"/>
          <w:marTop w:val="0"/>
          <w:marBottom w:val="0"/>
          <w:divBdr>
            <w:top w:val="none" w:sz="0" w:space="0" w:color="auto"/>
            <w:left w:val="none" w:sz="0" w:space="0" w:color="auto"/>
            <w:bottom w:val="none" w:sz="0" w:space="0" w:color="auto"/>
            <w:right w:val="none" w:sz="0" w:space="0" w:color="auto"/>
          </w:divBdr>
        </w:div>
        <w:div w:id="1690644288">
          <w:marLeft w:val="0"/>
          <w:marRight w:val="0"/>
          <w:marTop w:val="0"/>
          <w:marBottom w:val="0"/>
          <w:divBdr>
            <w:top w:val="none" w:sz="0" w:space="0" w:color="auto"/>
            <w:left w:val="none" w:sz="0" w:space="0" w:color="auto"/>
            <w:bottom w:val="none" w:sz="0" w:space="0" w:color="auto"/>
            <w:right w:val="none" w:sz="0" w:space="0" w:color="auto"/>
          </w:divBdr>
        </w:div>
      </w:divsChild>
    </w:div>
    <w:div w:id="1152410664">
      <w:bodyDiv w:val="1"/>
      <w:marLeft w:val="0"/>
      <w:marRight w:val="0"/>
      <w:marTop w:val="0"/>
      <w:marBottom w:val="0"/>
      <w:divBdr>
        <w:top w:val="none" w:sz="0" w:space="0" w:color="auto"/>
        <w:left w:val="none" w:sz="0" w:space="0" w:color="auto"/>
        <w:bottom w:val="none" w:sz="0" w:space="0" w:color="auto"/>
        <w:right w:val="none" w:sz="0" w:space="0" w:color="auto"/>
      </w:divBdr>
    </w:div>
    <w:div w:id="1164710933">
      <w:bodyDiv w:val="1"/>
      <w:marLeft w:val="0"/>
      <w:marRight w:val="0"/>
      <w:marTop w:val="0"/>
      <w:marBottom w:val="0"/>
      <w:divBdr>
        <w:top w:val="none" w:sz="0" w:space="0" w:color="auto"/>
        <w:left w:val="none" w:sz="0" w:space="0" w:color="auto"/>
        <w:bottom w:val="none" w:sz="0" w:space="0" w:color="auto"/>
        <w:right w:val="none" w:sz="0" w:space="0" w:color="auto"/>
      </w:divBdr>
    </w:div>
    <w:div w:id="1169054343">
      <w:bodyDiv w:val="1"/>
      <w:marLeft w:val="0"/>
      <w:marRight w:val="0"/>
      <w:marTop w:val="0"/>
      <w:marBottom w:val="0"/>
      <w:divBdr>
        <w:top w:val="none" w:sz="0" w:space="0" w:color="auto"/>
        <w:left w:val="none" w:sz="0" w:space="0" w:color="auto"/>
        <w:bottom w:val="none" w:sz="0" w:space="0" w:color="auto"/>
        <w:right w:val="none" w:sz="0" w:space="0" w:color="auto"/>
      </w:divBdr>
    </w:div>
    <w:div w:id="1196650310">
      <w:bodyDiv w:val="1"/>
      <w:marLeft w:val="0"/>
      <w:marRight w:val="0"/>
      <w:marTop w:val="0"/>
      <w:marBottom w:val="0"/>
      <w:divBdr>
        <w:top w:val="none" w:sz="0" w:space="0" w:color="auto"/>
        <w:left w:val="none" w:sz="0" w:space="0" w:color="auto"/>
        <w:bottom w:val="none" w:sz="0" w:space="0" w:color="auto"/>
        <w:right w:val="none" w:sz="0" w:space="0" w:color="auto"/>
      </w:divBdr>
    </w:div>
    <w:div w:id="1201746492">
      <w:bodyDiv w:val="1"/>
      <w:marLeft w:val="0"/>
      <w:marRight w:val="0"/>
      <w:marTop w:val="0"/>
      <w:marBottom w:val="0"/>
      <w:divBdr>
        <w:top w:val="none" w:sz="0" w:space="0" w:color="auto"/>
        <w:left w:val="none" w:sz="0" w:space="0" w:color="auto"/>
        <w:bottom w:val="none" w:sz="0" w:space="0" w:color="auto"/>
        <w:right w:val="none" w:sz="0" w:space="0" w:color="auto"/>
      </w:divBdr>
    </w:div>
    <w:div w:id="1209536584">
      <w:bodyDiv w:val="1"/>
      <w:marLeft w:val="0"/>
      <w:marRight w:val="0"/>
      <w:marTop w:val="0"/>
      <w:marBottom w:val="0"/>
      <w:divBdr>
        <w:top w:val="none" w:sz="0" w:space="0" w:color="auto"/>
        <w:left w:val="none" w:sz="0" w:space="0" w:color="auto"/>
        <w:bottom w:val="none" w:sz="0" w:space="0" w:color="auto"/>
        <w:right w:val="none" w:sz="0" w:space="0" w:color="auto"/>
      </w:divBdr>
    </w:div>
    <w:div w:id="1212226184">
      <w:bodyDiv w:val="1"/>
      <w:marLeft w:val="0"/>
      <w:marRight w:val="0"/>
      <w:marTop w:val="0"/>
      <w:marBottom w:val="0"/>
      <w:divBdr>
        <w:top w:val="none" w:sz="0" w:space="0" w:color="auto"/>
        <w:left w:val="none" w:sz="0" w:space="0" w:color="auto"/>
        <w:bottom w:val="none" w:sz="0" w:space="0" w:color="auto"/>
        <w:right w:val="none" w:sz="0" w:space="0" w:color="auto"/>
      </w:divBdr>
    </w:div>
    <w:div w:id="1215966281">
      <w:bodyDiv w:val="1"/>
      <w:marLeft w:val="0"/>
      <w:marRight w:val="0"/>
      <w:marTop w:val="0"/>
      <w:marBottom w:val="0"/>
      <w:divBdr>
        <w:top w:val="none" w:sz="0" w:space="0" w:color="auto"/>
        <w:left w:val="none" w:sz="0" w:space="0" w:color="auto"/>
        <w:bottom w:val="none" w:sz="0" w:space="0" w:color="auto"/>
        <w:right w:val="none" w:sz="0" w:space="0" w:color="auto"/>
      </w:divBdr>
    </w:div>
    <w:div w:id="1231772490">
      <w:bodyDiv w:val="1"/>
      <w:marLeft w:val="0"/>
      <w:marRight w:val="0"/>
      <w:marTop w:val="0"/>
      <w:marBottom w:val="0"/>
      <w:divBdr>
        <w:top w:val="none" w:sz="0" w:space="0" w:color="auto"/>
        <w:left w:val="none" w:sz="0" w:space="0" w:color="auto"/>
        <w:bottom w:val="none" w:sz="0" w:space="0" w:color="auto"/>
        <w:right w:val="none" w:sz="0" w:space="0" w:color="auto"/>
      </w:divBdr>
    </w:div>
    <w:div w:id="1261403577">
      <w:bodyDiv w:val="1"/>
      <w:marLeft w:val="0"/>
      <w:marRight w:val="0"/>
      <w:marTop w:val="0"/>
      <w:marBottom w:val="0"/>
      <w:divBdr>
        <w:top w:val="none" w:sz="0" w:space="0" w:color="auto"/>
        <w:left w:val="none" w:sz="0" w:space="0" w:color="auto"/>
        <w:bottom w:val="none" w:sz="0" w:space="0" w:color="auto"/>
        <w:right w:val="none" w:sz="0" w:space="0" w:color="auto"/>
      </w:divBdr>
    </w:div>
    <w:div w:id="1291325736">
      <w:bodyDiv w:val="1"/>
      <w:marLeft w:val="0"/>
      <w:marRight w:val="0"/>
      <w:marTop w:val="0"/>
      <w:marBottom w:val="0"/>
      <w:divBdr>
        <w:top w:val="none" w:sz="0" w:space="0" w:color="auto"/>
        <w:left w:val="none" w:sz="0" w:space="0" w:color="auto"/>
        <w:bottom w:val="none" w:sz="0" w:space="0" w:color="auto"/>
        <w:right w:val="none" w:sz="0" w:space="0" w:color="auto"/>
      </w:divBdr>
    </w:div>
    <w:div w:id="1326937662">
      <w:bodyDiv w:val="1"/>
      <w:marLeft w:val="0"/>
      <w:marRight w:val="0"/>
      <w:marTop w:val="0"/>
      <w:marBottom w:val="0"/>
      <w:divBdr>
        <w:top w:val="none" w:sz="0" w:space="0" w:color="auto"/>
        <w:left w:val="none" w:sz="0" w:space="0" w:color="auto"/>
        <w:bottom w:val="none" w:sz="0" w:space="0" w:color="auto"/>
        <w:right w:val="none" w:sz="0" w:space="0" w:color="auto"/>
      </w:divBdr>
    </w:div>
    <w:div w:id="1337146066">
      <w:bodyDiv w:val="1"/>
      <w:marLeft w:val="0"/>
      <w:marRight w:val="0"/>
      <w:marTop w:val="0"/>
      <w:marBottom w:val="0"/>
      <w:divBdr>
        <w:top w:val="none" w:sz="0" w:space="0" w:color="auto"/>
        <w:left w:val="none" w:sz="0" w:space="0" w:color="auto"/>
        <w:bottom w:val="none" w:sz="0" w:space="0" w:color="auto"/>
        <w:right w:val="none" w:sz="0" w:space="0" w:color="auto"/>
      </w:divBdr>
    </w:div>
    <w:div w:id="1354303250">
      <w:bodyDiv w:val="1"/>
      <w:marLeft w:val="0"/>
      <w:marRight w:val="0"/>
      <w:marTop w:val="0"/>
      <w:marBottom w:val="0"/>
      <w:divBdr>
        <w:top w:val="none" w:sz="0" w:space="0" w:color="auto"/>
        <w:left w:val="none" w:sz="0" w:space="0" w:color="auto"/>
        <w:bottom w:val="none" w:sz="0" w:space="0" w:color="auto"/>
        <w:right w:val="none" w:sz="0" w:space="0" w:color="auto"/>
      </w:divBdr>
    </w:div>
    <w:div w:id="1367558861">
      <w:bodyDiv w:val="1"/>
      <w:marLeft w:val="0"/>
      <w:marRight w:val="0"/>
      <w:marTop w:val="0"/>
      <w:marBottom w:val="0"/>
      <w:divBdr>
        <w:top w:val="none" w:sz="0" w:space="0" w:color="auto"/>
        <w:left w:val="none" w:sz="0" w:space="0" w:color="auto"/>
        <w:bottom w:val="none" w:sz="0" w:space="0" w:color="auto"/>
        <w:right w:val="none" w:sz="0" w:space="0" w:color="auto"/>
      </w:divBdr>
    </w:div>
    <w:div w:id="1373650030">
      <w:bodyDiv w:val="1"/>
      <w:marLeft w:val="0"/>
      <w:marRight w:val="0"/>
      <w:marTop w:val="0"/>
      <w:marBottom w:val="0"/>
      <w:divBdr>
        <w:top w:val="none" w:sz="0" w:space="0" w:color="auto"/>
        <w:left w:val="none" w:sz="0" w:space="0" w:color="auto"/>
        <w:bottom w:val="none" w:sz="0" w:space="0" w:color="auto"/>
        <w:right w:val="none" w:sz="0" w:space="0" w:color="auto"/>
      </w:divBdr>
    </w:div>
    <w:div w:id="1392079747">
      <w:bodyDiv w:val="1"/>
      <w:marLeft w:val="0"/>
      <w:marRight w:val="0"/>
      <w:marTop w:val="0"/>
      <w:marBottom w:val="0"/>
      <w:divBdr>
        <w:top w:val="none" w:sz="0" w:space="0" w:color="auto"/>
        <w:left w:val="none" w:sz="0" w:space="0" w:color="auto"/>
        <w:bottom w:val="none" w:sz="0" w:space="0" w:color="auto"/>
        <w:right w:val="none" w:sz="0" w:space="0" w:color="auto"/>
      </w:divBdr>
    </w:div>
    <w:div w:id="1394885146">
      <w:bodyDiv w:val="1"/>
      <w:marLeft w:val="0"/>
      <w:marRight w:val="0"/>
      <w:marTop w:val="0"/>
      <w:marBottom w:val="0"/>
      <w:divBdr>
        <w:top w:val="none" w:sz="0" w:space="0" w:color="auto"/>
        <w:left w:val="none" w:sz="0" w:space="0" w:color="auto"/>
        <w:bottom w:val="none" w:sz="0" w:space="0" w:color="auto"/>
        <w:right w:val="none" w:sz="0" w:space="0" w:color="auto"/>
      </w:divBdr>
    </w:div>
    <w:div w:id="1399866656">
      <w:bodyDiv w:val="1"/>
      <w:marLeft w:val="0"/>
      <w:marRight w:val="0"/>
      <w:marTop w:val="0"/>
      <w:marBottom w:val="0"/>
      <w:divBdr>
        <w:top w:val="none" w:sz="0" w:space="0" w:color="auto"/>
        <w:left w:val="none" w:sz="0" w:space="0" w:color="auto"/>
        <w:bottom w:val="none" w:sz="0" w:space="0" w:color="auto"/>
        <w:right w:val="none" w:sz="0" w:space="0" w:color="auto"/>
      </w:divBdr>
    </w:div>
    <w:div w:id="1400711792">
      <w:bodyDiv w:val="1"/>
      <w:marLeft w:val="0"/>
      <w:marRight w:val="0"/>
      <w:marTop w:val="0"/>
      <w:marBottom w:val="0"/>
      <w:divBdr>
        <w:top w:val="none" w:sz="0" w:space="0" w:color="auto"/>
        <w:left w:val="none" w:sz="0" w:space="0" w:color="auto"/>
        <w:bottom w:val="none" w:sz="0" w:space="0" w:color="auto"/>
        <w:right w:val="none" w:sz="0" w:space="0" w:color="auto"/>
      </w:divBdr>
    </w:div>
    <w:div w:id="1420174531">
      <w:bodyDiv w:val="1"/>
      <w:marLeft w:val="0"/>
      <w:marRight w:val="0"/>
      <w:marTop w:val="0"/>
      <w:marBottom w:val="0"/>
      <w:divBdr>
        <w:top w:val="none" w:sz="0" w:space="0" w:color="auto"/>
        <w:left w:val="none" w:sz="0" w:space="0" w:color="auto"/>
        <w:bottom w:val="none" w:sz="0" w:space="0" w:color="auto"/>
        <w:right w:val="none" w:sz="0" w:space="0" w:color="auto"/>
      </w:divBdr>
    </w:div>
    <w:div w:id="1471821819">
      <w:bodyDiv w:val="1"/>
      <w:marLeft w:val="0"/>
      <w:marRight w:val="0"/>
      <w:marTop w:val="0"/>
      <w:marBottom w:val="0"/>
      <w:divBdr>
        <w:top w:val="none" w:sz="0" w:space="0" w:color="auto"/>
        <w:left w:val="none" w:sz="0" w:space="0" w:color="auto"/>
        <w:bottom w:val="none" w:sz="0" w:space="0" w:color="auto"/>
        <w:right w:val="none" w:sz="0" w:space="0" w:color="auto"/>
      </w:divBdr>
      <w:divsChild>
        <w:div w:id="534343472">
          <w:marLeft w:val="547"/>
          <w:marRight w:val="0"/>
          <w:marTop w:val="115"/>
          <w:marBottom w:val="0"/>
          <w:divBdr>
            <w:top w:val="none" w:sz="0" w:space="0" w:color="auto"/>
            <w:left w:val="none" w:sz="0" w:space="0" w:color="auto"/>
            <w:bottom w:val="none" w:sz="0" w:space="0" w:color="auto"/>
            <w:right w:val="none" w:sz="0" w:space="0" w:color="auto"/>
          </w:divBdr>
        </w:div>
        <w:div w:id="765269096">
          <w:marLeft w:val="547"/>
          <w:marRight w:val="0"/>
          <w:marTop w:val="115"/>
          <w:marBottom w:val="0"/>
          <w:divBdr>
            <w:top w:val="none" w:sz="0" w:space="0" w:color="auto"/>
            <w:left w:val="none" w:sz="0" w:space="0" w:color="auto"/>
            <w:bottom w:val="none" w:sz="0" w:space="0" w:color="auto"/>
            <w:right w:val="none" w:sz="0" w:space="0" w:color="auto"/>
          </w:divBdr>
        </w:div>
        <w:div w:id="869074536">
          <w:marLeft w:val="547"/>
          <w:marRight w:val="0"/>
          <w:marTop w:val="115"/>
          <w:marBottom w:val="0"/>
          <w:divBdr>
            <w:top w:val="none" w:sz="0" w:space="0" w:color="auto"/>
            <w:left w:val="none" w:sz="0" w:space="0" w:color="auto"/>
            <w:bottom w:val="none" w:sz="0" w:space="0" w:color="auto"/>
            <w:right w:val="none" w:sz="0" w:space="0" w:color="auto"/>
          </w:divBdr>
        </w:div>
      </w:divsChild>
    </w:div>
    <w:div w:id="1480729271">
      <w:bodyDiv w:val="1"/>
      <w:marLeft w:val="0"/>
      <w:marRight w:val="0"/>
      <w:marTop w:val="0"/>
      <w:marBottom w:val="0"/>
      <w:divBdr>
        <w:top w:val="none" w:sz="0" w:space="0" w:color="auto"/>
        <w:left w:val="none" w:sz="0" w:space="0" w:color="auto"/>
        <w:bottom w:val="none" w:sz="0" w:space="0" w:color="auto"/>
        <w:right w:val="none" w:sz="0" w:space="0" w:color="auto"/>
      </w:divBdr>
    </w:div>
    <w:div w:id="1497568751">
      <w:bodyDiv w:val="1"/>
      <w:marLeft w:val="0"/>
      <w:marRight w:val="0"/>
      <w:marTop w:val="0"/>
      <w:marBottom w:val="0"/>
      <w:divBdr>
        <w:top w:val="none" w:sz="0" w:space="0" w:color="auto"/>
        <w:left w:val="none" w:sz="0" w:space="0" w:color="auto"/>
        <w:bottom w:val="none" w:sz="0" w:space="0" w:color="auto"/>
        <w:right w:val="none" w:sz="0" w:space="0" w:color="auto"/>
      </w:divBdr>
    </w:div>
    <w:div w:id="1534423866">
      <w:bodyDiv w:val="1"/>
      <w:marLeft w:val="0"/>
      <w:marRight w:val="0"/>
      <w:marTop w:val="0"/>
      <w:marBottom w:val="0"/>
      <w:divBdr>
        <w:top w:val="none" w:sz="0" w:space="0" w:color="auto"/>
        <w:left w:val="none" w:sz="0" w:space="0" w:color="auto"/>
        <w:bottom w:val="none" w:sz="0" w:space="0" w:color="auto"/>
        <w:right w:val="none" w:sz="0" w:space="0" w:color="auto"/>
      </w:divBdr>
      <w:divsChild>
        <w:div w:id="301543019">
          <w:marLeft w:val="0"/>
          <w:marRight w:val="0"/>
          <w:marTop w:val="0"/>
          <w:marBottom w:val="0"/>
          <w:divBdr>
            <w:top w:val="none" w:sz="0" w:space="0" w:color="auto"/>
            <w:left w:val="none" w:sz="0" w:space="0" w:color="auto"/>
            <w:bottom w:val="none" w:sz="0" w:space="0" w:color="auto"/>
            <w:right w:val="none" w:sz="0" w:space="0" w:color="auto"/>
          </w:divBdr>
        </w:div>
        <w:div w:id="342634370">
          <w:marLeft w:val="0"/>
          <w:marRight w:val="0"/>
          <w:marTop w:val="0"/>
          <w:marBottom w:val="0"/>
          <w:divBdr>
            <w:top w:val="none" w:sz="0" w:space="0" w:color="auto"/>
            <w:left w:val="none" w:sz="0" w:space="0" w:color="auto"/>
            <w:bottom w:val="none" w:sz="0" w:space="0" w:color="auto"/>
            <w:right w:val="none" w:sz="0" w:space="0" w:color="auto"/>
          </w:divBdr>
        </w:div>
        <w:div w:id="751387546">
          <w:marLeft w:val="0"/>
          <w:marRight w:val="0"/>
          <w:marTop w:val="0"/>
          <w:marBottom w:val="0"/>
          <w:divBdr>
            <w:top w:val="none" w:sz="0" w:space="0" w:color="auto"/>
            <w:left w:val="none" w:sz="0" w:space="0" w:color="auto"/>
            <w:bottom w:val="none" w:sz="0" w:space="0" w:color="auto"/>
            <w:right w:val="none" w:sz="0" w:space="0" w:color="auto"/>
          </w:divBdr>
        </w:div>
      </w:divsChild>
    </w:div>
    <w:div w:id="1538543021">
      <w:bodyDiv w:val="1"/>
      <w:marLeft w:val="0"/>
      <w:marRight w:val="0"/>
      <w:marTop w:val="0"/>
      <w:marBottom w:val="0"/>
      <w:divBdr>
        <w:top w:val="none" w:sz="0" w:space="0" w:color="auto"/>
        <w:left w:val="none" w:sz="0" w:space="0" w:color="auto"/>
        <w:bottom w:val="none" w:sz="0" w:space="0" w:color="auto"/>
        <w:right w:val="none" w:sz="0" w:space="0" w:color="auto"/>
      </w:divBdr>
      <w:divsChild>
        <w:div w:id="1679505263">
          <w:marLeft w:val="2325"/>
          <w:marRight w:val="0"/>
          <w:marTop w:val="0"/>
          <w:marBottom w:val="0"/>
          <w:divBdr>
            <w:top w:val="none" w:sz="0" w:space="0" w:color="auto"/>
            <w:left w:val="none" w:sz="0" w:space="0" w:color="auto"/>
            <w:bottom w:val="none" w:sz="0" w:space="0" w:color="auto"/>
            <w:right w:val="none" w:sz="0" w:space="0" w:color="auto"/>
          </w:divBdr>
        </w:div>
      </w:divsChild>
    </w:div>
    <w:div w:id="1552883571">
      <w:bodyDiv w:val="1"/>
      <w:marLeft w:val="0"/>
      <w:marRight w:val="0"/>
      <w:marTop w:val="0"/>
      <w:marBottom w:val="0"/>
      <w:divBdr>
        <w:top w:val="none" w:sz="0" w:space="0" w:color="auto"/>
        <w:left w:val="none" w:sz="0" w:space="0" w:color="auto"/>
        <w:bottom w:val="none" w:sz="0" w:space="0" w:color="auto"/>
        <w:right w:val="none" w:sz="0" w:space="0" w:color="auto"/>
      </w:divBdr>
      <w:divsChild>
        <w:div w:id="702094972">
          <w:marLeft w:val="547"/>
          <w:marRight w:val="0"/>
          <w:marTop w:val="115"/>
          <w:marBottom w:val="0"/>
          <w:divBdr>
            <w:top w:val="none" w:sz="0" w:space="0" w:color="auto"/>
            <w:left w:val="none" w:sz="0" w:space="0" w:color="auto"/>
            <w:bottom w:val="none" w:sz="0" w:space="0" w:color="auto"/>
            <w:right w:val="none" w:sz="0" w:space="0" w:color="auto"/>
          </w:divBdr>
        </w:div>
        <w:div w:id="1080519311">
          <w:marLeft w:val="547"/>
          <w:marRight w:val="0"/>
          <w:marTop w:val="115"/>
          <w:marBottom w:val="0"/>
          <w:divBdr>
            <w:top w:val="none" w:sz="0" w:space="0" w:color="auto"/>
            <w:left w:val="none" w:sz="0" w:space="0" w:color="auto"/>
            <w:bottom w:val="none" w:sz="0" w:space="0" w:color="auto"/>
            <w:right w:val="none" w:sz="0" w:space="0" w:color="auto"/>
          </w:divBdr>
        </w:div>
        <w:div w:id="1940984585">
          <w:marLeft w:val="547"/>
          <w:marRight w:val="0"/>
          <w:marTop w:val="115"/>
          <w:marBottom w:val="0"/>
          <w:divBdr>
            <w:top w:val="none" w:sz="0" w:space="0" w:color="auto"/>
            <w:left w:val="none" w:sz="0" w:space="0" w:color="auto"/>
            <w:bottom w:val="none" w:sz="0" w:space="0" w:color="auto"/>
            <w:right w:val="none" w:sz="0" w:space="0" w:color="auto"/>
          </w:divBdr>
        </w:div>
      </w:divsChild>
    </w:div>
    <w:div w:id="1564288254">
      <w:bodyDiv w:val="1"/>
      <w:marLeft w:val="0"/>
      <w:marRight w:val="0"/>
      <w:marTop w:val="0"/>
      <w:marBottom w:val="0"/>
      <w:divBdr>
        <w:top w:val="none" w:sz="0" w:space="0" w:color="auto"/>
        <w:left w:val="none" w:sz="0" w:space="0" w:color="auto"/>
        <w:bottom w:val="none" w:sz="0" w:space="0" w:color="auto"/>
        <w:right w:val="none" w:sz="0" w:space="0" w:color="auto"/>
      </w:divBdr>
    </w:div>
    <w:div w:id="1585261328">
      <w:bodyDiv w:val="1"/>
      <w:marLeft w:val="0"/>
      <w:marRight w:val="0"/>
      <w:marTop w:val="0"/>
      <w:marBottom w:val="0"/>
      <w:divBdr>
        <w:top w:val="none" w:sz="0" w:space="0" w:color="auto"/>
        <w:left w:val="none" w:sz="0" w:space="0" w:color="auto"/>
        <w:bottom w:val="none" w:sz="0" w:space="0" w:color="auto"/>
        <w:right w:val="none" w:sz="0" w:space="0" w:color="auto"/>
      </w:divBdr>
    </w:div>
    <w:div w:id="1588539613">
      <w:bodyDiv w:val="1"/>
      <w:marLeft w:val="0"/>
      <w:marRight w:val="0"/>
      <w:marTop w:val="0"/>
      <w:marBottom w:val="0"/>
      <w:divBdr>
        <w:top w:val="none" w:sz="0" w:space="0" w:color="auto"/>
        <w:left w:val="none" w:sz="0" w:space="0" w:color="auto"/>
        <w:bottom w:val="none" w:sz="0" w:space="0" w:color="auto"/>
        <w:right w:val="none" w:sz="0" w:space="0" w:color="auto"/>
      </w:divBdr>
    </w:div>
    <w:div w:id="1590500673">
      <w:bodyDiv w:val="1"/>
      <w:marLeft w:val="0"/>
      <w:marRight w:val="0"/>
      <w:marTop w:val="0"/>
      <w:marBottom w:val="0"/>
      <w:divBdr>
        <w:top w:val="none" w:sz="0" w:space="0" w:color="auto"/>
        <w:left w:val="none" w:sz="0" w:space="0" w:color="auto"/>
        <w:bottom w:val="none" w:sz="0" w:space="0" w:color="auto"/>
        <w:right w:val="none" w:sz="0" w:space="0" w:color="auto"/>
      </w:divBdr>
    </w:div>
    <w:div w:id="1593007693">
      <w:bodyDiv w:val="1"/>
      <w:marLeft w:val="0"/>
      <w:marRight w:val="0"/>
      <w:marTop w:val="0"/>
      <w:marBottom w:val="0"/>
      <w:divBdr>
        <w:top w:val="none" w:sz="0" w:space="0" w:color="auto"/>
        <w:left w:val="none" w:sz="0" w:space="0" w:color="auto"/>
        <w:bottom w:val="none" w:sz="0" w:space="0" w:color="auto"/>
        <w:right w:val="none" w:sz="0" w:space="0" w:color="auto"/>
      </w:divBdr>
    </w:div>
    <w:div w:id="1602688590">
      <w:bodyDiv w:val="1"/>
      <w:marLeft w:val="0"/>
      <w:marRight w:val="0"/>
      <w:marTop w:val="0"/>
      <w:marBottom w:val="0"/>
      <w:divBdr>
        <w:top w:val="none" w:sz="0" w:space="0" w:color="auto"/>
        <w:left w:val="none" w:sz="0" w:space="0" w:color="auto"/>
        <w:bottom w:val="none" w:sz="0" w:space="0" w:color="auto"/>
        <w:right w:val="none" w:sz="0" w:space="0" w:color="auto"/>
      </w:divBdr>
    </w:div>
    <w:div w:id="1615988743">
      <w:bodyDiv w:val="1"/>
      <w:marLeft w:val="0"/>
      <w:marRight w:val="0"/>
      <w:marTop w:val="0"/>
      <w:marBottom w:val="0"/>
      <w:divBdr>
        <w:top w:val="none" w:sz="0" w:space="0" w:color="auto"/>
        <w:left w:val="none" w:sz="0" w:space="0" w:color="auto"/>
        <w:bottom w:val="none" w:sz="0" w:space="0" w:color="auto"/>
        <w:right w:val="none" w:sz="0" w:space="0" w:color="auto"/>
      </w:divBdr>
    </w:div>
    <w:div w:id="1647398627">
      <w:bodyDiv w:val="1"/>
      <w:marLeft w:val="0"/>
      <w:marRight w:val="0"/>
      <w:marTop w:val="0"/>
      <w:marBottom w:val="0"/>
      <w:divBdr>
        <w:top w:val="none" w:sz="0" w:space="0" w:color="auto"/>
        <w:left w:val="none" w:sz="0" w:space="0" w:color="auto"/>
        <w:bottom w:val="none" w:sz="0" w:space="0" w:color="auto"/>
        <w:right w:val="none" w:sz="0" w:space="0" w:color="auto"/>
      </w:divBdr>
    </w:div>
    <w:div w:id="1726296596">
      <w:bodyDiv w:val="1"/>
      <w:marLeft w:val="0"/>
      <w:marRight w:val="0"/>
      <w:marTop w:val="0"/>
      <w:marBottom w:val="0"/>
      <w:divBdr>
        <w:top w:val="none" w:sz="0" w:space="0" w:color="auto"/>
        <w:left w:val="none" w:sz="0" w:space="0" w:color="auto"/>
        <w:bottom w:val="none" w:sz="0" w:space="0" w:color="auto"/>
        <w:right w:val="none" w:sz="0" w:space="0" w:color="auto"/>
      </w:divBdr>
    </w:div>
    <w:div w:id="1763836313">
      <w:bodyDiv w:val="1"/>
      <w:marLeft w:val="0"/>
      <w:marRight w:val="0"/>
      <w:marTop w:val="0"/>
      <w:marBottom w:val="0"/>
      <w:divBdr>
        <w:top w:val="none" w:sz="0" w:space="0" w:color="auto"/>
        <w:left w:val="none" w:sz="0" w:space="0" w:color="auto"/>
        <w:bottom w:val="none" w:sz="0" w:space="0" w:color="auto"/>
        <w:right w:val="none" w:sz="0" w:space="0" w:color="auto"/>
      </w:divBdr>
    </w:div>
    <w:div w:id="1766925499">
      <w:bodyDiv w:val="1"/>
      <w:marLeft w:val="0"/>
      <w:marRight w:val="0"/>
      <w:marTop w:val="0"/>
      <w:marBottom w:val="0"/>
      <w:divBdr>
        <w:top w:val="none" w:sz="0" w:space="0" w:color="auto"/>
        <w:left w:val="none" w:sz="0" w:space="0" w:color="auto"/>
        <w:bottom w:val="none" w:sz="0" w:space="0" w:color="auto"/>
        <w:right w:val="none" w:sz="0" w:space="0" w:color="auto"/>
      </w:divBdr>
    </w:div>
    <w:div w:id="1770389742">
      <w:bodyDiv w:val="1"/>
      <w:marLeft w:val="0"/>
      <w:marRight w:val="0"/>
      <w:marTop w:val="0"/>
      <w:marBottom w:val="0"/>
      <w:divBdr>
        <w:top w:val="none" w:sz="0" w:space="0" w:color="auto"/>
        <w:left w:val="none" w:sz="0" w:space="0" w:color="auto"/>
        <w:bottom w:val="none" w:sz="0" w:space="0" w:color="auto"/>
        <w:right w:val="none" w:sz="0" w:space="0" w:color="auto"/>
      </w:divBdr>
    </w:div>
    <w:div w:id="1777604299">
      <w:bodyDiv w:val="1"/>
      <w:marLeft w:val="0"/>
      <w:marRight w:val="0"/>
      <w:marTop w:val="0"/>
      <w:marBottom w:val="0"/>
      <w:divBdr>
        <w:top w:val="none" w:sz="0" w:space="0" w:color="auto"/>
        <w:left w:val="none" w:sz="0" w:space="0" w:color="auto"/>
        <w:bottom w:val="none" w:sz="0" w:space="0" w:color="auto"/>
        <w:right w:val="none" w:sz="0" w:space="0" w:color="auto"/>
      </w:divBdr>
      <w:divsChild>
        <w:div w:id="309595550">
          <w:marLeft w:val="547"/>
          <w:marRight w:val="0"/>
          <w:marTop w:val="115"/>
          <w:marBottom w:val="0"/>
          <w:divBdr>
            <w:top w:val="none" w:sz="0" w:space="0" w:color="auto"/>
            <w:left w:val="none" w:sz="0" w:space="0" w:color="auto"/>
            <w:bottom w:val="none" w:sz="0" w:space="0" w:color="auto"/>
            <w:right w:val="none" w:sz="0" w:space="0" w:color="auto"/>
          </w:divBdr>
        </w:div>
      </w:divsChild>
    </w:div>
    <w:div w:id="1778330271">
      <w:bodyDiv w:val="1"/>
      <w:marLeft w:val="0"/>
      <w:marRight w:val="0"/>
      <w:marTop w:val="0"/>
      <w:marBottom w:val="0"/>
      <w:divBdr>
        <w:top w:val="none" w:sz="0" w:space="0" w:color="auto"/>
        <w:left w:val="none" w:sz="0" w:space="0" w:color="auto"/>
        <w:bottom w:val="none" w:sz="0" w:space="0" w:color="auto"/>
        <w:right w:val="none" w:sz="0" w:space="0" w:color="auto"/>
      </w:divBdr>
    </w:div>
    <w:div w:id="1780948651">
      <w:bodyDiv w:val="1"/>
      <w:marLeft w:val="0"/>
      <w:marRight w:val="0"/>
      <w:marTop w:val="0"/>
      <w:marBottom w:val="0"/>
      <w:divBdr>
        <w:top w:val="none" w:sz="0" w:space="0" w:color="auto"/>
        <w:left w:val="none" w:sz="0" w:space="0" w:color="auto"/>
        <w:bottom w:val="none" w:sz="0" w:space="0" w:color="auto"/>
        <w:right w:val="none" w:sz="0" w:space="0" w:color="auto"/>
      </w:divBdr>
    </w:div>
    <w:div w:id="1781338008">
      <w:bodyDiv w:val="1"/>
      <w:marLeft w:val="0"/>
      <w:marRight w:val="0"/>
      <w:marTop w:val="0"/>
      <w:marBottom w:val="0"/>
      <w:divBdr>
        <w:top w:val="none" w:sz="0" w:space="0" w:color="auto"/>
        <w:left w:val="none" w:sz="0" w:space="0" w:color="auto"/>
        <w:bottom w:val="none" w:sz="0" w:space="0" w:color="auto"/>
        <w:right w:val="none" w:sz="0" w:space="0" w:color="auto"/>
      </w:divBdr>
    </w:div>
    <w:div w:id="1823426755">
      <w:bodyDiv w:val="1"/>
      <w:marLeft w:val="0"/>
      <w:marRight w:val="0"/>
      <w:marTop w:val="0"/>
      <w:marBottom w:val="0"/>
      <w:divBdr>
        <w:top w:val="none" w:sz="0" w:space="0" w:color="auto"/>
        <w:left w:val="none" w:sz="0" w:space="0" w:color="auto"/>
        <w:bottom w:val="none" w:sz="0" w:space="0" w:color="auto"/>
        <w:right w:val="none" w:sz="0" w:space="0" w:color="auto"/>
      </w:divBdr>
    </w:div>
    <w:div w:id="1854300273">
      <w:bodyDiv w:val="1"/>
      <w:marLeft w:val="0"/>
      <w:marRight w:val="0"/>
      <w:marTop w:val="0"/>
      <w:marBottom w:val="0"/>
      <w:divBdr>
        <w:top w:val="none" w:sz="0" w:space="0" w:color="auto"/>
        <w:left w:val="none" w:sz="0" w:space="0" w:color="auto"/>
        <w:bottom w:val="none" w:sz="0" w:space="0" w:color="auto"/>
        <w:right w:val="none" w:sz="0" w:space="0" w:color="auto"/>
      </w:divBdr>
    </w:div>
    <w:div w:id="1903129188">
      <w:bodyDiv w:val="1"/>
      <w:marLeft w:val="0"/>
      <w:marRight w:val="0"/>
      <w:marTop w:val="0"/>
      <w:marBottom w:val="0"/>
      <w:divBdr>
        <w:top w:val="none" w:sz="0" w:space="0" w:color="auto"/>
        <w:left w:val="none" w:sz="0" w:space="0" w:color="auto"/>
        <w:bottom w:val="none" w:sz="0" w:space="0" w:color="auto"/>
        <w:right w:val="none" w:sz="0" w:space="0" w:color="auto"/>
      </w:divBdr>
      <w:divsChild>
        <w:div w:id="857812904">
          <w:marLeft w:val="0"/>
          <w:marRight w:val="0"/>
          <w:marTop w:val="0"/>
          <w:marBottom w:val="0"/>
          <w:divBdr>
            <w:top w:val="none" w:sz="0" w:space="0" w:color="auto"/>
            <w:left w:val="none" w:sz="0" w:space="0" w:color="auto"/>
            <w:bottom w:val="none" w:sz="0" w:space="0" w:color="auto"/>
            <w:right w:val="none" w:sz="0" w:space="0" w:color="auto"/>
          </w:divBdr>
        </w:div>
        <w:div w:id="1608153259">
          <w:marLeft w:val="0"/>
          <w:marRight w:val="0"/>
          <w:marTop w:val="0"/>
          <w:marBottom w:val="0"/>
          <w:divBdr>
            <w:top w:val="none" w:sz="0" w:space="0" w:color="auto"/>
            <w:left w:val="none" w:sz="0" w:space="0" w:color="auto"/>
            <w:bottom w:val="none" w:sz="0" w:space="0" w:color="auto"/>
            <w:right w:val="none" w:sz="0" w:space="0" w:color="auto"/>
          </w:divBdr>
        </w:div>
      </w:divsChild>
    </w:div>
    <w:div w:id="1916821173">
      <w:bodyDiv w:val="1"/>
      <w:marLeft w:val="0"/>
      <w:marRight w:val="0"/>
      <w:marTop w:val="0"/>
      <w:marBottom w:val="0"/>
      <w:divBdr>
        <w:top w:val="none" w:sz="0" w:space="0" w:color="auto"/>
        <w:left w:val="none" w:sz="0" w:space="0" w:color="auto"/>
        <w:bottom w:val="none" w:sz="0" w:space="0" w:color="auto"/>
        <w:right w:val="none" w:sz="0" w:space="0" w:color="auto"/>
      </w:divBdr>
    </w:div>
    <w:div w:id="1927572326">
      <w:bodyDiv w:val="1"/>
      <w:marLeft w:val="0"/>
      <w:marRight w:val="0"/>
      <w:marTop w:val="0"/>
      <w:marBottom w:val="0"/>
      <w:divBdr>
        <w:top w:val="none" w:sz="0" w:space="0" w:color="auto"/>
        <w:left w:val="none" w:sz="0" w:space="0" w:color="auto"/>
        <w:bottom w:val="none" w:sz="0" w:space="0" w:color="auto"/>
        <w:right w:val="none" w:sz="0" w:space="0" w:color="auto"/>
      </w:divBdr>
    </w:div>
    <w:div w:id="1927953582">
      <w:bodyDiv w:val="1"/>
      <w:marLeft w:val="0"/>
      <w:marRight w:val="0"/>
      <w:marTop w:val="0"/>
      <w:marBottom w:val="0"/>
      <w:divBdr>
        <w:top w:val="none" w:sz="0" w:space="0" w:color="auto"/>
        <w:left w:val="none" w:sz="0" w:space="0" w:color="auto"/>
        <w:bottom w:val="none" w:sz="0" w:space="0" w:color="auto"/>
        <w:right w:val="none" w:sz="0" w:space="0" w:color="auto"/>
      </w:divBdr>
      <w:divsChild>
        <w:div w:id="377125324">
          <w:marLeft w:val="0"/>
          <w:marRight w:val="0"/>
          <w:marTop w:val="0"/>
          <w:marBottom w:val="0"/>
          <w:divBdr>
            <w:top w:val="none" w:sz="0" w:space="0" w:color="auto"/>
            <w:left w:val="none" w:sz="0" w:space="0" w:color="auto"/>
            <w:bottom w:val="none" w:sz="0" w:space="0" w:color="auto"/>
            <w:right w:val="none" w:sz="0" w:space="0" w:color="auto"/>
          </w:divBdr>
        </w:div>
        <w:div w:id="624192139">
          <w:marLeft w:val="0"/>
          <w:marRight w:val="0"/>
          <w:marTop w:val="0"/>
          <w:marBottom w:val="0"/>
          <w:divBdr>
            <w:top w:val="none" w:sz="0" w:space="0" w:color="auto"/>
            <w:left w:val="none" w:sz="0" w:space="0" w:color="auto"/>
            <w:bottom w:val="none" w:sz="0" w:space="0" w:color="auto"/>
            <w:right w:val="none" w:sz="0" w:space="0" w:color="auto"/>
          </w:divBdr>
        </w:div>
        <w:div w:id="640429435">
          <w:marLeft w:val="0"/>
          <w:marRight w:val="0"/>
          <w:marTop w:val="0"/>
          <w:marBottom w:val="0"/>
          <w:divBdr>
            <w:top w:val="none" w:sz="0" w:space="0" w:color="auto"/>
            <w:left w:val="none" w:sz="0" w:space="0" w:color="auto"/>
            <w:bottom w:val="none" w:sz="0" w:space="0" w:color="auto"/>
            <w:right w:val="none" w:sz="0" w:space="0" w:color="auto"/>
          </w:divBdr>
        </w:div>
        <w:div w:id="975453289">
          <w:marLeft w:val="0"/>
          <w:marRight w:val="0"/>
          <w:marTop w:val="0"/>
          <w:marBottom w:val="0"/>
          <w:divBdr>
            <w:top w:val="none" w:sz="0" w:space="0" w:color="auto"/>
            <w:left w:val="none" w:sz="0" w:space="0" w:color="auto"/>
            <w:bottom w:val="none" w:sz="0" w:space="0" w:color="auto"/>
            <w:right w:val="none" w:sz="0" w:space="0" w:color="auto"/>
          </w:divBdr>
        </w:div>
        <w:div w:id="1003820000">
          <w:marLeft w:val="0"/>
          <w:marRight w:val="0"/>
          <w:marTop w:val="0"/>
          <w:marBottom w:val="0"/>
          <w:divBdr>
            <w:top w:val="none" w:sz="0" w:space="0" w:color="auto"/>
            <w:left w:val="none" w:sz="0" w:space="0" w:color="auto"/>
            <w:bottom w:val="none" w:sz="0" w:space="0" w:color="auto"/>
            <w:right w:val="none" w:sz="0" w:space="0" w:color="auto"/>
          </w:divBdr>
        </w:div>
        <w:div w:id="1334383011">
          <w:marLeft w:val="0"/>
          <w:marRight w:val="0"/>
          <w:marTop w:val="0"/>
          <w:marBottom w:val="0"/>
          <w:divBdr>
            <w:top w:val="none" w:sz="0" w:space="0" w:color="auto"/>
            <w:left w:val="none" w:sz="0" w:space="0" w:color="auto"/>
            <w:bottom w:val="none" w:sz="0" w:space="0" w:color="auto"/>
            <w:right w:val="none" w:sz="0" w:space="0" w:color="auto"/>
          </w:divBdr>
        </w:div>
        <w:div w:id="1345206507">
          <w:marLeft w:val="0"/>
          <w:marRight w:val="0"/>
          <w:marTop w:val="0"/>
          <w:marBottom w:val="0"/>
          <w:divBdr>
            <w:top w:val="none" w:sz="0" w:space="0" w:color="auto"/>
            <w:left w:val="none" w:sz="0" w:space="0" w:color="auto"/>
            <w:bottom w:val="none" w:sz="0" w:space="0" w:color="auto"/>
            <w:right w:val="none" w:sz="0" w:space="0" w:color="auto"/>
          </w:divBdr>
        </w:div>
        <w:div w:id="2008287018">
          <w:marLeft w:val="0"/>
          <w:marRight w:val="0"/>
          <w:marTop w:val="0"/>
          <w:marBottom w:val="0"/>
          <w:divBdr>
            <w:top w:val="none" w:sz="0" w:space="0" w:color="auto"/>
            <w:left w:val="none" w:sz="0" w:space="0" w:color="auto"/>
            <w:bottom w:val="none" w:sz="0" w:space="0" w:color="auto"/>
            <w:right w:val="none" w:sz="0" w:space="0" w:color="auto"/>
          </w:divBdr>
        </w:div>
      </w:divsChild>
    </w:div>
    <w:div w:id="1935936323">
      <w:bodyDiv w:val="1"/>
      <w:marLeft w:val="0"/>
      <w:marRight w:val="0"/>
      <w:marTop w:val="0"/>
      <w:marBottom w:val="0"/>
      <w:divBdr>
        <w:top w:val="none" w:sz="0" w:space="0" w:color="auto"/>
        <w:left w:val="none" w:sz="0" w:space="0" w:color="auto"/>
        <w:bottom w:val="none" w:sz="0" w:space="0" w:color="auto"/>
        <w:right w:val="none" w:sz="0" w:space="0" w:color="auto"/>
      </w:divBdr>
    </w:div>
    <w:div w:id="1959874489">
      <w:bodyDiv w:val="1"/>
      <w:marLeft w:val="0"/>
      <w:marRight w:val="0"/>
      <w:marTop w:val="0"/>
      <w:marBottom w:val="0"/>
      <w:divBdr>
        <w:top w:val="none" w:sz="0" w:space="0" w:color="auto"/>
        <w:left w:val="none" w:sz="0" w:space="0" w:color="auto"/>
        <w:bottom w:val="none" w:sz="0" w:space="0" w:color="auto"/>
        <w:right w:val="none" w:sz="0" w:space="0" w:color="auto"/>
      </w:divBdr>
      <w:divsChild>
        <w:div w:id="916788641">
          <w:marLeft w:val="0"/>
          <w:marRight w:val="0"/>
          <w:marTop w:val="0"/>
          <w:marBottom w:val="0"/>
          <w:divBdr>
            <w:top w:val="none" w:sz="0" w:space="0" w:color="auto"/>
            <w:left w:val="none" w:sz="0" w:space="0" w:color="auto"/>
            <w:bottom w:val="none" w:sz="0" w:space="0" w:color="auto"/>
            <w:right w:val="none" w:sz="0" w:space="0" w:color="auto"/>
          </w:divBdr>
        </w:div>
        <w:div w:id="1085764802">
          <w:marLeft w:val="0"/>
          <w:marRight w:val="0"/>
          <w:marTop w:val="0"/>
          <w:marBottom w:val="0"/>
          <w:divBdr>
            <w:top w:val="none" w:sz="0" w:space="0" w:color="auto"/>
            <w:left w:val="none" w:sz="0" w:space="0" w:color="auto"/>
            <w:bottom w:val="none" w:sz="0" w:space="0" w:color="auto"/>
            <w:right w:val="none" w:sz="0" w:space="0" w:color="auto"/>
          </w:divBdr>
        </w:div>
        <w:div w:id="1507864078">
          <w:marLeft w:val="0"/>
          <w:marRight w:val="0"/>
          <w:marTop w:val="0"/>
          <w:marBottom w:val="0"/>
          <w:divBdr>
            <w:top w:val="none" w:sz="0" w:space="0" w:color="auto"/>
            <w:left w:val="none" w:sz="0" w:space="0" w:color="auto"/>
            <w:bottom w:val="none" w:sz="0" w:space="0" w:color="auto"/>
            <w:right w:val="none" w:sz="0" w:space="0" w:color="auto"/>
          </w:divBdr>
        </w:div>
      </w:divsChild>
    </w:div>
    <w:div w:id="1994404322">
      <w:bodyDiv w:val="1"/>
      <w:marLeft w:val="0"/>
      <w:marRight w:val="0"/>
      <w:marTop w:val="0"/>
      <w:marBottom w:val="0"/>
      <w:divBdr>
        <w:top w:val="none" w:sz="0" w:space="0" w:color="auto"/>
        <w:left w:val="none" w:sz="0" w:space="0" w:color="auto"/>
        <w:bottom w:val="none" w:sz="0" w:space="0" w:color="auto"/>
        <w:right w:val="none" w:sz="0" w:space="0" w:color="auto"/>
      </w:divBdr>
    </w:div>
    <w:div w:id="2009550112">
      <w:bodyDiv w:val="1"/>
      <w:marLeft w:val="0"/>
      <w:marRight w:val="0"/>
      <w:marTop w:val="0"/>
      <w:marBottom w:val="0"/>
      <w:divBdr>
        <w:top w:val="none" w:sz="0" w:space="0" w:color="auto"/>
        <w:left w:val="none" w:sz="0" w:space="0" w:color="auto"/>
        <w:bottom w:val="none" w:sz="0" w:space="0" w:color="auto"/>
        <w:right w:val="none" w:sz="0" w:space="0" w:color="auto"/>
      </w:divBdr>
    </w:div>
    <w:div w:id="2012559825">
      <w:bodyDiv w:val="1"/>
      <w:marLeft w:val="0"/>
      <w:marRight w:val="0"/>
      <w:marTop w:val="0"/>
      <w:marBottom w:val="0"/>
      <w:divBdr>
        <w:top w:val="none" w:sz="0" w:space="0" w:color="auto"/>
        <w:left w:val="none" w:sz="0" w:space="0" w:color="auto"/>
        <w:bottom w:val="none" w:sz="0" w:space="0" w:color="auto"/>
        <w:right w:val="none" w:sz="0" w:space="0" w:color="auto"/>
      </w:divBdr>
    </w:div>
    <w:div w:id="2022471655">
      <w:bodyDiv w:val="1"/>
      <w:marLeft w:val="0"/>
      <w:marRight w:val="0"/>
      <w:marTop w:val="0"/>
      <w:marBottom w:val="0"/>
      <w:divBdr>
        <w:top w:val="none" w:sz="0" w:space="0" w:color="auto"/>
        <w:left w:val="none" w:sz="0" w:space="0" w:color="auto"/>
        <w:bottom w:val="none" w:sz="0" w:space="0" w:color="auto"/>
        <w:right w:val="none" w:sz="0" w:space="0" w:color="auto"/>
      </w:divBdr>
      <w:divsChild>
        <w:div w:id="135995657">
          <w:marLeft w:val="0"/>
          <w:marRight w:val="0"/>
          <w:marTop w:val="0"/>
          <w:marBottom w:val="0"/>
          <w:divBdr>
            <w:top w:val="none" w:sz="0" w:space="0" w:color="auto"/>
            <w:left w:val="none" w:sz="0" w:space="0" w:color="auto"/>
            <w:bottom w:val="none" w:sz="0" w:space="0" w:color="auto"/>
            <w:right w:val="none" w:sz="0" w:space="0" w:color="auto"/>
          </w:divBdr>
        </w:div>
        <w:div w:id="450172367">
          <w:marLeft w:val="0"/>
          <w:marRight w:val="0"/>
          <w:marTop w:val="0"/>
          <w:marBottom w:val="0"/>
          <w:divBdr>
            <w:top w:val="none" w:sz="0" w:space="0" w:color="auto"/>
            <w:left w:val="none" w:sz="0" w:space="0" w:color="auto"/>
            <w:bottom w:val="none" w:sz="0" w:space="0" w:color="auto"/>
            <w:right w:val="none" w:sz="0" w:space="0" w:color="auto"/>
          </w:divBdr>
        </w:div>
        <w:div w:id="547883517">
          <w:marLeft w:val="0"/>
          <w:marRight w:val="0"/>
          <w:marTop w:val="0"/>
          <w:marBottom w:val="0"/>
          <w:divBdr>
            <w:top w:val="none" w:sz="0" w:space="0" w:color="auto"/>
            <w:left w:val="none" w:sz="0" w:space="0" w:color="auto"/>
            <w:bottom w:val="none" w:sz="0" w:space="0" w:color="auto"/>
            <w:right w:val="none" w:sz="0" w:space="0" w:color="auto"/>
          </w:divBdr>
        </w:div>
        <w:div w:id="655647871">
          <w:marLeft w:val="0"/>
          <w:marRight w:val="0"/>
          <w:marTop w:val="0"/>
          <w:marBottom w:val="0"/>
          <w:divBdr>
            <w:top w:val="none" w:sz="0" w:space="0" w:color="auto"/>
            <w:left w:val="none" w:sz="0" w:space="0" w:color="auto"/>
            <w:bottom w:val="none" w:sz="0" w:space="0" w:color="auto"/>
            <w:right w:val="none" w:sz="0" w:space="0" w:color="auto"/>
          </w:divBdr>
        </w:div>
        <w:div w:id="894051528">
          <w:marLeft w:val="0"/>
          <w:marRight w:val="0"/>
          <w:marTop w:val="0"/>
          <w:marBottom w:val="0"/>
          <w:divBdr>
            <w:top w:val="none" w:sz="0" w:space="0" w:color="auto"/>
            <w:left w:val="none" w:sz="0" w:space="0" w:color="auto"/>
            <w:bottom w:val="none" w:sz="0" w:space="0" w:color="auto"/>
            <w:right w:val="none" w:sz="0" w:space="0" w:color="auto"/>
          </w:divBdr>
        </w:div>
        <w:div w:id="915629271">
          <w:marLeft w:val="0"/>
          <w:marRight w:val="0"/>
          <w:marTop w:val="0"/>
          <w:marBottom w:val="0"/>
          <w:divBdr>
            <w:top w:val="none" w:sz="0" w:space="0" w:color="auto"/>
            <w:left w:val="none" w:sz="0" w:space="0" w:color="auto"/>
            <w:bottom w:val="none" w:sz="0" w:space="0" w:color="auto"/>
            <w:right w:val="none" w:sz="0" w:space="0" w:color="auto"/>
          </w:divBdr>
        </w:div>
        <w:div w:id="963845920">
          <w:marLeft w:val="0"/>
          <w:marRight w:val="0"/>
          <w:marTop w:val="0"/>
          <w:marBottom w:val="0"/>
          <w:divBdr>
            <w:top w:val="none" w:sz="0" w:space="0" w:color="auto"/>
            <w:left w:val="none" w:sz="0" w:space="0" w:color="auto"/>
            <w:bottom w:val="none" w:sz="0" w:space="0" w:color="auto"/>
            <w:right w:val="none" w:sz="0" w:space="0" w:color="auto"/>
          </w:divBdr>
        </w:div>
        <w:div w:id="1172338739">
          <w:marLeft w:val="0"/>
          <w:marRight w:val="0"/>
          <w:marTop w:val="0"/>
          <w:marBottom w:val="0"/>
          <w:divBdr>
            <w:top w:val="none" w:sz="0" w:space="0" w:color="auto"/>
            <w:left w:val="none" w:sz="0" w:space="0" w:color="auto"/>
            <w:bottom w:val="none" w:sz="0" w:space="0" w:color="auto"/>
            <w:right w:val="none" w:sz="0" w:space="0" w:color="auto"/>
          </w:divBdr>
        </w:div>
        <w:div w:id="1480726034">
          <w:marLeft w:val="0"/>
          <w:marRight w:val="0"/>
          <w:marTop w:val="0"/>
          <w:marBottom w:val="0"/>
          <w:divBdr>
            <w:top w:val="none" w:sz="0" w:space="0" w:color="auto"/>
            <w:left w:val="none" w:sz="0" w:space="0" w:color="auto"/>
            <w:bottom w:val="none" w:sz="0" w:space="0" w:color="auto"/>
            <w:right w:val="none" w:sz="0" w:space="0" w:color="auto"/>
          </w:divBdr>
        </w:div>
        <w:div w:id="2078016873">
          <w:marLeft w:val="0"/>
          <w:marRight w:val="0"/>
          <w:marTop w:val="0"/>
          <w:marBottom w:val="0"/>
          <w:divBdr>
            <w:top w:val="none" w:sz="0" w:space="0" w:color="auto"/>
            <w:left w:val="none" w:sz="0" w:space="0" w:color="auto"/>
            <w:bottom w:val="none" w:sz="0" w:space="0" w:color="auto"/>
            <w:right w:val="none" w:sz="0" w:space="0" w:color="auto"/>
          </w:divBdr>
        </w:div>
      </w:divsChild>
    </w:div>
    <w:div w:id="2040351420">
      <w:bodyDiv w:val="1"/>
      <w:marLeft w:val="0"/>
      <w:marRight w:val="0"/>
      <w:marTop w:val="0"/>
      <w:marBottom w:val="0"/>
      <w:divBdr>
        <w:top w:val="none" w:sz="0" w:space="0" w:color="auto"/>
        <w:left w:val="none" w:sz="0" w:space="0" w:color="auto"/>
        <w:bottom w:val="none" w:sz="0" w:space="0" w:color="auto"/>
        <w:right w:val="none" w:sz="0" w:space="0" w:color="auto"/>
      </w:divBdr>
    </w:div>
    <w:div w:id="2045976859">
      <w:bodyDiv w:val="1"/>
      <w:marLeft w:val="0"/>
      <w:marRight w:val="0"/>
      <w:marTop w:val="0"/>
      <w:marBottom w:val="0"/>
      <w:divBdr>
        <w:top w:val="none" w:sz="0" w:space="0" w:color="auto"/>
        <w:left w:val="none" w:sz="0" w:space="0" w:color="auto"/>
        <w:bottom w:val="none" w:sz="0" w:space="0" w:color="auto"/>
        <w:right w:val="none" w:sz="0" w:space="0" w:color="auto"/>
      </w:divBdr>
    </w:div>
    <w:div w:id="2092191763">
      <w:bodyDiv w:val="1"/>
      <w:marLeft w:val="0"/>
      <w:marRight w:val="0"/>
      <w:marTop w:val="0"/>
      <w:marBottom w:val="0"/>
      <w:divBdr>
        <w:top w:val="none" w:sz="0" w:space="0" w:color="auto"/>
        <w:left w:val="none" w:sz="0" w:space="0" w:color="auto"/>
        <w:bottom w:val="none" w:sz="0" w:space="0" w:color="auto"/>
        <w:right w:val="none" w:sz="0" w:space="0" w:color="auto"/>
      </w:divBdr>
    </w:div>
    <w:div w:id="2104257681">
      <w:bodyDiv w:val="1"/>
      <w:marLeft w:val="0"/>
      <w:marRight w:val="0"/>
      <w:marTop w:val="0"/>
      <w:marBottom w:val="0"/>
      <w:divBdr>
        <w:top w:val="none" w:sz="0" w:space="0" w:color="auto"/>
        <w:left w:val="none" w:sz="0" w:space="0" w:color="auto"/>
        <w:bottom w:val="none" w:sz="0" w:space="0" w:color="auto"/>
        <w:right w:val="none" w:sz="0" w:space="0" w:color="auto"/>
      </w:divBdr>
    </w:div>
    <w:div w:id="2113895742">
      <w:bodyDiv w:val="1"/>
      <w:marLeft w:val="0"/>
      <w:marRight w:val="0"/>
      <w:marTop w:val="0"/>
      <w:marBottom w:val="0"/>
      <w:divBdr>
        <w:top w:val="none" w:sz="0" w:space="0" w:color="auto"/>
        <w:left w:val="none" w:sz="0" w:space="0" w:color="auto"/>
        <w:bottom w:val="none" w:sz="0" w:space="0" w:color="auto"/>
        <w:right w:val="none" w:sz="0" w:space="0" w:color="auto"/>
      </w:divBdr>
    </w:div>
    <w:div w:id="2132551034">
      <w:bodyDiv w:val="1"/>
      <w:marLeft w:val="0"/>
      <w:marRight w:val="0"/>
      <w:marTop w:val="0"/>
      <w:marBottom w:val="0"/>
      <w:divBdr>
        <w:top w:val="none" w:sz="0" w:space="0" w:color="auto"/>
        <w:left w:val="none" w:sz="0" w:space="0" w:color="auto"/>
        <w:bottom w:val="none" w:sz="0" w:space="0" w:color="auto"/>
        <w:right w:val="none" w:sz="0" w:space="0" w:color="auto"/>
      </w:divBdr>
      <w:divsChild>
        <w:div w:id="763844068">
          <w:marLeft w:val="0"/>
          <w:marRight w:val="0"/>
          <w:marTop w:val="0"/>
          <w:marBottom w:val="0"/>
          <w:divBdr>
            <w:top w:val="none" w:sz="0" w:space="0" w:color="auto"/>
            <w:left w:val="none" w:sz="0" w:space="0" w:color="auto"/>
            <w:bottom w:val="none" w:sz="0" w:space="0" w:color="auto"/>
            <w:right w:val="none" w:sz="0" w:space="0" w:color="auto"/>
          </w:divBdr>
        </w:div>
        <w:div w:id="924999710">
          <w:marLeft w:val="0"/>
          <w:marRight w:val="0"/>
          <w:marTop w:val="0"/>
          <w:marBottom w:val="0"/>
          <w:divBdr>
            <w:top w:val="none" w:sz="0" w:space="0" w:color="auto"/>
            <w:left w:val="none" w:sz="0" w:space="0" w:color="auto"/>
            <w:bottom w:val="none" w:sz="0" w:space="0" w:color="auto"/>
            <w:right w:val="none" w:sz="0" w:space="0" w:color="auto"/>
          </w:divBdr>
        </w:div>
        <w:div w:id="1199469230">
          <w:marLeft w:val="0"/>
          <w:marRight w:val="0"/>
          <w:marTop w:val="0"/>
          <w:marBottom w:val="0"/>
          <w:divBdr>
            <w:top w:val="none" w:sz="0" w:space="0" w:color="auto"/>
            <w:left w:val="none" w:sz="0" w:space="0" w:color="auto"/>
            <w:bottom w:val="none" w:sz="0" w:space="0" w:color="auto"/>
            <w:right w:val="none" w:sz="0" w:space="0" w:color="auto"/>
          </w:divBdr>
        </w:div>
      </w:divsChild>
    </w:div>
    <w:div w:id="2140954726">
      <w:bodyDiv w:val="1"/>
      <w:marLeft w:val="0"/>
      <w:marRight w:val="0"/>
      <w:marTop w:val="0"/>
      <w:marBottom w:val="0"/>
      <w:divBdr>
        <w:top w:val="none" w:sz="0" w:space="0" w:color="auto"/>
        <w:left w:val="none" w:sz="0" w:space="0" w:color="auto"/>
        <w:bottom w:val="none" w:sz="0" w:space="0" w:color="auto"/>
        <w:right w:val="none" w:sz="0" w:space="0" w:color="auto"/>
      </w:divBdr>
      <w:divsChild>
        <w:div w:id="284846420">
          <w:marLeft w:val="0"/>
          <w:marRight w:val="0"/>
          <w:marTop w:val="0"/>
          <w:marBottom w:val="0"/>
          <w:divBdr>
            <w:top w:val="none" w:sz="0" w:space="0" w:color="auto"/>
            <w:left w:val="none" w:sz="0" w:space="0" w:color="auto"/>
            <w:bottom w:val="none" w:sz="0" w:space="0" w:color="auto"/>
            <w:right w:val="none" w:sz="0" w:space="0" w:color="auto"/>
          </w:divBdr>
        </w:div>
        <w:div w:id="436680049">
          <w:marLeft w:val="0"/>
          <w:marRight w:val="0"/>
          <w:marTop w:val="0"/>
          <w:marBottom w:val="0"/>
          <w:divBdr>
            <w:top w:val="none" w:sz="0" w:space="0" w:color="auto"/>
            <w:left w:val="none" w:sz="0" w:space="0" w:color="auto"/>
            <w:bottom w:val="none" w:sz="0" w:space="0" w:color="auto"/>
            <w:right w:val="none" w:sz="0" w:space="0" w:color="auto"/>
          </w:divBdr>
        </w:div>
        <w:div w:id="917519401">
          <w:marLeft w:val="0"/>
          <w:marRight w:val="0"/>
          <w:marTop w:val="0"/>
          <w:marBottom w:val="0"/>
          <w:divBdr>
            <w:top w:val="none" w:sz="0" w:space="0" w:color="auto"/>
            <w:left w:val="none" w:sz="0" w:space="0" w:color="auto"/>
            <w:bottom w:val="none" w:sz="0" w:space="0" w:color="auto"/>
            <w:right w:val="none" w:sz="0" w:space="0" w:color="auto"/>
          </w:divBdr>
        </w:div>
        <w:div w:id="950622103">
          <w:marLeft w:val="0"/>
          <w:marRight w:val="0"/>
          <w:marTop w:val="0"/>
          <w:marBottom w:val="0"/>
          <w:divBdr>
            <w:top w:val="none" w:sz="0" w:space="0" w:color="auto"/>
            <w:left w:val="none" w:sz="0" w:space="0" w:color="auto"/>
            <w:bottom w:val="none" w:sz="0" w:space="0" w:color="auto"/>
            <w:right w:val="none" w:sz="0" w:space="0" w:color="auto"/>
          </w:divBdr>
        </w:div>
        <w:div w:id="1467896824">
          <w:marLeft w:val="0"/>
          <w:marRight w:val="0"/>
          <w:marTop w:val="0"/>
          <w:marBottom w:val="0"/>
          <w:divBdr>
            <w:top w:val="none" w:sz="0" w:space="0" w:color="auto"/>
            <w:left w:val="none" w:sz="0" w:space="0" w:color="auto"/>
            <w:bottom w:val="none" w:sz="0" w:space="0" w:color="auto"/>
            <w:right w:val="none" w:sz="0" w:space="0" w:color="auto"/>
          </w:divBdr>
        </w:div>
        <w:div w:id="19802570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otc.org/sites/default/files/documents/2025/08/IOTC-2025-WPB23-04-_S29.pdf" TargetMode="External"/><Relationship Id="rId21" Type="http://schemas.openxmlformats.org/officeDocument/2006/relationships/hyperlink" Target="https://iotc.org/sites/default/files/documents/2025/08/IOTC-2025-WPB23-03-SC27.pdf" TargetMode="External"/><Relationship Id="rId42" Type="http://schemas.openxmlformats.org/officeDocument/2006/relationships/hyperlink" Target="https://iotc.org/sites/default/files/documents/2025/09/IOTC-2025-WPB23-15-Indonesian_BUM_CPUE.pdf" TargetMode="External"/><Relationship Id="rId47" Type="http://schemas.openxmlformats.org/officeDocument/2006/relationships/hyperlink" Target="https://iotc.org/sites/default/files/documents/2025/09/IOTC-2025-WPB23-19-BUM_SS3.pdf" TargetMode="External"/><Relationship Id="rId63" Type="http://schemas.openxmlformats.org/officeDocument/2006/relationships/hyperlink" Target="mailto:Emmanel.Chassot@fao.org" TargetMode="External"/><Relationship Id="rId68" Type="http://schemas.openxmlformats.org/officeDocument/2006/relationships/hyperlink" Target="mailto:Lucia.Pierre@fao.org" TargetMode="External"/><Relationship Id="rId84" Type="http://schemas.openxmlformats.org/officeDocument/2006/relationships/image" Target="media/image17.png"/><Relationship Id="rId89" Type="http://schemas.openxmlformats.org/officeDocument/2006/relationships/image" Target="media/image21.png"/><Relationship Id="rId16" Type="http://schemas.openxmlformats.org/officeDocument/2006/relationships/header" Target="header1.xml"/><Relationship Id="rId11" Type="http://schemas.openxmlformats.org/officeDocument/2006/relationships/image" Target="media/image1.png"/><Relationship Id="rId32" Type="http://schemas.openxmlformats.org/officeDocument/2006/relationships/hyperlink" Target="https://iotc.org/documents/review-statistical-data-available-indian-ocean-striped-marlin-1950-2023" TargetMode="External"/><Relationship Id="rId37" Type="http://schemas.openxmlformats.org/officeDocument/2006/relationships/hyperlink" Target="https://iotc.org/sites/default/files/documents/2025/09/IOTC-2025-WPB23-10-India.pdf" TargetMode="External"/><Relationship Id="rId53" Type="http://schemas.openxmlformats.org/officeDocument/2006/relationships/hyperlink" Target="https://iotc.org/sites/default/files/documents/2025/09/IOTC-2025-WPB23-21-SWO_exceptional_circumstances.pdf" TargetMode="External"/><Relationship Id="rId58" Type="http://schemas.openxmlformats.org/officeDocument/2006/relationships/hyperlink" Target="https://iotc.org/sites/default/files/documents/2025/08/IOTC-2025-WPB23-08-PoW.pdf" TargetMode="External"/><Relationship Id="rId74" Type="http://schemas.openxmlformats.org/officeDocument/2006/relationships/image" Target="media/image9.png"/><Relationship Id="rId79" Type="http://schemas.openxmlformats.org/officeDocument/2006/relationships/image" Target="media/image13.png"/><Relationship Id="rId102" Type="http://schemas.openxmlformats.org/officeDocument/2006/relationships/fontTable" Target="fontTable.xml"/><Relationship Id="rId5" Type="http://schemas.openxmlformats.org/officeDocument/2006/relationships/numbering" Target="numbering.xml"/><Relationship Id="rId90" Type="http://schemas.openxmlformats.org/officeDocument/2006/relationships/image" Target="media/image22.png"/><Relationship Id="rId95" Type="http://schemas.openxmlformats.org/officeDocument/2006/relationships/hyperlink" Target="https://www.iotc.org/cmm/resolution-1510-target-and-limit-reference-points-and-decision-framework" TargetMode="External"/><Relationship Id="rId22" Type="http://schemas.openxmlformats.org/officeDocument/2006/relationships/hyperlink" Target="https://iotc.org/documents/report-22nd-session-iotc-working-party-billfish" TargetMode="External"/><Relationship Id="rId27" Type="http://schemas.openxmlformats.org/officeDocument/2006/relationships/hyperlink" Target="https://iotc.org/sites/default/files/documents/2025/08/IOTC-2025-WPB23-05-CMMs.pdf" TargetMode="External"/><Relationship Id="rId43" Type="http://schemas.openxmlformats.org/officeDocument/2006/relationships/hyperlink" Target="https://iotc.org/sites/default/files/documents/2025/08/IOTC-2025-WPB23-16-JPN_BUM_CPUE.pdf" TargetMode="External"/><Relationship Id="rId48" Type="http://schemas.openxmlformats.org/officeDocument/2006/relationships/hyperlink" Target="https://iotc.org/sites/default/files/documents/2025/09/IOTC-2025-WPB23-18-BUM_JABBA.pdf" TargetMode="External"/><Relationship Id="rId64" Type="http://schemas.openxmlformats.org/officeDocument/2006/relationships/hyperlink" Target="mailto:Sphia.Chirico@fao.org" TargetMode="External"/><Relationship Id="rId69" Type="http://schemas.openxmlformats.org/officeDocument/2006/relationships/hyperlink" Target="mailto:wsp@mail.ntou.edu.tw" TargetMode="External"/><Relationship Id="rId80" Type="http://schemas.openxmlformats.org/officeDocument/2006/relationships/image" Target="media/image14.png"/><Relationship Id="rId85" Type="http://schemas.openxmlformats.org/officeDocument/2006/relationships/image" Target="media/image18.png"/><Relationship Id="rId12" Type="http://schemas.openxmlformats.org/officeDocument/2006/relationships/hyperlink" Target="mailto:secretariat@iotc.org" TargetMode="External"/><Relationship Id="rId17" Type="http://schemas.openxmlformats.org/officeDocument/2006/relationships/footer" Target="footer1.xml"/><Relationship Id="rId25" Type="http://schemas.openxmlformats.org/officeDocument/2006/relationships/hyperlink" Target="https://www.iotc.org/cmm/resolution-1805-management-measures-conservation-billfishes-striped-marlin-black-marlin-blue" TargetMode="External"/><Relationship Id="rId33" Type="http://schemas.openxmlformats.org/officeDocument/2006/relationships/hyperlink" Target="https://iotc.org/documents/review-statistical-data-available-indian-ocean-indo-pacific-sailfish-1950-2023" TargetMode="External"/><Relationship Id="rId38" Type="http://schemas.openxmlformats.org/officeDocument/2006/relationships/hyperlink" Target="https://iotc.org/sites/default/files/documents/2025/08/IOTC-2025-WPB23-11-Thailand.pdf" TargetMode="External"/><Relationship Id="rId46" Type="http://schemas.openxmlformats.org/officeDocument/2006/relationships/hyperlink" Target="https://iotc.org/sites/default/files/documents/2025/08/IOTC-2025-WPB23-16-JPN_BUM_CPUE.pdf" TargetMode="External"/><Relationship Id="rId59" Type="http://schemas.openxmlformats.org/officeDocument/2006/relationships/header" Target="header3.xml"/><Relationship Id="rId67" Type="http://schemas.openxmlformats.org/officeDocument/2006/relationships/hyperlink" Target="mailto:Genevieve.Philipps@fao.org" TargetMode="External"/><Relationship Id="rId103" Type="http://schemas.openxmlformats.org/officeDocument/2006/relationships/theme" Target="theme/theme1.xml"/><Relationship Id="rId20" Type="http://schemas.openxmlformats.org/officeDocument/2006/relationships/hyperlink" Target="https://www.iotc.org/cmm/resolution-1805-management-measures-conservation-billfishes-striped-marlin-black-marlin-blue" TargetMode="External"/><Relationship Id="rId41" Type="http://schemas.openxmlformats.org/officeDocument/2006/relationships/hyperlink" Target="https://iotc.org/sites/default/files/documents/2025/09/IOTC-2025-WPB23-24-Sailfish_deck_mortality.pdf" TargetMode="External"/><Relationship Id="rId54" Type="http://schemas.openxmlformats.org/officeDocument/2006/relationships/hyperlink" Target="https://iotc.org/sites/default/files/documents/2025/09/IOTC-2025-WPB23-21-SWO_exceptional_circumstances.pdf" TargetMode="External"/><Relationship Id="rId62" Type="http://schemas.openxmlformats.org/officeDocument/2006/relationships/footer" Target="footer4.xml"/><Relationship Id="rId70" Type="http://schemas.openxmlformats.org/officeDocument/2006/relationships/hyperlink" Target="mailto:Catarina.Wor@dfo-mpo.gc.ca" TargetMode="External"/><Relationship Id="rId75" Type="http://schemas.openxmlformats.org/officeDocument/2006/relationships/image" Target="media/image10.png"/><Relationship Id="rId83" Type="http://schemas.openxmlformats.org/officeDocument/2006/relationships/image" Target="media/image16.png"/><Relationship Id="rId88" Type="http://schemas.openxmlformats.org/officeDocument/2006/relationships/image" Target="media/image20.png"/><Relationship Id="rId91" Type="http://schemas.openxmlformats.org/officeDocument/2006/relationships/image" Target="media/image23.png"/><Relationship Id="rId96"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hyperlink" Target="https://www.iotc.org/cmm/resolution-1805-management-measures-conservation-billfishes-striped-marlin-black-marlin-blue" TargetMode="External"/><Relationship Id="rId28" Type="http://schemas.openxmlformats.org/officeDocument/2006/relationships/hyperlink" Target="https://iotc.org/sites/default/files/documents/2025/08/IOTC-2025-WPB23-06-WPB22.pdf" TargetMode="External"/><Relationship Id="rId36" Type="http://schemas.openxmlformats.org/officeDocument/2006/relationships/hyperlink" Target="https://iotc.org/documents/WPDCS/20/16" TargetMode="External"/><Relationship Id="rId49" Type="http://schemas.openxmlformats.org/officeDocument/2006/relationships/image" Target="media/image4.png"/><Relationship Id="rId57" Type="http://schemas.openxmlformats.org/officeDocument/2006/relationships/hyperlink" Target="https://iotc.org/sites/default/files/documents/2025/09/IOTC-2025-WPB23-23-marline_management_options.pdf" TargetMode="External"/><Relationship Id="rId10" Type="http://schemas.openxmlformats.org/officeDocument/2006/relationships/endnotes" Target="endnotes.xml"/><Relationship Id="rId31" Type="http://schemas.openxmlformats.org/officeDocument/2006/relationships/hyperlink" Target="https://iotc.org/documents/review-statistical-data-available-indian-ocean-blue-marlin-1950-2023" TargetMode="External"/><Relationship Id="rId44" Type="http://schemas.openxmlformats.org/officeDocument/2006/relationships/hyperlink" Target="https://iotc.org/sites/default/files/documents/2025/09/IOTC-2025-WPB23-17-TWN_BUM_CPUE.pdf" TargetMode="External"/><Relationship Id="rId52" Type="http://schemas.openxmlformats.org/officeDocument/2006/relationships/hyperlink" Target="https://iotc.org/sites/default/files/documents/2025/08/SWO_stock_structure.pdf" TargetMode="External"/><Relationship Id="rId60" Type="http://schemas.openxmlformats.org/officeDocument/2006/relationships/footer" Target="footer3.xml"/><Relationship Id="rId65" Type="http://schemas.openxmlformats.org/officeDocument/2006/relationships/hyperlink" Target="mailto:Dan.Fu@fao.org" TargetMode="External"/><Relationship Id="rId73" Type="http://schemas.openxmlformats.org/officeDocument/2006/relationships/image" Target="media/image8.png"/><Relationship Id="rId78" Type="http://schemas.openxmlformats.org/officeDocument/2006/relationships/image" Target="media/image12.png"/><Relationship Id="rId81" Type="http://schemas.openxmlformats.org/officeDocument/2006/relationships/image" Target="media/image15.tiff"/><Relationship Id="rId86" Type="http://schemas.openxmlformats.org/officeDocument/2006/relationships/image" Target="media/image19.wmf"/><Relationship Id="rId94" Type="http://schemas.openxmlformats.org/officeDocument/2006/relationships/hyperlink" Target="https://www.iotc.org/cmm/resolution-1805-management-measures-conservation-billfishes-striped-marlin-black-marlin-blue" TargetMode="External"/><Relationship Id="rId99" Type="http://schemas.openxmlformats.org/officeDocument/2006/relationships/header" Target="header5.xml"/><Relationship Id="rId101" Type="http://schemas.openxmlformats.org/officeDocument/2006/relationships/hyperlink" Target="https://iotc.org/sites/default/files/documents/2025/08/IOTC-2025-WPB23-16-JPN_BUM_CPUE.pdf"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www.iotc.org" TargetMode="External"/><Relationship Id="rId18" Type="http://schemas.openxmlformats.org/officeDocument/2006/relationships/header" Target="header2.xml"/><Relationship Id="rId39" Type="http://schemas.openxmlformats.org/officeDocument/2006/relationships/hyperlink" Target="https://iotc.org/sites/default/files/documents/2025/09/IOTC-2025-WPB23-12-Kenya.pdf" TargetMode="External"/><Relationship Id="rId34" Type="http://schemas.openxmlformats.org/officeDocument/2006/relationships/hyperlink" Target="https://iotc.org/documents/review-statistical-data-available-indian-ocean-swordfish-1950-2023" TargetMode="External"/><Relationship Id="rId50" Type="http://schemas.openxmlformats.org/officeDocument/2006/relationships/image" Target="media/image5.png"/><Relationship Id="rId55" Type="http://schemas.openxmlformats.org/officeDocument/2006/relationships/hyperlink" Target="https://iotc.org/sites/default/files/documents/2025/09/IOTC-2025-WPB23-22-South_Africa_SWO_CPUE.pdf" TargetMode="External"/><Relationship Id="rId76" Type="http://schemas.openxmlformats.org/officeDocument/2006/relationships/image" Target="media/image11.emf"/><Relationship Id="rId97" Type="http://schemas.openxmlformats.org/officeDocument/2006/relationships/image" Target="media/image26.png"/><Relationship Id="rId7" Type="http://schemas.openxmlformats.org/officeDocument/2006/relationships/settings" Target="settings.xml"/><Relationship Id="rId71" Type="http://schemas.openxmlformats.org/officeDocument/2006/relationships/image" Target="media/image7.jpeg"/><Relationship Id="rId92" Type="http://schemas.openxmlformats.org/officeDocument/2006/relationships/image" Target="media/image24.emf"/><Relationship Id="rId2" Type="http://schemas.openxmlformats.org/officeDocument/2006/relationships/customXml" Target="../customXml/item2.xml"/><Relationship Id="rId29" Type="http://schemas.openxmlformats.org/officeDocument/2006/relationships/hyperlink" Target="https://iotc.org/documents/review-statistical-data-available-indian-ocean-billfish-species-1950-2023" TargetMode="External"/><Relationship Id="rId24" Type="http://schemas.openxmlformats.org/officeDocument/2006/relationships/hyperlink" Target="https://www.iotc.org/cmm/resolution-1805-management-measures-conservation-billfishes-striped-marlin-black-marlin-blue" TargetMode="External"/><Relationship Id="rId40" Type="http://schemas.openxmlformats.org/officeDocument/2006/relationships/hyperlink" Target="https://iotc.org/sites/default/files/documents/2025/09/IOTC-2025-WPB23-13-Sri_Lanka.pdf" TargetMode="External"/><Relationship Id="rId45" Type="http://schemas.openxmlformats.org/officeDocument/2006/relationships/hyperlink" Target="https://iotc.org/sites/default/files/documents/2014/11/IOTC-2014-SC17-06E_-_Revision_of_the_Guidelines_for_CPUE_and_SA.pdf" TargetMode="External"/><Relationship Id="rId66" Type="http://schemas.openxmlformats.org/officeDocument/2006/relationships/hyperlink" Target="mailto:Lauren.Nelson@fao.org" TargetMode="External"/><Relationship Id="rId87" Type="http://schemas.openxmlformats.org/officeDocument/2006/relationships/hyperlink" Target="https://www.iotc.org/cmm/resolution-1510-target-and-limit-reference-points-and-decision-framework" TargetMode="External"/><Relationship Id="rId61" Type="http://schemas.openxmlformats.org/officeDocument/2006/relationships/header" Target="header4.xml"/><Relationship Id="rId82" Type="http://schemas.openxmlformats.org/officeDocument/2006/relationships/hyperlink" Target="https://www.iotc.org/cmm/resolution-1510-target-and-limit-reference-points-and-decision-framework" TargetMode="External"/><Relationship Id="rId19" Type="http://schemas.openxmlformats.org/officeDocument/2006/relationships/footer" Target="footer2.xml"/><Relationship Id="rId14" Type="http://schemas.openxmlformats.org/officeDocument/2006/relationships/hyperlink" Target="https://iotc.org/sites/default/files/documents/2025/08/IOTC-2025-WPB23-16-JPN_BUM_CPUE.pdf" TargetMode="External"/><Relationship Id="rId30" Type="http://schemas.openxmlformats.org/officeDocument/2006/relationships/hyperlink" Target="https://iotc.org/documents/review-statistical-data-available-indian-ocean-black-marlin-1950-2023" TargetMode="External"/><Relationship Id="rId35" Type="http://schemas.openxmlformats.org/officeDocument/2006/relationships/hyperlink" Target="https://iotc.org/WPB/22/INF04" TargetMode="External"/><Relationship Id="rId56" Type="http://schemas.openxmlformats.org/officeDocument/2006/relationships/hyperlink" Target="https://iotc.org/documents/status-marlins-and-sailfish-catches-resolution-1805-iotc-secretariat" TargetMode="External"/><Relationship Id="rId77" Type="http://schemas.openxmlformats.org/officeDocument/2006/relationships/hyperlink" Target="https://www.iotc.org/cmm/resolution-1510-target-and-limit-reference-points-and-decision-framework" TargetMode="External"/><Relationship Id="rId100" Type="http://schemas.openxmlformats.org/officeDocument/2006/relationships/footer" Target="footer5.xml"/><Relationship Id="rId8" Type="http://schemas.openxmlformats.org/officeDocument/2006/relationships/webSettings" Target="webSettings.xml"/><Relationship Id="rId51" Type="http://schemas.openxmlformats.org/officeDocument/2006/relationships/hyperlink" Target="https://iotc.org/sites/default/files/documents/2022/08/IOTC-2022-WPB20-15.pdf" TargetMode="External"/><Relationship Id="rId72" Type="http://schemas.openxmlformats.org/officeDocument/2006/relationships/hyperlink" Target="https://www.iotc.org/cmm/resolution-1510-target-and-limit-reference-points-and-decision-framework" TargetMode="External"/><Relationship Id="rId93" Type="http://schemas.openxmlformats.org/officeDocument/2006/relationships/hyperlink" Target="https://www.iotc.org/cmm/resolution-1805-management-measures-conservation-billfishes-striped-marlin-black-marlin-blue" TargetMode="External"/><Relationship Id="rId98" Type="http://schemas.openxmlformats.org/officeDocument/2006/relationships/image" Target="media/image27.png"/><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2" Type="http://schemas.openxmlformats.org/officeDocument/2006/relationships/image" Target="cid:image001.jpg@01D314FA.8A60DE20" TargetMode="External"/><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B5B23BB235034599A9F468DEC9F333" ma:contentTypeVersion="13" ma:contentTypeDescription="Create a new document." ma:contentTypeScope="" ma:versionID="cb24b501e9855c6bb08fffeece4e9ecb">
  <xsd:schema xmlns:xsd="http://www.w3.org/2001/XMLSchema" xmlns:xs="http://www.w3.org/2001/XMLSchema" xmlns:p="http://schemas.microsoft.com/office/2006/metadata/properties" xmlns:ns2="df1d7714-85b4-4ee6-b32b-cada055d661b" xmlns:ns3="1eff168a-76a0-4a78-9a90-c63606167bca" targetNamespace="http://schemas.microsoft.com/office/2006/metadata/properties" ma:root="true" ma:fieldsID="1f6784817c5a03ec83076c42096dc185" ns2:_="" ns3:_="">
    <xsd:import namespace="df1d7714-85b4-4ee6-b32b-cada055d661b"/>
    <xsd:import namespace="1eff168a-76a0-4a78-9a90-c63606167b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GenerationTime" minOccurs="0"/>
                <xsd:element ref="ns2:MediaServiceEventHashCode" minOccurs="0"/>
                <xsd:element ref="ns2:MediaLengthInSeconds" minOccurs="0"/>
                <xsd:element ref="ns2:MediaServiceDateTaken" minOccurs="0"/>
                <xsd:element ref="ns2:MediaServiceBillingMetadata"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1d7714-85b4-4ee6-b32b-cada055d66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BillingMetadata" ma:index="15" nillable="true" ma:displayName="MediaServiceBillingMetadata" ma:hidden="true" ma:internalName="MediaServiceBillingMetadata"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40eee1e-ad38-437e-be40-fc9f033adc9a"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descrip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ff168a-76a0-4a78-9a90-c63606167bc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39a1541-3178-4ff4-b9b2-fe39e5c5e01c}" ma:internalName="TaxCatchAll" ma:showField="CatchAllData" ma:web="1eff168a-76a0-4a78-9a90-c63606167b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f1d7714-85b4-4ee6-b32b-cada055d661b">
      <Terms xmlns="http://schemas.microsoft.com/office/infopath/2007/PartnerControls"/>
    </lcf76f155ced4ddcb4097134ff3c332f>
    <TaxCatchAll xmlns="1eff168a-76a0-4a78-9a90-c63606167bca" xsi:nil="true"/>
  </documentManagement>
</p:properties>
</file>

<file path=customXml/itemProps1.xml><?xml version="1.0" encoding="utf-8"?>
<ds:datastoreItem xmlns:ds="http://schemas.openxmlformats.org/officeDocument/2006/customXml" ds:itemID="{E5AB2DFA-6542-4298-972B-C7A4A2169A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1d7714-85b4-4ee6-b32b-cada055d661b"/>
    <ds:schemaRef ds:uri="1eff168a-76a0-4a78-9a90-c63606167b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0C4454-10E5-444A-A9B3-15FD9E246548}">
  <ds:schemaRefs>
    <ds:schemaRef ds:uri="http://schemas.openxmlformats.org/officeDocument/2006/bibliography"/>
  </ds:schemaRefs>
</ds:datastoreItem>
</file>

<file path=customXml/itemProps3.xml><?xml version="1.0" encoding="utf-8"?>
<ds:datastoreItem xmlns:ds="http://schemas.openxmlformats.org/officeDocument/2006/customXml" ds:itemID="{278641A9-A50B-41EF-8D73-37ABA0387A17}">
  <ds:schemaRefs>
    <ds:schemaRef ds:uri="http://schemas.microsoft.com/sharepoint/v3/contenttype/forms"/>
  </ds:schemaRefs>
</ds:datastoreItem>
</file>

<file path=customXml/itemProps4.xml><?xml version="1.0" encoding="utf-8"?>
<ds:datastoreItem xmlns:ds="http://schemas.openxmlformats.org/officeDocument/2006/customXml" ds:itemID="{4B8CBC4D-0703-4590-B0DB-E7615E0FA9F1}">
  <ds:schemaRefs>
    <ds:schemaRef ds:uri="http://schemas.microsoft.com/office/2006/metadata/properties"/>
    <ds:schemaRef ds:uri="http://schemas.microsoft.com/office/infopath/2007/PartnerControls"/>
    <ds:schemaRef ds:uri="df1d7714-85b4-4ee6-b32b-cada055d661b"/>
    <ds:schemaRef ds:uri="1eff168a-76a0-4a78-9a90-c63606167bca"/>
  </ds:schemaRefs>
</ds:datastoreItem>
</file>

<file path=docProps/app.xml><?xml version="1.0" encoding="utf-8"?>
<Properties xmlns="http://schemas.openxmlformats.org/officeDocument/2006/extended-properties" xmlns:vt="http://schemas.openxmlformats.org/officeDocument/2006/docPropsVTypes">
  <Template>Normal</Template>
  <TotalTime>541</TotalTime>
  <Pages>66</Pages>
  <Words>27609</Words>
  <Characters>156369</Characters>
  <Application>Microsoft Office Word</Application>
  <DocSecurity>0</DocSecurity>
  <Lines>1303</Lines>
  <Paragraphs>367</Paragraphs>
  <ScaleCrop>false</ScaleCrop>
  <Company>LALA</Company>
  <LinksUpToDate>false</LinksUpToDate>
  <CharactersWithSpaces>183611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of the Ninth Session</dc:title>
  <dc:subject/>
  <dc:creator>David T Wilson</dc:creator>
  <cp:keywords/>
  <cp:lastModifiedBy>Fu, Dan (NFITD)</cp:lastModifiedBy>
  <cp:revision>720</cp:revision>
  <cp:lastPrinted>2017-11-25T00:58:00Z</cp:lastPrinted>
  <dcterms:created xsi:type="dcterms:W3CDTF">2024-09-27T07:13:00Z</dcterms:created>
  <dcterms:modified xsi:type="dcterms:W3CDTF">2025-10-09T19:14:00Z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0x010100B5B5B23BB235034599A9F468DEC9F333</vt:lpwstr>
  </property>
  <property fmtid="{D5CDD505-2E9C-101B-9397-08002B2CF9AE}" pid="3" name="MediaServiceImageTags">
    <vt:lpwstr/>
  </property>
</Properties>
</file>